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1C0A1F">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14:paraId="0E3C94F0">
      <w:pPr>
        <w:pStyle w:val="2"/>
        <w:rPr>
          <w:rFonts w:hint="eastAsia"/>
          <w:lang w:val="en-US" w:eastAsia="zh-CN"/>
        </w:rPr>
      </w:pPr>
    </w:p>
    <w:p w14:paraId="39FADF01">
      <w:pPr>
        <w:pStyle w:val="5"/>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val="0"/>
        <w:overflowPunct/>
        <w:topLinePunct w:val="0"/>
        <w:autoSpaceDE/>
        <w:autoSpaceDN/>
        <w:bidi w:val="0"/>
        <w:adjustRightInd/>
        <w:snapToGrid/>
        <w:spacing w:before="0" w:beforeAutospacing="0" w:after="0" w:afterAutospacing="0" w:line="560" w:lineRule="exact"/>
        <w:ind w:left="836" w:leftChars="0" w:right="0" w:rightChars="0" w:hanging="836" w:hangingChars="200"/>
        <w:jc w:val="center"/>
        <w:textAlignment w:val="auto"/>
        <w:rPr>
          <w:rFonts w:hint="default" w:ascii="Times New Roman" w:hAnsi="Times New Roman" w:eastAsia="方正小标宋简体" w:cs="Times New Roman"/>
          <w:b w:val="0"/>
          <w:bCs/>
          <w:color w:val="0D0D0D" w:themeColor="text1" w:themeTint="F2"/>
          <w:spacing w:val="-11"/>
          <w:sz w:val="44"/>
          <w:szCs w:val="44"/>
          <w:lang w:val="en-US" w:eastAsia="zh-CN"/>
          <w14:textFill>
            <w14:solidFill>
              <w14:schemeClr w14:val="tx1">
                <w14:lumMod w14:val="95000"/>
                <w14:lumOff w14:val="5000"/>
              </w14:schemeClr>
            </w14:solidFill>
          </w14:textFill>
        </w:rPr>
      </w:pPr>
      <w:r>
        <w:rPr>
          <w:rFonts w:hint="default" w:ascii="Times New Roman" w:hAnsi="Times New Roman" w:eastAsia="方正小标宋简体" w:cs="Times New Roman"/>
          <w:b w:val="0"/>
          <w:bCs/>
          <w:color w:val="0D0D0D" w:themeColor="text1" w:themeTint="F2"/>
          <w:spacing w:val="-11"/>
          <w:sz w:val="44"/>
          <w:szCs w:val="44"/>
          <w:lang w:val="en-US" w:eastAsia="zh-CN"/>
          <w14:textFill>
            <w14:solidFill>
              <w14:schemeClr w14:val="tx1">
                <w14:lumMod w14:val="95000"/>
                <w14:lumOff w14:val="5000"/>
              </w14:schemeClr>
            </w14:solidFill>
          </w14:textFill>
        </w:rPr>
        <w:t>省医保局 省财政厅 国家税务总局贵州省税务局关于做好2026年城乡居民基本医疗保险参保征缴工作的通知</w:t>
      </w:r>
    </w:p>
    <w:p w14:paraId="0BB2C898">
      <w:pPr>
        <w:pStyle w:val="5"/>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3576" w:firstLineChars="1200"/>
        <w:jc w:val="both"/>
        <w:textAlignment w:val="auto"/>
        <w:rPr>
          <w:rFonts w:hint="eastAsia" w:ascii="楷体_GB2312" w:hAnsi="楷体_GB2312" w:eastAsia="楷体_GB2312" w:cs="楷体_GB2312"/>
          <w:b w:val="0"/>
          <w:bCs/>
          <w:color w:val="0D0D0D" w:themeColor="text1" w:themeTint="F2"/>
          <w:spacing w:val="-11"/>
          <w:sz w:val="32"/>
          <w:szCs w:val="32"/>
          <w:lang w:val="en-US" w:eastAsia="zh-CN"/>
          <w14:textFill>
            <w14:solidFill>
              <w14:schemeClr w14:val="tx1">
                <w14:lumMod w14:val="95000"/>
                <w14:lumOff w14:val="5000"/>
              </w14:schemeClr>
            </w14:solidFill>
          </w14:textFill>
        </w:rPr>
      </w:pPr>
      <w:bookmarkStart w:id="17" w:name="_GoBack"/>
      <w:bookmarkEnd w:id="17"/>
      <w:r>
        <w:rPr>
          <w:rFonts w:hint="eastAsia" w:ascii="楷体_GB2312" w:hAnsi="楷体_GB2312" w:eastAsia="楷体_GB2312" w:cs="楷体_GB2312"/>
          <w:b w:val="0"/>
          <w:bCs/>
          <w:color w:val="0D0D0D" w:themeColor="text1" w:themeTint="F2"/>
          <w:spacing w:val="-11"/>
          <w:sz w:val="32"/>
          <w:szCs w:val="32"/>
          <w:lang w:val="en-US" w:eastAsia="zh-CN"/>
          <w14:textFill>
            <w14:solidFill>
              <w14:schemeClr w14:val="tx1">
                <w14:lumMod w14:val="95000"/>
                <w14:lumOff w14:val="5000"/>
              </w14:schemeClr>
            </w14:solidFill>
          </w14:textFill>
        </w:rPr>
        <w:t>（征求意见稿）</w:t>
      </w:r>
    </w:p>
    <w:p w14:paraId="2EC45814">
      <w:pPr>
        <w:pStyle w:val="5"/>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default" w:ascii="Times New Roman" w:hAnsi="Times New Roman" w:eastAsia="方正小标宋简体" w:cs="Times New Roman"/>
          <w:b w:val="0"/>
          <w:bCs/>
          <w:color w:val="0D0D0D" w:themeColor="text1" w:themeTint="F2"/>
          <w:spacing w:val="-11"/>
          <w:sz w:val="44"/>
          <w:szCs w:val="44"/>
          <w:lang w:val="en-US" w:eastAsia="zh-CN"/>
          <w14:textFill>
            <w14:solidFill>
              <w14:schemeClr w14:val="tx1">
                <w14:lumMod w14:val="95000"/>
                <w14:lumOff w14:val="5000"/>
              </w14:schemeClr>
            </w14:solidFill>
          </w14:textFill>
        </w:rPr>
      </w:pPr>
    </w:p>
    <w:p w14:paraId="47548681">
      <w:pPr>
        <w:pStyle w:val="5"/>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Times New Roman" w:hAnsi="Times New Roman" w:eastAsia="仿宋_GB2312" w:cs="Times New Roman"/>
          <w:i w:val="0"/>
          <w:caps w:val="0"/>
          <w:color w:val="auto"/>
          <w:spacing w:val="0"/>
          <w:sz w:val="32"/>
          <w:szCs w:val="32"/>
          <w:shd w:val="clear" w:color="auto" w:fill="FFFFFF"/>
          <w:lang w:val="en-US" w:eastAsia="zh-CN"/>
        </w:rPr>
      </w:pPr>
      <w:r>
        <w:rPr>
          <w:rFonts w:hint="default" w:ascii="Times New Roman" w:hAnsi="Times New Roman" w:eastAsia="仿宋_GB2312" w:cs="Times New Roman"/>
          <w:i w:val="0"/>
          <w:caps w:val="0"/>
          <w:color w:val="auto"/>
          <w:spacing w:val="0"/>
          <w:sz w:val="32"/>
          <w:szCs w:val="32"/>
          <w:shd w:val="clear" w:color="auto" w:fill="FFFFFF"/>
          <w:lang w:val="en-US" w:eastAsia="zh-CN"/>
        </w:rPr>
        <w:t xml:space="preserve">   </w:t>
      </w:r>
      <w:r>
        <w:rPr>
          <w:rFonts w:hint="eastAsia" w:eastAsia="仿宋_GB2312" w:cs="Times New Roman"/>
          <w:i w:val="0"/>
          <w:caps w:val="0"/>
          <w:color w:val="auto"/>
          <w:spacing w:val="0"/>
          <w:sz w:val="32"/>
          <w:szCs w:val="32"/>
          <w:shd w:val="clear" w:color="auto" w:fill="FFFFFF"/>
          <w:lang w:val="en-US" w:eastAsia="zh-CN"/>
        </w:rPr>
        <w:t>根据</w:t>
      </w:r>
      <w:r>
        <w:rPr>
          <w:rFonts w:hint="default" w:ascii="Times New Roman" w:hAnsi="Times New Roman" w:eastAsia="仿宋_GB2312" w:cs="Times New Roman"/>
          <w:i w:val="0"/>
          <w:caps w:val="0"/>
          <w:color w:val="auto"/>
          <w:spacing w:val="0"/>
          <w:sz w:val="32"/>
          <w:szCs w:val="32"/>
          <w:shd w:val="clear" w:color="auto" w:fill="FFFFFF"/>
          <w:lang w:val="en-US" w:eastAsia="zh-CN"/>
        </w:rPr>
        <w:t>《国务院办公厅关于健全基本医疗保险参保长效机制的指导意见》</w:t>
      </w:r>
      <w:bookmarkStart w:id="0" w:name="OLE_LINK7"/>
      <w:r>
        <w:rPr>
          <w:rFonts w:hint="default" w:ascii="Times New Roman" w:hAnsi="Times New Roman" w:eastAsia="仿宋_GB2312" w:cs="Times New Roman"/>
          <w:i w:val="0"/>
          <w:caps w:val="0"/>
          <w:color w:val="auto"/>
          <w:spacing w:val="0"/>
          <w:sz w:val="32"/>
          <w:szCs w:val="32"/>
          <w:shd w:val="clear" w:color="auto" w:fill="FFFFFF"/>
          <w:lang w:val="en-US" w:eastAsia="zh-CN"/>
        </w:rPr>
        <w:t>（国办发〔2024〕38号）</w:t>
      </w:r>
      <w:bookmarkEnd w:id="0"/>
      <w:r>
        <w:rPr>
          <w:rFonts w:hint="eastAsia" w:eastAsia="仿宋_GB2312" w:cs="Times New Roman"/>
          <w:i w:val="0"/>
          <w:caps w:val="0"/>
          <w:color w:val="auto"/>
          <w:spacing w:val="0"/>
          <w:sz w:val="32"/>
          <w:szCs w:val="32"/>
          <w:shd w:val="clear" w:color="auto" w:fill="FFFFFF"/>
          <w:lang w:val="en-US" w:eastAsia="zh-CN"/>
        </w:rPr>
        <w:t>、</w:t>
      </w:r>
      <w:r>
        <w:rPr>
          <w:rFonts w:hint="default" w:ascii="Times New Roman" w:hAnsi="Times New Roman" w:eastAsia="仿宋_GB2312" w:cs="Times New Roman"/>
          <w:i w:val="0"/>
          <w:caps w:val="0"/>
          <w:color w:val="auto"/>
          <w:spacing w:val="0"/>
          <w:sz w:val="32"/>
          <w:szCs w:val="32"/>
          <w:shd w:val="clear" w:color="auto" w:fill="FFFFFF"/>
          <w:lang w:val="en-US" w:eastAsia="zh-CN"/>
        </w:rPr>
        <w:t>《</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国家医保局 财政部 国家税务总局关于做好2025年城乡居民基本医疗保障有关工作的通知》（医保发〔2025〕XX号）</w:t>
      </w:r>
      <w:r>
        <w:rPr>
          <w:rFonts w:hint="eastAsia" w:eastAsia="仿宋_GB2312" w:cs="Times New Roman"/>
          <w:i w:val="0"/>
          <w:caps w:val="0"/>
          <w:color w:val="auto"/>
          <w:spacing w:val="0"/>
          <w:sz w:val="32"/>
          <w:szCs w:val="32"/>
          <w:highlight w:val="none"/>
          <w:shd w:val="clear" w:color="auto" w:fill="FFFFFF"/>
          <w:lang w:val="en-US" w:eastAsia="zh-CN"/>
        </w:rPr>
        <w:t>要求，</w:t>
      </w:r>
      <w:r>
        <w:rPr>
          <w:rFonts w:hint="default" w:ascii="Times New Roman" w:hAnsi="Times New Roman" w:eastAsia="仿宋_GB2312" w:cs="Times New Roman"/>
          <w:i w:val="0"/>
          <w:caps w:val="0"/>
          <w:color w:val="auto"/>
          <w:spacing w:val="0"/>
          <w:sz w:val="32"/>
          <w:szCs w:val="32"/>
          <w:shd w:val="clear" w:color="auto" w:fill="FFFFFF"/>
          <w:lang w:val="en-US" w:eastAsia="zh-CN"/>
        </w:rPr>
        <w:t>现就做好我省2026年城乡居民基本医疗保险（以下简称</w:t>
      </w:r>
      <w:r>
        <w:rPr>
          <w:rFonts w:hint="eastAsia" w:ascii="仿宋_GB2312" w:hAnsi="仿宋_GB2312" w:eastAsia="仿宋_GB2312" w:cs="仿宋_GB2312"/>
          <w:i w:val="0"/>
          <w:caps w:val="0"/>
          <w:color w:val="auto"/>
          <w:spacing w:val="0"/>
          <w:sz w:val="32"/>
          <w:szCs w:val="32"/>
          <w:shd w:val="clear" w:color="auto" w:fill="FFFFFF"/>
          <w:lang w:val="en-US" w:eastAsia="zh-CN"/>
        </w:rPr>
        <w:t>“居民医保”</w:t>
      </w:r>
      <w:r>
        <w:rPr>
          <w:rFonts w:hint="default" w:ascii="Times New Roman" w:hAnsi="Times New Roman" w:eastAsia="仿宋_GB2312" w:cs="Times New Roman"/>
          <w:i w:val="0"/>
          <w:caps w:val="0"/>
          <w:color w:val="auto"/>
          <w:spacing w:val="0"/>
          <w:sz w:val="32"/>
          <w:szCs w:val="32"/>
          <w:shd w:val="clear" w:color="auto" w:fill="FFFFFF"/>
          <w:lang w:val="en-US" w:eastAsia="zh-CN"/>
        </w:rPr>
        <w:t>）参保征缴工作有关事项通知如下</w:t>
      </w:r>
      <w:r>
        <w:rPr>
          <w:rFonts w:hint="eastAsia" w:ascii="Times New Roman" w:hAnsi="Times New Roman" w:eastAsia="仿宋_GB2312" w:cs="Times New Roman"/>
          <w:i w:val="0"/>
          <w:caps w:val="0"/>
          <w:color w:val="auto"/>
          <w:spacing w:val="0"/>
          <w:sz w:val="32"/>
          <w:szCs w:val="32"/>
          <w:shd w:val="clear" w:color="auto" w:fill="FFFFFF"/>
          <w:lang w:val="en-US" w:eastAsia="zh-CN"/>
        </w:rPr>
        <w:t>:</w:t>
      </w:r>
    </w:p>
    <w:p w14:paraId="212099CE">
      <w:pPr>
        <w:pStyle w:val="5"/>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val="0"/>
        <w:overflowPunct/>
        <w:topLinePunct w:val="0"/>
        <w:autoSpaceDE/>
        <w:autoSpaceDN/>
        <w:bidi w:val="0"/>
        <w:adjustRightInd/>
        <w:snapToGrid/>
        <w:spacing w:before="0" w:beforeAutospacing="0" w:after="0" w:afterAutospacing="0" w:line="530" w:lineRule="exact"/>
        <w:ind w:left="0" w:leftChars="0" w:right="0" w:rightChars="0" w:firstLine="640" w:firstLineChars="200"/>
        <w:jc w:val="both"/>
        <w:textAlignment w:val="auto"/>
        <w:rPr>
          <w:rFonts w:hint="eastAsia" w:ascii="黑体" w:hAnsi="黑体" w:eastAsia="黑体" w:cs="黑体"/>
          <w:i w:val="0"/>
          <w:caps w:val="0"/>
          <w:color w:val="auto"/>
          <w:spacing w:val="0"/>
          <w:sz w:val="32"/>
          <w:szCs w:val="32"/>
          <w:highlight w:val="none"/>
          <w:shd w:val="clear" w:color="auto" w:fill="FFFFFF"/>
          <w:lang w:val="en-US" w:eastAsia="zh-CN"/>
        </w:rPr>
      </w:pPr>
      <w:r>
        <w:rPr>
          <w:rFonts w:hint="eastAsia" w:ascii="黑体" w:hAnsi="黑体" w:eastAsia="黑体" w:cs="黑体"/>
          <w:i w:val="0"/>
          <w:caps w:val="0"/>
          <w:color w:val="auto"/>
          <w:spacing w:val="0"/>
          <w:sz w:val="32"/>
          <w:szCs w:val="32"/>
          <w:highlight w:val="none"/>
          <w:shd w:val="clear" w:color="auto" w:fill="FFFFFF"/>
          <w:lang w:val="en-US" w:eastAsia="zh-CN"/>
        </w:rPr>
        <w:t>一、明确筹资标准和征缴期限</w:t>
      </w:r>
    </w:p>
    <w:p w14:paraId="018C42EF">
      <w:pPr>
        <w:pStyle w:val="5"/>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val="0"/>
        <w:overflowPunct/>
        <w:topLinePunct w:val="0"/>
        <w:autoSpaceDE/>
        <w:autoSpaceDN/>
        <w:bidi w:val="0"/>
        <w:adjustRightInd/>
        <w:snapToGrid/>
        <w:spacing w:before="0" w:beforeAutospacing="0" w:after="0" w:afterAutospacing="0" w:line="530" w:lineRule="exact"/>
        <w:ind w:left="0" w:leftChars="0" w:right="0" w:rightChars="0" w:firstLine="640" w:firstLineChars="200"/>
        <w:jc w:val="both"/>
        <w:textAlignment w:val="auto"/>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pPr>
      <w:r>
        <w:rPr>
          <w:rFonts w:hint="default" w:ascii="Times New Roman" w:hAnsi="Times New Roman" w:eastAsia="楷体_GB2312" w:cs="Times New Roman"/>
          <w:i w:val="0"/>
          <w:caps w:val="0"/>
          <w:color w:val="auto"/>
          <w:spacing w:val="0"/>
          <w:sz w:val="32"/>
          <w:szCs w:val="32"/>
          <w:highlight w:val="none"/>
          <w:shd w:val="clear" w:color="auto" w:fill="FFFFFF"/>
          <w:lang w:val="en-US" w:eastAsia="zh-CN"/>
        </w:rPr>
        <w:t>（一）筹资标准。</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2026年居民医保筹资标准</w:t>
      </w:r>
      <w:r>
        <w:rPr>
          <w:rFonts w:hint="eastAsia" w:ascii="Times New Roman" w:hAnsi="Times New Roman" w:eastAsia="仿宋_GB2312" w:cs="Times New Roman"/>
          <w:i w:val="0"/>
          <w:caps w:val="0"/>
          <w:color w:val="auto"/>
          <w:spacing w:val="0"/>
          <w:sz w:val="32"/>
          <w:szCs w:val="32"/>
          <w:highlight w:val="none"/>
          <w:shd w:val="clear" w:color="auto" w:fill="FFFFFF"/>
          <w:lang w:val="en-US" w:eastAsia="zh-CN"/>
        </w:rPr>
        <w:t>不低于</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1100元</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/人·年</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。其中财政补助不低于700元/人</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·年</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，个人缴费</w:t>
      </w:r>
      <w:r>
        <w:rPr>
          <w:rFonts w:hint="eastAsia" w:eastAsia="仿宋_GB2312" w:cs="Times New Roman"/>
          <w:i w:val="0"/>
          <w:caps w:val="0"/>
          <w:color w:val="auto"/>
          <w:spacing w:val="0"/>
          <w:sz w:val="32"/>
          <w:szCs w:val="32"/>
          <w:highlight w:val="none"/>
          <w:shd w:val="clear" w:color="auto" w:fill="FFFFFF"/>
          <w:lang w:val="en-US" w:eastAsia="zh-CN"/>
        </w:rPr>
        <w:t>不低于</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400元</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/人·年</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w:t>
      </w:r>
    </w:p>
    <w:p w14:paraId="459C85AA">
      <w:pPr>
        <w:pStyle w:val="5"/>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snapToGrid/>
        <w:spacing w:before="0" w:beforeAutospacing="0" w:after="0" w:afterAutospacing="0" w:line="530" w:lineRule="exact"/>
        <w:ind w:left="0" w:leftChars="0" w:right="0" w:rightChars="0" w:firstLine="640" w:firstLineChars="200"/>
        <w:jc w:val="both"/>
        <w:textAlignment w:val="auto"/>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pPr>
      <w:r>
        <w:rPr>
          <w:rFonts w:hint="default" w:ascii="Times New Roman" w:hAnsi="Times New Roman" w:eastAsia="楷体_GB2312" w:cs="Times New Roman"/>
          <w:i w:val="0"/>
          <w:caps w:val="0"/>
          <w:color w:val="auto"/>
          <w:spacing w:val="0"/>
          <w:sz w:val="32"/>
          <w:szCs w:val="32"/>
          <w:highlight w:val="none"/>
          <w:shd w:val="clear" w:color="auto" w:fill="FFFFFF"/>
          <w:lang w:val="en-US" w:eastAsia="zh-CN"/>
        </w:rPr>
        <w:t>（二）集中征缴期。</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2026年居民医保集中征缴期</w:t>
      </w:r>
      <w:r>
        <w:rPr>
          <w:rFonts w:hint="eastAsia" w:eastAsia="仿宋_GB2312" w:cs="Times New Roman"/>
          <w:i w:val="0"/>
          <w:caps w:val="0"/>
          <w:color w:val="auto"/>
          <w:spacing w:val="0"/>
          <w:sz w:val="32"/>
          <w:szCs w:val="32"/>
          <w:highlight w:val="none"/>
          <w:shd w:val="clear" w:color="auto" w:fill="FFFFFF"/>
          <w:lang w:val="en-US" w:eastAsia="zh-CN"/>
        </w:rPr>
        <w:t>为</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2025年</w:t>
      </w:r>
      <w:r>
        <w:rPr>
          <w:rFonts w:hint="eastAsia" w:eastAsia="仿宋_GB2312" w:cs="Times New Roman"/>
          <w:i w:val="0"/>
          <w:caps w:val="0"/>
          <w:color w:val="auto"/>
          <w:spacing w:val="0"/>
          <w:sz w:val="32"/>
          <w:szCs w:val="32"/>
          <w:highlight w:val="none"/>
          <w:shd w:val="clear" w:color="auto" w:fill="FFFFFF"/>
          <w:lang w:val="en-US" w:eastAsia="zh-CN"/>
        </w:rPr>
        <w:t>10</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月</w:t>
      </w:r>
      <w:r>
        <w:rPr>
          <w:rFonts w:hint="eastAsia" w:eastAsia="仿宋_GB2312" w:cs="Times New Roman"/>
          <w:i w:val="0"/>
          <w:caps w:val="0"/>
          <w:color w:val="auto"/>
          <w:spacing w:val="0"/>
          <w:sz w:val="32"/>
          <w:szCs w:val="32"/>
          <w:highlight w:val="none"/>
          <w:shd w:val="clear" w:color="auto" w:fill="FFFFFF"/>
          <w:lang w:val="en-US" w:eastAsia="zh-CN"/>
        </w:rPr>
        <w:t>x</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日至202</w:t>
      </w:r>
      <w:r>
        <w:rPr>
          <w:rFonts w:hint="eastAsia" w:eastAsia="仿宋_GB2312" w:cs="Times New Roman"/>
          <w:i w:val="0"/>
          <w:caps w:val="0"/>
          <w:color w:val="auto"/>
          <w:spacing w:val="0"/>
          <w:sz w:val="32"/>
          <w:szCs w:val="32"/>
          <w:highlight w:val="none"/>
          <w:shd w:val="clear" w:color="auto" w:fill="FFFFFF"/>
          <w:lang w:val="en-US" w:eastAsia="zh-CN"/>
        </w:rPr>
        <w:t>6</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年2月</w:t>
      </w:r>
      <w:r>
        <w:rPr>
          <w:rFonts w:hint="eastAsia" w:eastAsia="仿宋_GB2312" w:cs="Times New Roman"/>
          <w:i w:val="0"/>
          <w:caps w:val="0"/>
          <w:color w:val="auto"/>
          <w:spacing w:val="0"/>
          <w:sz w:val="32"/>
          <w:szCs w:val="32"/>
          <w:highlight w:val="none"/>
          <w:shd w:val="clear" w:color="auto" w:fill="FFFFFF"/>
          <w:lang w:val="en-US" w:eastAsia="zh-CN"/>
        </w:rPr>
        <w:t>28</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日</w:t>
      </w:r>
      <w:r>
        <w:rPr>
          <w:rFonts w:hint="eastAsia" w:eastAsia="仿宋_GB2312" w:cs="Times New Roman"/>
          <w:i w:val="0"/>
          <w:caps w:val="0"/>
          <w:color w:val="auto"/>
          <w:spacing w:val="0"/>
          <w:sz w:val="32"/>
          <w:szCs w:val="32"/>
          <w:highlight w:val="none"/>
          <w:shd w:val="clear" w:color="auto" w:fill="FFFFFF"/>
          <w:lang w:val="en-US" w:eastAsia="zh-CN"/>
        </w:rPr>
        <w:t>。期间参保的，个人缴费不低于</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400元/</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人·年</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，自2026年1月1日起享受居民医保待遇。特殊困难人员按规定享受政府全额或定额资助。</w:t>
      </w:r>
    </w:p>
    <w:p w14:paraId="7BFF978E">
      <w:pPr>
        <w:pStyle w:val="5"/>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snapToGrid/>
        <w:spacing w:before="0" w:beforeAutospacing="0" w:after="0" w:afterAutospacing="0" w:line="530" w:lineRule="exact"/>
        <w:ind w:left="0" w:leftChars="0" w:right="0" w:rightChars="0" w:firstLine="640" w:firstLineChars="200"/>
        <w:jc w:val="both"/>
        <w:textAlignment w:val="auto"/>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2026年，除新生儿等特殊群体外，对断缴2025年居民医保</w:t>
      </w:r>
      <w:r>
        <w:rPr>
          <w:rFonts w:hint="eastAsia" w:eastAsia="仿宋_GB2312" w:cs="Times New Roman"/>
          <w:i w:val="0"/>
          <w:caps w:val="0"/>
          <w:color w:val="auto"/>
          <w:spacing w:val="0"/>
          <w:sz w:val="32"/>
          <w:szCs w:val="32"/>
          <w:highlight w:val="none"/>
          <w:shd w:val="clear" w:color="auto" w:fill="FFFFFF"/>
          <w:lang w:val="en-US" w:eastAsia="zh-CN"/>
        </w:rPr>
        <w:t>或未连续参保的人员</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，设置固定待遇等待期3个月。2025年12月31日前，因就业等个人状态变化从职工医保切换至居民医保参保关系，且中断三个月内的，缴纳202</w:t>
      </w:r>
      <w:r>
        <w:rPr>
          <w:rFonts w:hint="eastAsia" w:eastAsia="仿宋_GB2312" w:cs="Times New Roman"/>
          <w:i w:val="0"/>
          <w:caps w:val="0"/>
          <w:color w:val="auto"/>
          <w:spacing w:val="0"/>
          <w:sz w:val="32"/>
          <w:szCs w:val="32"/>
          <w:highlight w:val="none"/>
          <w:shd w:val="clear" w:color="auto" w:fill="FFFFFF"/>
          <w:lang w:val="en-US" w:eastAsia="zh-CN"/>
        </w:rPr>
        <w:t>5</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年</w:t>
      </w:r>
      <w:r>
        <w:rPr>
          <w:rFonts w:hint="eastAsia" w:eastAsia="仿宋_GB2312" w:cs="Times New Roman"/>
          <w:i w:val="0"/>
          <w:caps w:val="0"/>
          <w:color w:val="auto"/>
          <w:spacing w:val="0"/>
          <w:sz w:val="32"/>
          <w:szCs w:val="32"/>
          <w:highlight w:val="none"/>
          <w:shd w:val="clear" w:color="auto" w:fill="FFFFFF"/>
          <w:lang w:val="en-US" w:eastAsia="zh-CN"/>
        </w:rPr>
        <w:t>居民医保</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费后，视作连续参保，不设待遇等待期。</w:t>
      </w:r>
    </w:p>
    <w:p w14:paraId="20A2AB55">
      <w:pPr>
        <w:pStyle w:val="5"/>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snapToGrid/>
        <w:spacing w:before="0" w:beforeAutospacing="0" w:after="0" w:afterAutospacing="0" w:line="530" w:lineRule="exact"/>
        <w:ind w:left="0" w:leftChars="0" w:right="0" w:rightChars="0" w:firstLine="640" w:firstLineChars="200"/>
        <w:jc w:val="both"/>
        <w:textAlignment w:val="auto"/>
        <w:rPr>
          <w:rFonts w:hint="eastAsia" w:ascii="楷体_GB2312" w:hAnsi="楷体_GB2312" w:eastAsia="楷体_GB2312" w:cs="楷体_GB2312"/>
          <w:i w:val="0"/>
          <w:caps w:val="0"/>
          <w:color w:val="auto"/>
          <w:spacing w:val="0"/>
          <w:sz w:val="32"/>
          <w:szCs w:val="32"/>
          <w:highlight w:val="none"/>
          <w:shd w:val="clear" w:color="auto" w:fill="FFFFFF"/>
          <w:lang w:val="en-US" w:eastAsia="zh-CN"/>
        </w:rPr>
      </w:pPr>
      <w:r>
        <w:rPr>
          <w:rFonts w:hint="eastAsia" w:ascii="楷体_GB2312" w:hAnsi="楷体_GB2312" w:eastAsia="楷体_GB2312" w:cs="楷体_GB2312"/>
          <w:i w:val="0"/>
          <w:caps w:val="0"/>
          <w:color w:val="auto"/>
          <w:spacing w:val="0"/>
          <w:sz w:val="32"/>
          <w:szCs w:val="32"/>
          <w:highlight w:val="none"/>
          <w:shd w:val="clear" w:color="auto" w:fill="FFFFFF"/>
          <w:lang w:val="en-US" w:eastAsia="zh-CN"/>
        </w:rPr>
        <w:t>（三）零星征缴期</w:t>
      </w:r>
    </w:p>
    <w:p w14:paraId="43E48C15">
      <w:pPr>
        <w:pStyle w:val="5"/>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snapToGrid/>
        <w:spacing w:before="0" w:beforeAutospacing="0" w:after="0" w:afterAutospacing="0" w:line="530" w:lineRule="exact"/>
        <w:ind w:left="0" w:leftChars="0" w:right="0" w:rightChars="0" w:firstLine="640" w:firstLineChars="200"/>
        <w:jc w:val="both"/>
        <w:textAlignment w:val="auto"/>
        <w:rPr>
          <w:rFonts w:hint="eastAsia" w:eastAsia="仿宋_GB2312" w:cs="Times New Roman"/>
          <w:i w:val="0"/>
          <w:caps w:val="0"/>
          <w:color w:val="auto"/>
          <w:spacing w:val="0"/>
          <w:sz w:val="32"/>
          <w:szCs w:val="32"/>
          <w:highlight w:val="none"/>
          <w:shd w:val="clear" w:color="auto" w:fill="FFFFFF"/>
          <w:lang w:val="en-US" w:eastAsia="zh-CN"/>
        </w:rPr>
      </w:pPr>
      <w:bookmarkStart w:id="1" w:name="OLE_LINK18"/>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1.普通群众在2026年3月1日至2026年12月31日</w:t>
      </w:r>
      <w:r>
        <w:rPr>
          <w:rFonts w:hint="eastAsia" w:eastAsia="仿宋_GB2312" w:cs="Times New Roman"/>
          <w:i w:val="0"/>
          <w:caps w:val="0"/>
          <w:color w:val="auto"/>
          <w:spacing w:val="0"/>
          <w:sz w:val="32"/>
          <w:szCs w:val="32"/>
          <w:highlight w:val="none"/>
          <w:shd w:val="clear" w:color="auto" w:fill="FFFFFF"/>
          <w:lang w:val="en-US" w:eastAsia="zh-CN"/>
        </w:rPr>
        <w:t>。期间参保的，个人缴费不低于1100元</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/人·年</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。并从缴费之日起，</w:t>
      </w:r>
      <w:r>
        <w:rPr>
          <w:rFonts w:hint="eastAsia" w:eastAsia="仿宋_GB2312" w:cs="Times New Roman"/>
          <w:i w:val="0"/>
          <w:caps w:val="0"/>
          <w:color w:val="auto"/>
          <w:spacing w:val="0"/>
          <w:sz w:val="32"/>
          <w:szCs w:val="32"/>
          <w:highlight w:val="none"/>
          <w:shd w:val="clear" w:color="auto" w:fill="FFFFFF"/>
          <w:lang w:val="en-US" w:eastAsia="zh-CN"/>
        </w:rPr>
        <w:t>固定待遇等待期3个月。</w:t>
      </w:r>
      <w:bookmarkEnd w:id="1"/>
    </w:p>
    <w:p w14:paraId="570393A1">
      <w:pPr>
        <w:pStyle w:val="5"/>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snapToGrid/>
        <w:spacing w:before="0" w:beforeAutospacing="0" w:after="0" w:afterAutospacing="0" w:line="530" w:lineRule="exact"/>
        <w:ind w:left="0" w:leftChars="0" w:right="0" w:rightChars="0" w:firstLine="640" w:firstLineChars="200"/>
        <w:jc w:val="both"/>
        <w:textAlignment w:val="auto"/>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2.参保人已连续2年（含2年）以上参加基本医保的，因就业等个人状态变化从职工医保切换至居民医保参保关系且未断保的，在2026年1月1日至2026年12月31日期间参保，享受3个月（含3个月）动态参保政策。职工医保待遇结束后3个月内参加居民医保，按</w:t>
      </w:r>
      <w:r>
        <w:rPr>
          <w:rFonts w:hint="eastAsia" w:eastAsia="仿宋_GB2312" w:cs="Times New Roman"/>
          <w:i w:val="0"/>
          <w:caps w:val="0"/>
          <w:color w:val="auto"/>
          <w:spacing w:val="0"/>
          <w:sz w:val="32"/>
          <w:szCs w:val="32"/>
          <w:highlight w:val="none"/>
          <w:shd w:val="clear" w:color="auto" w:fill="FFFFFF"/>
          <w:lang w:val="en-US" w:eastAsia="zh-CN"/>
        </w:rPr>
        <w:t>不低于</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400元</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/人·年</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标准参保缴费，自缴费之日起享受居民医保待遇。</w:t>
      </w:r>
    </w:p>
    <w:p w14:paraId="61ADBB97">
      <w:pPr>
        <w:pStyle w:val="5"/>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snapToGrid/>
        <w:spacing w:before="0" w:beforeAutospacing="0" w:after="0" w:afterAutospacing="0" w:line="530" w:lineRule="exact"/>
        <w:ind w:left="0" w:leftChars="0" w:right="0" w:rightChars="0" w:firstLine="640" w:firstLineChars="200"/>
        <w:jc w:val="both"/>
        <w:textAlignment w:val="auto"/>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3.新生儿在2026年</w:t>
      </w:r>
      <w:r>
        <w:rPr>
          <w:rFonts w:hint="eastAsia" w:eastAsia="仿宋_GB2312" w:cs="Times New Roman"/>
          <w:i w:val="0"/>
          <w:caps w:val="0"/>
          <w:color w:val="auto"/>
          <w:spacing w:val="0"/>
          <w:sz w:val="32"/>
          <w:szCs w:val="32"/>
          <w:highlight w:val="none"/>
          <w:shd w:val="clear" w:color="auto" w:fill="FFFFFF"/>
          <w:lang w:val="en-US" w:eastAsia="zh-CN"/>
        </w:rPr>
        <w:t>3</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月1日至2026年12月31日期间参保，享受3个月（含3个月）动态参保政策，按</w:t>
      </w:r>
      <w:r>
        <w:rPr>
          <w:rFonts w:hint="eastAsia" w:eastAsia="仿宋_GB2312" w:cs="Times New Roman"/>
          <w:i w:val="0"/>
          <w:caps w:val="0"/>
          <w:color w:val="auto"/>
          <w:spacing w:val="0"/>
          <w:sz w:val="32"/>
          <w:szCs w:val="32"/>
          <w:highlight w:val="none"/>
          <w:shd w:val="clear" w:color="auto" w:fill="FFFFFF"/>
          <w:lang w:val="en-US" w:eastAsia="zh-CN"/>
        </w:rPr>
        <w:t>不低于</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400元</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/人·年</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标准参保缴费。202</w:t>
      </w:r>
      <w:r>
        <w:rPr>
          <w:rFonts w:hint="eastAsia" w:eastAsia="仿宋_GB2312" w:cs="Times New Roman"/>
          <w:i w:val="0"/>
          <w:caps w:val="0"/>
          <w:color w:val="auto"/>
          <w:spacing w:val="0"/>
          <w:sz w:val="32"/>
          <w:szCs w:val="32"/>
          <w:highlight w:val="none"/>
          <w:shd w:val="clear" w:color="auto" w:fill="FFFFFF"/>
          <w:lang w:val="en-US" w:eastAsia="zh-CN"/>
        </w:rPr>
        <w:t>6</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年10月1日至12月31日期间出生，且自出生之日起至缴费之日止3个月（含3个月）的新生儿，缴费时间按上述规定可以延至2027年3月3</w:t>
      </w:r>
      <w:r>
        <w:rPr>
          <w:rFonts w:hint="eastAsia" w:eastAsia="仿宋_GB2312" w:cs="Times New Roman"/>
          <w:i w:val="0"/>
          <w:caps w:val="0"/>
          <w:color w:val="auto"/>
          <w:spacing w:val="0"/>
          <w:sz w:val="32"/>
          <w:szCs w:val="32"/>
          <w:highlight w:val="none"/>
          <w:shd w:val="clear" w:color="auto" w:fill="FFFFFF"/>
          <w:lang w:val="en-US" w:eastAsia="zh-CN"/>
        </w:rPr>
        <w:t>1</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日。属于特殊困难人员的，按规定享受政府全额或定额资助。</w:t>
      </w:r>
      <w:bookmarkStart w:id="2" w:name="OLE_LINK19"/>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新生儿出生3个月以内凭出生医学证明、身份证、户口簿登记并缴费参保的，</w:t>
      </w:r>
      <w:bookmarkEnd w:id="2"/>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自出生之日起享受居民医保待遇。</w:t>
      </w:r>
    </w:p>
    <w:p w14:paraId="00B75259">
      <w:pPr>
        <w:pStyle w:val="5"/>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snapToGrid/>
        <w:spacing w:before="0" w:beforeAutospacing="0" w:after="0" w:afterAutospacing="0" w:line="530" w:lineRule="exact"/>
        <w:ind w:left="0" w:leftChars="0" w:right="0" w:rightChars="0" w:firstLine="640" w:firstLineChars="200"/>
        <w:jc w:val="both"/>
        <w:textAlignment w:val="auto"/>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4.军人退出现役当年、军人退出现役当年随军未就业配偶，享受全年动态参保政策，按</w:t>
      </w:r>
      <w:r>
        <w:rPr>
          <w:rFonts w:hint="eastAsia" w:eastAsia="仿宋_GB2312" w:cs="Times New Roman"/>
          <w:i w:val="0"/>
          <w:caps w:val="0"/>
          <w:color w:val="auto"/>
          <w:spacing w:val="0"/>
          <w:sz w:val="32"/>
          <w:szCs w:val="32"/>
          <w:highlight w:val="none"/>
          <w:shd w:val="clear" w:color="auto" w:fill="FFFFFF"/>
          <w:lang w:val="en-US" w:eastAsia="zh-CN"/>
        </w:rPr>
        <w:t>不低于</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400元</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/人·年</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标准参保缴费，并从缴费之日起享受居民医保待遇。</w:t>
      </w:r>
    </w:p>
    <w:p w14:paraId="4501079E">
      <w:pPr>
        <w:pStyle w:val="5"/>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snapToGrid/>
        <w:spacing w:before="0" w:beforeAutospacing="0" w:after="0" w:afterAutospacing="0" w:line="530" w:lineRule="exact"/>
        <w:ind w:left="0" w:leftChars="0"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highlight w:val="none"/>
          <w:shd w:val="clear" w:color="auto" w:fill="FFFFFF"/>
          <w:lang w:val="en-US" w:eastAsia="zh-CN"/>
        </w:rPr>
      </w:pPr>
      <w:r>
        <w:rPr>
          <w:rFonts w:hint="eastAsia" w:ascii="Times New Roman" w:hAnsi="Times New Roman" w:eastAsia="仿宋_GB2312" w:cs="仿宋_GB2312"/>
          <w:i w:val="0"/>
          <w:caps w:val="0"/>
          <w:color w:val="auto"/>
          <w:spacing w:val="0"/>
          <w:sz w:val="32"/>
          <w:szCs w:val="32"/>
          <w:highlight w:val="none"/>
          <w:shd w:val="clear" w:color="auto" w:fill="FFFFFF"/>
          <w:lang w:val="en-US" w:eastAsia="zh-CN"/>
        </w:rPr>
        <w:t>5.特困人员、孤儿、事实无人抚养未成年人、二十世纪六十年代初精减退职老职工、肇事肇祸精神障碍患者、计生“两户”及计生特殊家庭成员、低保对象、脱贫不稳定人口、边缘易致贫人口、突发严重困难人口以及低保边缘家庭人口中年满60周岁以上的老年人、未满18周岁的未成年人</w:t>
      </w:r>
      <w:r>
        <w:rPr>
          <w:rFonts w:hint="eastAsia" w:eastAsia="仿宋_GB2312" w:cs="仿宋_GB2312"/>
          <w:i w:val="0"/>
          <w:caps w:val="0"/>
          <w:color w:val="auto"/>
          <w:spacing w:val="0"/>
          <w:sz w:val="32"/>
          <w:szCs w:val="32"/>
          <w:highlight w:val="none"/>
          <w:shd w:val="clear" w:color="auto" w:fill="FFFFFF"/>
          <w:lang w:val="en-US" w:eastAsia="zh-CN"/>
        </w:rPr>
        <w:t>、</w:t>
      </w:r>
      <w:r>
        <w:rPr>
          <w:rFonts w:hint="eastAsia" w:ascii="Times New Roman" w:hAnsi="Times New Roman" w:eastAsia="仿宋_GB2312" w:cs="仿宋_GB2312"/>
          <w:i w:val="0"/>
          <w:caps w:val="0"/>
          <w:color w:val="auto"/>
          <w:spacing w:val="0"/>
          <w:sz w:val="32"/>
          <w:szCs w:val="32"/>
          <w:highlight w:val="none"/>
          <w:shd w:val="clear" w:color="auto" w:fill="FFFFFF"/>
          <w:lang w:val="en-US" w:eastAsia="zh-CN"/>
        </w:rPr>
        <w:t>重度残疾人享受全年动态参保资助政策，按规定享受政府全额或定额资助，并从缴费之日起享受居民医保待遇。</w:t>
      </w:r>
    </w:p>
    <w:p w14:paraId="26FF92E2">
      <w:pPr>
        <w:pStyle w:val="5"/>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snapToGrid/>
        <w:spacing w:before="0" w:beforeAutospacing="0" w:after="0" w:afterAutospacing="0" w:line="530" w:lineRule="exact"/>
        <w:ind w:left="0" w:leftChars="0" w:right="0" w:rightChars="0" w:firstLine="640" w:firstLineChars="200"/>
        <w:jc w:val="both"/>
        <w:textAlignment w:val="auto"/>
        <w:rPr>
          <w:rFonts w:hint="eastAsia" w:ascii="黑体" w:hAnsi="黑体" w:eastAsia="黑体" w:cs="黑体"/>
          <w:i w:val="0"/>
          <w:caps w:val="0"/>
          <w:color w:val="auto"/>
          <w:spacing w:val="0"/>
          <w:sz w:val="32"/>
          <w:szCs w:val="32"/>
          <w:highlight w:val="none"/>
          <w:shd w:val="clear" w:color="auto" w:fill="FFFFFF"/>
          <w:lang w:val="en-US" w:eastAsia="zh-CN"/>
        </w:rPr>
      </w:pPr>
      <w:r>
        <w:rPr>
          <w:rFonts w:hint="eastAsia" w:ascii="黑体" w:hAnsi="黑体" w:eastAsia="黑体" w:cs="黑体"/>
          <w:i w:val="0"/>
          <w:caps w:val="0"/>
          <w:color w:val="auto"/>
          <w:spacing w:val="0"/>
          <w:sz w:val="32"/>
          <w:szCs w:val="32"/>
          <w:highlight w:val="none"/>
          <w:shd w:val="clear" w:color="auto" w:fill="FFFFFF"/>
          <w:lang w:val="en-US" w:eastAsia="zh-CN"/>
        </w:rPr>
        <w:t>二、精准实施参保资助政策</w:t>
      </w:r>
    </w:p>
    <w:p w14:paraId="3C967062">
      <w:pPr>
        <w:pStyle w:val="5"/>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snapToGrid/>
        <w:spacing w:before="0" w:beforeAutospacing="0" w:after="0" w:afterAutospacing="0" w:line="530" w:lineRule="exact"/>
        <w:ind w:left="0" w:leftChars="0"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highlight w:val="none"/>
          <w:shd w:val="clear" w:color="auto" w:fill="FFFFFF"/>
          <w:lang w:val="en-US" w:eastAsia="zh-CN"/>
        </w:rPr>
      </w:pPr>
      <w:r>
        <w:rPr>
          <w:rFonts w:hint="eastAsia" w:ascii="楷体_GB2312" w:hAnsi="楷体_GB2312" w:eastAsia="楷体_GB2312" w:cs="楷体_GB2312"/>
          <w:i w:val="0"/>
          <w:caps w:val="0"/>
          <w:color w:val="auto"/>
          <w:spacing w:val="0"/>
          <w:sz w:val="32"/>
          <w:szCs w:val="32"/>
          <w:highlight w:val="none"/>
          <w:shd w:val="clear" w:color="auto" w:fill="FFFFFF"/>
          <w:lang w:val="en-US" w:eastAsia="zh-CN"/>
        </w:rPr>
        <w:t>（四）全额资助对象及标准。</w:t>
      </w:r>
      <w:r>
        <w:rPr>
          <w:rFonts w:hint="eastAsia" w:ascii="Times New Roman" w:hAnsi="Times New Roman" w:eastAsia="仿宋_GB2312" w:cs="仿宋_GB2312"/>
          <w:i w:val="0"/>
          <w:caps w:val="0"/>
          <w:color w:val="auto"/>
          <w:spacing w:val="0"/>
          <w:sz w:val="32"/>
          <w:szCs w:val="32"/>
          <w:highlight w:val="none"/>
          <w:shd w:val="clear" w:color="auto" w:fill="FFFFFF"/>
          <w:lang w:val="en-US" w:eastAsia="zh-CN"/>
        </w:rPr>
        <w:t>特困人员、孤儿、事实无人抚养未成年人、二十世纪六十年代初精减退职老职工、肇事肇祸精神障碍患者个人缴费所需资金由医疗救助基金全额承担。计生“两户”及计生特殊家庭成员个人缴费所需资金由县级财政全额承担。</w:t>
      </w:r>
    </w:p>
    <w:p w14:paraId="62E82E49">
      <w:pPr>
        <w:pStyle w:val="5"/>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snapToGrid/>
        <w:spacing w:before="0" w:beforeAutospacing="0" w:after="0" w:afterAutospacing="0" w:line="530" w:lineRule="exact"/>
        <w:ind w:left="0" w:leftChars="0"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highlight w:val="yellow"/>
          <w:shd w:val="clear" w:color="auto" w:fill="FFFFFF"/>
          <w:lang w:val="en-US" w:eastAsia="zh-CN"/>
        </w:rPr>
      </w:pPr>
      <w:r>
        <w:rPr>
          <w:rFonts w:hint="eastAsia" w:ascii="楷体_GB2312" w:hAnsi="楷体_GB2312" w:eastAsia="楷体_GB2312" w:cs="楷体_GB2312"/>
          <w:i w:val="0"/>
          <w:caps w:val="0"/>
          <w:color w:val="auto"/>
          <w:spacing w:val="0"/>
          <w:sz w:val="32"/>
          <w:szCs w:val="32"/>
          <w:highlight w:val="none"/>
          <w:shd w:val="clear" w:color="auto" w:fill="FFFFFF"/>
          <w:lang w:val="en-US" w:eastAsia="zh-CN"/>
        </w:rPr>
        <w:t>（五）定额资助对象及标准。</w:t>
      </w:r>
      <w:r>
        <w:rPr>
          <w:rFonts w:hint="eastAsia" w:ascii="Times New Roman" w:hAnsi="Times New Roman" w:eastAsia="仿宋_GB2312" w:cs="仿宋_GB2312"/>
          <w:i w:val="0"/>
          <w:caps w:val="0"/>
          <w:color w:val="auto"/>
          <w:spacing w:val="0"/>
          <w:sz w:val="32"/>
          <w:szCs w:val="32"/>
          <w:highlight w:val="none"/>
          <w:shd w:val="clear" w:color="auto" w:fill="FFFFFF"/>
          <w:lang w:val="en-US" w:eastAsia="zh-CN"/>
        </w:rPr>
        <w:t>低保对象、脱贫不稳定人口、边缘易致贫人口、突发严重困难人口个人缴费，医疗救助基金按按个人缴费标准的50%予以资助。低保边缘家庭人口中年满60周岁以上的老年人、未满18周岁的未成年人</w:t>
      </w:r>
      <w:r>
        <w:rPr>
          <w:rFonts w:hint="eastAsia" w:eastAsia="仿宋_GB2312" w:cs="仿宋_GB2312"/>
          <w:i w:val="0"/>
          <w:caps w:val="0"/>
          <w:color w:val="auto"/>
          <w:spacing w:val="0"/>
          <w:sz w:val="32"/>
          <w:szCs w:val="32"/>
          <w:highlight w:val="none"/>
          <w:shd w:val="clear" w:color="auto" w:fill="FFFFFF"/>
          <w:lang w:val="en-US" w:eastAsia="zh-CN"/>
        </w:rPr>
        <w:t>、</w:t>
      </w:r>
      <w:r>
        <w:rPr>
          <w:rFonts w:hint="eastAsia" w:ascii="Times New Roman" w:hAnsi="Times New Roman" w:eastAsia="仿宋_GB2312" w:cs="仿宋_GB2312"/>
          <w:i w:val="0"/>
          <w:caps w:val="0"/>
          <w:color w:val="auto"/>
          <w:spacing w:val="0"/>
          <w:sz w:val="32"/>
          <w:szCs w:val="32"/>
          <w:highlight w:val="none"/>
          <w:shd w:val="clear" w:color="auto" w:fill="FFFFFF"/>
          <w:lang w:val="en-US" w:eastAsia="zh-CN"/>
        </w:rPr>
        <w:t>重度残疾人个人缴费，医疗救助基金按个人缴费标准的</w:t>
      </w:r>
      <w:r>
        <w:rPr>
          <w:rFonts w:hint="eastAsia" w:eastAsia="仿宋_GB2312" w:cs="仿宋_GB2312"/>
          <w:i w:val="0"/>
          <w:caps w:val="0"/>
          <w:color w:val="auto"/>
          <w:spacing w:val="0"/>
          <w:sz w:val="32"/>
          <w:szCs w:val="32"/>
          <w:highlight w:val="none"/>
          <w:shd w:val="clear" w:color="auto" w:fill="FFFFFF"/>
          <w:lang w:val="en-US" w:eastAsia="zh-CN"/>
        </w:rPr>
        <w:t>3</w:t>
      </w:r>
      <w:r>
        <w:rPr>
          <w:rFonts w:hint="eastAsia" w:ascii="Times New Roman" w:hAnsi="Times New Roman" w:eastAsia="仿宋_GB2312" w:cs="仿宋_GB2312"/>
          <w:i w:val="0"/>
          <w:caps w:val="0"/>
          <w:color w:val="auto"/>
          <w:spacing w:val="0"/>
          <w:sz w:val="32"/>
          <w:szCs w:val="32"/>
          <w:highlight w:val="none"/>
          <w:shd w:val="clear" w:color="auto" w:fill="FFFFFF"/>
          <w:lang w:val="en-US" w:eastAsia="zh-CN"/>
        </w:rPr>
        <w:t>0%予以资助。</w:t>
      </w:r>
    </w:p>
    <w:p w14:paraId="70BA3428">
      <w:pPr>
        <w:pStyle w:val="5"/>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snapToGrid/>
        <w:spacing w:before="0" w:beforeAutospacing="0" w:after="0" w:afterAutospacing="0" w:line="530" w:lineRule="exact"/>
        <w:ind w:left="0" w:leftChars="0"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highlight w:val="none"/>
          <w:shd w:val="clear" w:color="auto" w:fill="FFFFFF"/>
          <w:lang w:val="en-US" w:eastAsia="zh-CN"/>
        </w:rPr>
      </w:pPr>
      <w:r>
        <w:rPr>
          <w:rFonts w:hint="eastAsia" w:ascii="Times New Roman" w:hAnsi="Times New Roman" w:eastAsia="仿宋_GB2312" w:cs="仿宋_GB2312"/>
          <w:i w:val="0"/>
          <w:caps w:val="0"/>
          <w:color w:val="auto"/>
          <w:spacing w:val="0"/>
          <w:sz w:val="32"/>
          <w:szCs w:val="32"/>
          <w:highlight w:val="none"/>
          <w:shd w:val="clear" w:color="auto" w:fill="FFFFFF"/>
          <w:lang w:val="en-US" w:eastAsia="zh-CN"/>
        </w:rPr>
        <w:t>其他符合参保资助条件的特殊困难人员，其资助标准由各市</w:t>
      </w:r>
      <w:r>
        <w:rPr>
          <w:rFonts w:hint="eastAsia" w:eastAsia="仿宋_GB2312" w:cs="仿宋_GB2312"/>
          <w:i w:val="0"/>
          <w:caps w:val="0"/>
          <w:color w:val="auto"/>
          <w:spacing w:val="0"/>
          <w:sz w:val="32"/>
          <w:szCs w:val="32"/>
          <w:highlight w:val="none"/>
          <w:shd w:val="clear" w:color="auto" w:fill="FFFFFF"/>
          <w:lang w:val="en-US" w:eastAsia="zh-CN"/>
        </w:rPr>
        <w:t>、州</w:t>
      </w:r>
      <w:r>
        <w:rPr>
          <w:rFonts w:hint="eastAsia" w:ascii="Times New Roman" w:hAnsi="Times New Roman" w:eastAsia="仿宋_GB2312" w:cs="仿宋_GB2312"/>
          <w:i w:val="0"/>
          <w:caps w:val="0"/>
          <w:color w:val="auto"/>
          <w:spacing w:val="0"/>
          <w:sz w:val="32"/>
          <w:szCs w:val="32"/>
          <w:highlight w:val="none"/>
          <w:shd w:val="clear" w:color="auto" w:fill="FFFFFF"/>
          <w:lang w:val="en-US" w:eastAsia="zh-CN"/>
        </w:rPr>
        <w:t>根据国家和省的政策文件结合实际进行明确。</w:t>
      </w:r>
    </w:p>
    <w:p w14:paraId="04EB29A6">
      <w:pPr>
        <w:pStyle w:val="5"/>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snapToGrid/>
        <w:spacing w:before="0" w:beforeAutospacing="0" w:after="0" w:afterAutospacing="0" w:line="530" w:lineRule="exact"/>
        <w:ind w:left="0" w:leftChars="0"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highlight w:val="none"/>
          <w:shd w:val="clear" w:color="auto" w:fill="FFFFFF"/>
          <w:lang w:val="en-US" w:eastAsia="zh-CN"/>
        </w:rPr>
      </w:pPr>
      <w:r>
        <w:rPr>
          <w:rFonts w:hint="eastAsia" w:ascii="楷体_GB2312" w:hAnsi="楷体_GB2312" w:eastAsia="楷体_GB2312" w:cs="楷体_GB2312"/>
          <w:i w:val="0"/>
          <w:caps w:val="0"/>
          <w:color w:val="auto"/>
          <w:spacing w:val="0"/>
          <w:sz w:val="32"/>
          <w:szCs w:val="32"/>
          <w:highlight w:val="none"/>
          <w:shd w:val="clear" w:color="auto" w:fill="FFFFFF"/>
          <w:lang w:val="en-US" w:eastAsia="zh-CN"/>
        </w:rPr>
        <w:t>（六）资助条件认定依据。</w:t>
      </w:r>
      <w:r>
        <w:rPr>
          <w:rFonts w:hint="eastAsia" w:ascii="Times New Roman" w:hAnsi="Times New Roman" w:eastAsia="仿宋_GB2312" w:cs="仿宋_GB2312"/>
          <w:i w:val="0"/>
          <w:caps w:val="0"/>
          <w:color w:val="auto"/>
          <w:spacing w:val="0"/>
          <w:sz w:val="32"/>
          <w:szCs w:val="32"/>
          <w:highlight w:val="none"/>
          <w:shd w:val="clear" w:color="auto" w:fill="FFFFFF"/>
          <w:lang w:val="en-US" w:eastAsia="zh-CN"/>
        </w:rPr>
        <w:t>按照《省人民政府办公厅关于健全重特大疾病医疗保险和救助制度的实施意见》（黔府办发〔2022〕19号）、《省医保局等四部门转发国家医保局办公室等四部门关于进一步做好医疗救助资助低收入困难群众参加城乡居民基本医疗保险工作的通知》（黔医保发〔2024〕8号）等文件规定执行。</w:t>
      </w:r>
    </w:p>
    <w:p w14:paraId="64EF39BD">
      <w:pPr>
        <w:pStyle w:val="5"/>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snapToGrid/>
        <w:spacing w:before="0" w:beforeAutospacing="0" w:after="0" w:afterAutospacing="0" w:line="530" w:lineRule="exact"/>
        <w:ind w:left="0" w:leftChars="0" w:right="0" w:rightChars="0" w:firstLine="640" w:firstLineChars="200"/>
        <w:jc w:val="both"/>
        <w:textAlignment w:val="auto"/>
        <w:rPr>
          <w:rFonts w:hint="eastAsia" w:ascii="黑体" w:hAnsi="黑体" w:eastAsia="黑体" w:cs="黑体"/>
          <w:i w:val="0"/>
          <w:caps w:val="0"/>
          <w:color w:val="auto"/>
          <w:spacing w:val="0"/>
          <w:sz w:val="32"/>
          <w:szCs w:val="32"/>
          <w:highlight w:val="none"/>
          <w:shd w:val="clear" w:color="auto" w:fill="FFFFFF"/>
          <w:lang w:val="en-US" w:eastAsia="zh-CN"/>
        </w:rPr>
      </w:pPr>
      <w:bookmarkStart w:id="3" w:name="OLE_LINK3"/>
      <w:bookmarkStart w:id="4" w:name="OLE_LINK5"/>
      <w:r>
        <w:rPr>
          <w:rFonts w:hint="eastAsia" w:ascii="黑体" w:hAnsi="黑体" w:eastAsia="黑体" w:cs="黑体"/>
          <w:i w:val="0"/>
          <w:caps w:val="0"/>
          <w:color w:val="auto"/>
          <w:spacing w:val="0"/>
          <w:sz w:val="32"/>
          <w:szCs w:val="32"/>
          <w:highlight w:val="none"/>
          <w:shd w:val="clear" w:color="auto" w:fill="FFFFFF"/>
          <w:lang w:val="en-US" w:eastAsia="zh-CN"/>
        </w:rPr>
        <w:t>三、聚焦重点群体精准发力</w:t>
      </w:r>
    </w:p>
    <w:p w14:paraId="1D2354EC">
      <w:pPr>
        <w:pStyle w:val="5"/>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snapToGrid/>
        <w:spacing w:before="0" w:beforeAutospacing="0" w:after="0" w:afterAutospacing="0" w:line="53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bookmarkStart w:id="5" w:name="OLE_LINK12"/>
      <w:bookmarkStart w:id="6" w:name="OLE_LINK13"/>
      <w:r>
        <w:rPr>
          <w:rFonts w:hint="eastAsia" w:ascii="楷体_GB2312" w:hAnsi="楷体_GB2312" w:eastAsia="楷体_GB2312" w:cs="楷体_GB2312"/>
          <w:i w:val="0"/>
          <w:caps w:val="0"/>
          <w:color w:val="auto"/>
          <w:spacing w:val="0"/>
          <w:sz w:val="32"/>
          <w:szCs w:val="32"/>
          <w:highlight w:val="none"/>
          <w:shd w:val="clear" w:color="auto" w:fill="FFFFFF"/>
          <w:lang w:val="en-US" w:eastAsia="zh-CN"/>
        </w:rPr>
        <w:t>（七）扩大高校学生参保覆盖面。</w:t>
      </w:r>
      <w:bookmarkEnd w:id="5"/>
      <w:bookmarkStart w:id="7" w:name="OLE_LINK1"/>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各市、州医保、税务部门要会同教育部门建立“部门协同、数据共享、服务联动”的三方协作机制，鼓励高校学生在学籍地参加居民医保，全面推行“学籍地参保、学校集中代办理”参保模式。延伸医保公共服务，有条件地区，可在高校生活区或教学区设立医保服务点，为高校学生提供政策咨询、参保登记、缴费办理等“一站式”参保服务。定期比对学籍与参保数据，精准定位未参保学生。创新宣传动员方式，通过线上线下相结合，发挥学校辅导员、社区网格员等基层力量，开展精准动员。</w:t>
      </w:r>
      <w:bookmarkEnd w:id="6"/>
    </w:p>
    <w:p w14:paraId="798DBC9D">
      <w:pPr>
        <w:pStyle w:val="5"/>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snapToGrid/>
        <w:spacing w:before="0" w:beforeAutospacing="0" w:after="0" w:afterAutospacing="0" w:line="530" w:lineRule="exact"/>
        <w:ind w:left="0" w:leftChars="0" w:right="0" w:rightChars="0" w:firstLine="640" w:firstLineChars="200"/>
        <w:jc w:val="both"/>
        <w:textAlignment w:val="auto"/>
        <w:rPr>
          <w:rFonts w:hint="eastAsia" w:ascii="楷体_GB2312" w:hAnsi="楷体_GB2312" w:eastAsia="楷体_GB2312" w:cs="楷体_GB2312"/>
          <w:i w:val="0"/>
          <w:caps w:val="0"/>
          <w:color w:val="auto"/>
          <w:spacing w:val="0"/>
          <w:sz w:val="32"/>
          <w:szCs w:val="32"/>
          <w:highlight w:val="none"/>
          <w:shd w:val="clear" w:color="auto" w:fill="FFFFFF"/>
          <w:lang w:val="en-US" w:eastAsia="zh-CN"/>
        </w:rPr>
      </w:pPr>
      <w:r>
        <w:rPr>
          <w:rFonts w:hint="eastAsia" w:ascii="楷体_GB2312" w:hAnsi="楷体_GB2312" w:eastAsia="楷体_GB2312" w:cs="楷体_GB2312"/>
          <w:i w:val="0"/>
          <w:caps w:val="0"/>
          <w:color w:val="auto"/>
          <w:spacing w:val="0"/>
          <w:sz w:val="32"/>
          <w:szCs w:val="32"/>
          <w:highlight w:val="none"/>
          <w:shd w:val="clear" w:color="auto" w:fill="FFFFFF"/>
          <w:lang w:val="en-US" w:eastAsia="zh-CN"/>
        </w:rPr>
        <w:t>（八）构建新生儿协同宣传机制。</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各市、州医保部门要主动联合卫生健康、妇联等部门，建立新生儿参保协同工作机制。充分发挥医疗卫生机构阵地作用，在社区卫生服务中心、妇幼保健院、乡镇卫生院等医疗机构设立宣传点，通过张贴海报、发放手册等方式开展宣传，并引导医护人员在诊疗时主动向新生儿家长讲解参保政策。联合妇联组织结合母婴健康讲座、亲子活动等载体，以通俗易懂的方式向家长宣传参保政策。同时利用“两微一端”（微博、微信、新闻客户端）等新媒体平台，发布参保指南、政策问答和典型案例，线上线下多渠道提升政策知晓率，构建覆盖医疗机构、社区家庭、网络平台的新生儿参保宣传服务网络。</w:t>
      </w:r>
    </w:p>
    <w:bookmarkEnd w:id="3"/>
    <w:bookmarkEnd w:id="7"/>
    <w:p w14:paraId="63D389B9">
      <w:pPr>
        <w:pStyle w:val="5"/>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snapToGrid/>
        <w:spacing w:before="0" w:beforeAutospacing="0" w:after="0" w:afterAutospacing="0" w:line="530" w:lineRule="exact"/>
        <w:ind w:left="0" w:leftChars="0" w:right="0" w:rightChars="0" w:firstLine="640" w:firstLineChars="200"/>
        <w:jc w:val="both"/>
        <w:textAlignment w:val="auto"/>
        <w:rPr>
          <w:rFonts w:hint="eastAsia" w:ascii="黑体" w:hAnsi="黑体" w:eastAsia="黑体" w:cs="黑体"/>
          <w:i w:val="0"/>
          <w:caps w:val="0"/>
          <w:color w:val="auto"/>
          <w:spacing w:val="0"/>
          <w:sz w:val="32"/>
          <w:szCs w:val="32"/>
          <w:highlight w:val="none"/>
          <w:shd w:val="clear" w:color="auto" w:fill="FFFFFF"/>
          <w:lang w:val="en-US" w:eastAsia="zh-CN"/>
        </w:rPr>
      </w:pPr>
      <w:r>
        <w:rPr>
          <w:rFonts w:hint="eastAsia" w:ascii="楷体_GB2312" w:hAnsi="楷体_GB2312" w:eastAsia="楷体_GB2312" w:cs="楷体_GB2312"/>
          <w:i w:val="0"/>
          <w:caps w:val="0"/>
          <w:color w:val="auto"/>
          <w:spacing w:val="0"/>
          <w:sz w:val="32"/>
          <w:szCs w:val="32"/>
          <w:highlight w:val="none"/>
          <w:shd w:val="clear" w:color="auto" w:fill="FFFFFF"/>
          <w:lang w:val="en-US" w:eastAsia="zh-CN"/>
        </w:rPr>
        <w:t>（九）巩固特殊困难群体参保成果。</w:t>
      </w:r>
      <w:bookmarkEnd w:id="4"/>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集中征缴期开启前，县级医保部门应与民政、农业农村、残联等部门共享特殊困难人员名单，并做好特殊人群身份标识工作。县级医保部门在医保业务基础子系统中准确标识特殊困难人员身份，对于身份重复的情况，按照就高且不重复享受资助的原则确定其征缴身份。确定最优征缴身份后，由系统自动推送至税务部门。省级税务部门需在系统中做好各类特殊困难人员资助缴费标准配置，确保特殊困难人员能够及时参保并享受政府资助。市级医保部门要将本级各类特殊困难人员资助缴费标准分别报税务局和省医保局，保证资助缴费标准准确、及时传达，为特殊困难群体参保提供有力保障。</w:t>
      </w:r>
    </w:p>
    <w:p w14:paraId="0DABE826">
      <w:pPr>
        <w:pStyle w:val="5"/>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snapToGrid/>
        <w:spacing w:before="0" w:beforeAutospacing="0" w:after="0" w:afterAutospacing="0" w:line="530" w:lineRule="exact"/>
        <w:ind w:left="0" w:leftChars="0" w:right="0" w:rightChars="0" w:firstLine="640" w:firstLineChars="200"/>
        <w:jc w:val="both"/>
        <w:textAlignment w:val="auto"/>
        <w:rPr>
          <w:rFonts w:hint="eastAsia" w:ascii="黑体" w:hAnsi="黑体" w:eastAsia="黑体" w:cs="黑体"/>
          <w:i w:val="0"/>
          <w:caps w:val="0"/>
          <w:color w:val="auto"/>
          <w:spacing w:val="0"/>
          <w:sz w:val="32"/>
          <w:szCs w:val="32"/>
          <w:highlight w:val="none"/>
          <w:shd w:val="clear" w:color="auto" w:fill="FFFFFF"/>
          <w:lang w:val="en-US" w:eastAsia="zh-CN"/>
        </w:rPr>
      </w:pPr>
      <w:r>
        <w:rPr>
          <w:rFonts w:hint="eastAsia" w:ascii="黑体" w:hAnsi="黑体" w:eastAsia="黑体" w:cs="黑体"/>
          <w:i w:val="0"/>
          <w:caps w:val="0"/>
          <w:color w:val="auto"/>
          <w:spacing w:val="0"/>
          <w:sz w:val="32"/>
          <w:szCs w:val="32"/>
          <w:highlight w:val="none"/>
          <w:shd w:val="clear" w:color="auto" w:fill="FFFFFF"/>
          <w:lang w:val="en-US" w:eastAsia="zh-CN"/>
        </w:rPr>
        <w:t>四、大力提升管理服务</w:t>
      </w:r>
      <w:bookmarkStart w:id="8" w:name="OLE_LINK10"/>
      <w:r>
        <w:rPr>
          <w:rFonts w:hint="eastAsia" w:ascii="黑体" w:hAnsi="黑体" w:eastAsia="黑体" w:cs="黑体"/>
          <w:i w:val="0"/>
          <w:caps w:val="0"/>
          <w:color w:val="auto"/>
          <w:spacing w:val="0"/>
          <w:sz w:val="32"/>
          <w:szCs w:val="32"/>
          <w:highlight w:val="none"/>
          <w:shd w:val="clear" w:color="auto" w:fill="FFFFFF"/>
          <w:lang w:val="en-US" w:eastAsia="zh-CN"/>
        </w:rPr>
        <w:t>效能</w:t>
      </w:r>
    </w:p>
    <w:p w14:paraId="66906A9A">
      <w:pPr>
        <w:pStyle w:val="5"/>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snapToGrid/>
        <w:spacing w:before="0" w:beforeAutospacing="0" w:after="0" w:afterAutospacing="0" w:line="530" w:lineRule="exact"/>
        <w:ind w:right="0" w:rightChars="0" w:firstLine="640" w:firstLineChars="200"/>
        <w:jc w:val="both"/>
        <w:textAlignment w:val="auto"/>
        <w:rPr>
          <w:rFonts w:hint="eastAsia" w:ascii="楷体_GB2312" w:hAnsi="楷体_GB2312" w:eastAsia="楷体_GB2312" w:cs="楷体_GB2312"/>
          <w:i w:val="0"/>
          <w:caps w:val="0"/>
          <w:color w:val="auto"/>
          <w:spacing w:val="0"/>
          <w:sz w:val="32"/>
          <w:szCs w:val="32"/>
          <w:highlight w:val="none"/>
          <w:shd w:val="clear" w:color="auto" w:fill="FFFFFF"/>
          <w:lang w:val="en-US" w:eastAsia="zh-CN"/>
        </w:rPr>
      </w:pPr>
      <w:bookmarkStart w:id="9" w:name="OLE_LINK15"/>
      <w:r>
        <w:rPr>
          <w:rFonts w:hint="eastAsia" w:ascii="楷体_GB2312" w:hAnsi="楷体_GB2312" w:eastAsia="楷体_GB2312" w:cs="楷体_GB2312"/>
          <w:i w:val="0"/>
          <w:caps w:val="0"/>
          <w:color w:val="auto"/>
          <w:spacing w:val="0"/>
          <w:sz w:val="32"/>
          <w:szCs w:val="32"/>
          <w:highlight w:val="none"/>
          <w:shd w:val="clear" w:color="auto" w:fill="FFFFFF"/>
          <w:lang w:val="en-US" w:eastAsia="zh-CN"/>
        </w:rPr>
        <w:t>（十）加快全民参保数据库建设。</w:t>
      </w:r>
      <w:bookmarkEnd w:id="9"/>
      <w:r>
        <w:rPr>
          <w:rFonts w:hint="eastAsia" w:eastAsia="仿宋_GB2312" w:cs="Times New Roman"/>
          <w:i w:val="0"/>
          <w:caps w:val="0"/>
          <w:color w:val="auto"/>
          <w:spacing w:val="0"/>
          <w:sz w:val="32"/>
          <w:szCs w:val="32"/>
          <w:highlight w:val="none"/>
          <w:shd w:val="clear" w:color="auto" w:fill="FFFFFF"/>
          <w:lang w:val="en-US" w:eastAsia="zh-CN"/>
        </w:rPr>
        <w:t>省级医保部门建成“一人一档”全民参保数据库（一期），重点实现实时动态监测机制、精准识别参保状态、智能推送参保提醒等功能。各市、州医保部门要组织开展系统操作专题培训，确保基层工作人员熟练掌握“一人一档”全民参保数据库（一期）系统操作方法，充分运用贵州医保APP、微信公众号等移动服务平台，为参保服务提供数据支撑。</w:t>
      </w:r>
    </w:p>
    <w:bookmarkEnd w:id="8"/>
    <w:p w14:paraId="5DC0D14E">
      <w:pPr>
        <w:pStyle w:val="5"/>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snapToGrid/>
        <w:spacing w:before="0" w:beforeAutospacing="0" w:after="0" w:afterAutospacing="0" w:line="53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bookmarkStart w:id="10" w:name="OLE_LINK9"/>
      <w:bookmarkStart w:id="11" w:name="OLE_LINK16"/>
      <w:r>
        <w:rPr>
          <w:rFonts w:hint="eastAsia" w:ascii="楷体_GB2312" w:hAnsi="楷体_GB2312" w:eastAsia="楷体_GB2312" w:cs="楷体_GB2312"/>
          <w:i w:val="0"/>
          <w:caps w:val="0"/>
          <w:color w:val="auto"/>
          <w:spacing w:val="0"/>
          <w:sz w:val="32"/>
          <w:szCs w:val="32"/>
          <w:highlight w:val="none"/>
          <w:shd w:val="clear" w:color="auto" w:fill="FFFFFF"/>
          <w:lang w:val="en-US" w:eastAsia="zh-CN"/>
        </w:rPr>
        <w:t>（十一）创新医保宣传引导方式。</w:t>
      </w:r>
      <w:bookmarkEnd w:id="10"/>
      <w:bookmarkEnd w:id="11"/>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要聚焦群众医疗保障需求升级，转变宣传思路，从简单的政策说教转向与群众建立价值共鸣。用老百姓听得懂的话讲清楚医保“看病马上报、健康长久保”的双重好处。创新宣传手段，通过真实案例讲解、方言短视频、新媒体传播、扫码一键查询等接地气的方式，让群众真正理解、记住、会用。重点突出医保的民生价值，让群众明白参保就是给健康存钱、为全家幸福投保，推动参保从“政府催着缴”变成“群众主动参”的根本转变。</w:t>
      </w:r>
    </w:p>
    <w:p w14:paraId="22F55F72">
      <w:pPr>
        <w:pStyle w:val="5"/>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snapToGrid/>
        <w:spacing w:before="0" w:beforeAutospacing="0" w:after="0" w:afterAutospacing="0" w:line="530" w:lineRule="exact"/>
        <w:ind w:left="0" w:leftChars="0" w:right="0" w:rightChars="0" w:firstLine="640" w:firstLineChars="200"/>
        <w:jc w:val="both"/>
        <w:textAlignment w:val="auto"/>
        <w:rPr>
          <w:rFonts w:hint="eastAsia" w:ascii="黑体" w:hAnsi="黑体" w:eastAsia="黑体" w:cs="黑体"/>
          <w:i w:val="0"/>
          <w:caps w:val="0"/>
          <w:color w:val="auto"/>
          <w:spacing w:val="0"/>
          <w:sz w:val="32"/>
          <w:szCs w:val="32"/>
          <w:highlight w:val="none"/>
          <w:shd w:val="clear" w:color="auto" w:fill="FFFFFF"/>
          <w:lang w:val="en-US" w:eastAsia="zh-CN"/>
        </w:rPr>
      </w:pPr>
      <w:r>
        <w:rPr>
          <w:rFonts w:hint="eastAsia" w:ascii="黑体" w:hAnsi="黑体" w:eastAsia="黑体" w:cs="黑体"/>
          <w:i w:val="0"/>
          <w:caps w:val="0"/>
          <w:color w:val="auto"/>
          <w:spacing w:val="0"/>
          <w:sz w:val="32"/>
          <w:szCs w:val="32"/>
          <w:highlight w:val="none"/>
          <w:shd w:val="clear" w:color="auto" w:fill="FFFFFF"/>
          <w:lang w:val="en-US" w:eastAsia="zh-CN"/>
        </w:rPr>
        <w:t>五、工作要求</w:t>
      </w:r>
    </w:p>
    <w:p w14:paraId="2A130B34">
      <w:pPr>
        <w:pStyle w:val="5"/>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snapToGrid/>
        <w:spacing w:before="0" w:beforeAutospacing="0" w:after="0" w:afterAutospacing="0" w:line="530" w:lineRule="exact"/>
        <w:ind w:right="0" w:rightChars="0" w:firstLine="640" w:firstLineChars="200"/>
        <w:jc w:val="both"/>
        <w:textAlignment w:val="auto"/>
        <w:rPr>
          <w:rFonts w:hint="eastAsia" w:eastAsia="仿宋_GB2312" w:cs="Times New Roman"/>
          <w:i w:val="0"/>
          <w:caps w:val="0"/>
          <w:color w:val="auto"/>
          <w:spacing w:val="0"/>
          <w:sz w:val="32"/>
          <w:szCs w:val="32"/>
          <w:highlight w:val="none"/>
          <w:shd w:val="clear" w:color="auto" w:fill="FFFFFF"/>
          <w:lang w:val="en-US" w:eastAsia="zh-CN"/>
        </w:rPr>
      </w:pPr>
      <w:r>
        <w:rPr>
          <w:rFonts w:hint="eastAsia" w:ascii="楷体_GB2312" w:hAnsi="楷体_GB2312" w:eastAsia="楷体_GB2312" w:cs="楷体_GB2312"/>
          <w:i w:val="0"/>
          <w:caps w:val="0"/>
          <w:color w:val="auto"/>
          <w:spacing w:val="0"/>
          <w:sz w:val="32"/>
          <w:szCs w:val="32"/>
          <w:highlight w:val="none"/>
          <w:shd w:val="clear" w:color="auto" w:fill="FFFFFF"/>
          <w:lang w:val="en-US" w:eastAsia="zh-CN"/>
        </w:rPr>
        <w:t>（十二）强化组织领导。</w:t>
      </w:r>
      <w:bookmarkStart w:id="12" w:name="OLE_LINK4"/>
      <w:bookmarkStart w:id="13" w:name="OLE_LINK2"/>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居民医保参保征缴工作是筑牢民生保障网底、推动共同富裕的基础性制度安排，是检验基本医疗保障成果、维护群众健康权益的重要衡量标准。各市、州医保、税务部门要认真贯彻落实</w:t>
      </w:r>
      <w:r>
        <w:rPr>
          <w:rFonts w:hint="default" w:ascii="Times New Roman" w:hAnsi="Times New Roman" w:eastAsia="仿宋_GB2312" w:cs="Times New Roman"/>
          <w:i w:val="0"/>
          <w:caps w:val="0"/>
          <w:color w:val="auto"/>
          <w:spacing w:val="0"/>
          <w:sz w:val="32"/>
          <w:szCs w:val="32"/>
          <w:shd w:val="clear" w:color="auto" w:fill="FFFFFF"/>
          <w:lang w:val="en-US" w:eastAsia="zh-CN"/>
        </w:rPr>
        <w:t>国办发〔2024〕38号</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精神，牢牢把握“政府主导、部门协同、基层动员、单位履责、个人尽责”的总体要求，积极向当地党委政府汇报参保征缴工作，争取党委政府重视，加强组织领导，构建起“纵向到底、横向到边”的责任落实体系。</w:t>
      </w:r>
      <w:r>
        <w:rPr>
          <w:rFonts w:hint="eastAsia" w:eastAsia="仿宋_GB2312" w:cs="Times New Roman"/>
          <w:i w:val="0"/>
          <w:caps w:val="0"/>
          <w:color w:val="auto"/>
          <w:spacing w:val="0"/>
          <w:sz w:val="32"/>
          <w:szCs w:val="32"/>
          <w:highlight w:val="none"/>
          <w:shd w:val="clear" w:color="auto" w:fill="FFFFFF"/>
          <w:lang w:val="en-US" w:eastAsia="zh-CN"/>
        </w:rPr>
        <w:t>通过服务提质、宣传增效、责任压实等务实举措，推动2026年度国家及省目标任务如期完成。</w:t>
      </w:r>
      <w:bookmarkStart w:id="14" w:name="OLE_LINK6"/>
    </w:p>
    <w:p w14:paraId="0CE0ABF8">
      <w:pPr>
        <w:pStyle w:val="5"/>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snapToGrid/>
        <w:spacing w:before="0" w:beforeAutospacing="0" w:after="0" w:afterAutospacing="0" w:line="530" w:lineRule="exact"/>
        <w:ind w:right="0" w:rightChars="0"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楷体_GB2312" w:hAnsi="楷体_GB2312" w:eastAsia="楷体_GB2312" w:cs="楷体_GB2312"/>
          <w:i w:val="0"/>
          <w:caps w:val="0"/>
          <w:color w:val="auto"/>
          <w:spacing w:val="0"/>
          <w:sz w:val="32"/>
          <w:szCs w:val="32"/>
          <w:highlight w:val="none"/>
          <w:shd w:val="clear" w:color="auto" w:fill="FFFFFF"/>
          <w:lang w:val="en-US" w:eastAsia="zh-CN"/>
        </w:rPr>
        <w:t>（十三）加强部门协同。</w:t>
      </w:r>
      <w:bookmarkEnd w:id="12"/>
      <w:bookmarkEnd w:id="13"/>
      <w:bookmarkStart w:id="15" w:name="OLE_LINK17"/>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各级政府要切实履行参保征缴主体责任，持续压实乡（镇、街道）组织参保职责。各市、州医保、税务部门要牵头建立跨部门协同工作机制，与其他相关部门形成“目标一致、责任明确、数据共享”的工作格局。医保部门负责统筹做好参保动员、文件制定、宣传解读等工作。税务部门负责做好征收工作和缴费服务。协助做好参保动员工作。财政部门负责对基本医保基金的收支、管理情况实施监督，落实财政补助资金及时足额到位。同时，要与教育部门加强工作协同与数据共享。要与民政局、农业农村局、残联等部门共同做好重点人群参保服务工作。</w:t>
      </w:r>
    </w:p>
    <w:bookmarkEnd w:id="14"/>
    <w:bookmarkEnd w:id="15"/>
    <w:p w14:paraId="3D6F93F3">
      <w:pPr>
        <w:pStyle w:val="5"/>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autoSpaceDE/>
        <w:autoSpaceDN/>
        <w:bidi w:val="0"/>
        <w:adjustRightInd/>
        <w:snapToGrid/>
        <w:spacing w:before="0" w:beforeAutospacing="0" w:after="0" w:afterAutospacing="0" w:line="530" w:lineRule="exact"/>
        <w:ind w:right="0" w:rightChars="0" w:firstLine="640" w:firstLineChars="200"/>
        <w:jc w:val="both"/>
        <w:textAlignment w:val="auto"/>
        <w:rPr>
          <w:rFonts w:hint="eastAsia" w:eastAsia="仿宋_GB2312" w:cs="Times New Roman"/>
          <w:i w:val="0"/>
          <w:caps w:val="0"/>
          <w:color w:val="auto"/>
          <w:spacing w:val="0"/>
          <w:sz w:val="32"/>
          <w:szCs w:val="32"/>
          <w:highlight w:val="none"/>
          <w:shd w:val="clear" w:color="auto" w:fill="FFFFFF"/>
          <w:lang w:val="en-US" w:eastAsia="zh-CN"/>
        </w:rPr>
      </w:pPr>
      <w:bookmarkStart w:id="16" w:name="OLE_LINK8"/>
      <w:r>
        <w:rPr>
          <w:rFonts w:hint="eastAsia" w:ascii="楷体_GB2312" w:hAnsi="楷体_GB2312" w:eastAsia="楷体_GB2312" w:cs="楷体_GB2312"/>
          <w:i w:val="0"/>
          <w:caps w:val="0"/>
          <w:color w:val="auto"/>
          <w:spacing w:val="0"/>
          <w:sz w:val="32"/>
          <w:szCs w:val="32"/>
          <w:highlight w:val="none"/>
          <w:shd w:val="clear" w:color="auto" w:fill="FFFFFF"/>
          <w:lang w:val="en-US" w:eastAsia="zh-CN"/>
        </w:rPr>
        <w:t>（十四）强化督导调度。</w:t>
      </w:r>
      <w:bookmarkEnd w:id="16"/>
      <w:r>
        <w:rPr>
          <w:rFonts w:hint="eastAsia" w:eastAsia="仿宋_GB2312" w:cs="Times New Roman"/>
          <w:i w:val="0"/>
          <w:caps w:val="0"/>
          <w:color w:val="auto"/>
          <w:spacing w:val="0"/>
          <w:sz w:val="32"/>
          <w:szCs w:val="32"/>
          <w:highlight w:val="none"/>
          <w:shd w:val="clear" w:color="auto" w:fill="FFFFFF"/>
          <w:lang w:val="en-US" w:eastAsia="zh-CN"/>
        </w:rPr>
        <w:t>自2024年起，中组部将基本医保参保情况纳入对省政府的社会保障综合考核。国家医保局建立通报督导机制，实行考核结果与绩效挂钩。各市、州要结合基层减负工作要求，建立符合本地实际的“目标分解-过程管控-结果运用”全流程管控体系。省财政、医保部门将各地参保工作成效作为中央财政医疗服务与保障能力提升补助资金分配的重要参考因素。</w:t>
      </w:r>
    </w:p>
    <w:p w14:paraId="69F71EB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7C6B6AB-2F6A-42D3-8351-81823986EB2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5F0D956-302D-4659-BC39-56493A30864A}"/>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embedRegular r:id="rId3" w:fontKey="{E66DC76D-ABCF-43F0-A15B-BF3B0AA52CFA}"/>
  </w:font>
  <w:font w:name="方正小标宋简体">
    <w:panose1 w:val="02010600010101010101"/>
    <w:charset w:val="86"/>
    <w:family w:val="auto"/>
    <w:pitch w:val="default"/>
    <w:sig w:usb0="00000001" w:usb1="080E0000" w:usb2="00000000" w:usb3="00000000" w:csb0="00040000" w:csb1="00000000"/>
    <w:embedRegular r:id="rId4" w:fontKey="{003C08BF-64CA-46F6-9B09-782E191192BF}"/>
  </w:font>
  <w:font w:name="楷体_GB2312">
    <w:altName w:val="楷体"/>
    <w:panose1 w:val="02010609030101010101"/>
    <w:charset w:val="86"/>
    <w:family w:val="auto"/>
    <w:pitch w:val="default"/>
    <w:sig w:usb0="00000000" w:usb1="00000000" w:usb2="00000000" w:usb3="00000000" w:csb0="00040000" w:csb1="00000000"/>
    <w:embedRegular r:id="rId5" w:fontKey="{4EF7B6AD-4098-4939-B019-A5350F32BBB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307875"/>
    <w:rsid w:val="073078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Body Text First Indent 21"/>
    <w:basedOn w:val="3"/>
    <w:next w:val="4"/>
    <w:qFormat/>
    <w:uiPriority w:val="99"/>
    <w:pPr>
      <w:ind w:left="0" w:firstLine="420"/>
    </w:pPr>
    <w:rPr>
      <w:rFonts w:ascii="仿宋_GB2312" w:eastAsia="仿宋_GB2312" w:cs="仿宋_GB2312"/>
      <w:sz w:val="32"/>
      <w:szCs w:val="32"/>
    </w:rPr>
  </w:style>
  <w:style w:type="paragraph" w:customStyle="1" w:styleId="3">
    <w:name w:val="Body Text Indent1"/>
    <w:basedOn w:val="1"/>
    <w:qFormat/>
    <w:uiPriority w:val="99"/>
    <w:pPr>
      <w:ind w:left="420" w:leftChars="200"/>
    </w:pPr>
  </w:style>
  <w:style w:type="paragraph" w:styleId="4">
    <w:name w:val="Body Text"/>
    <w:basedOn w:val="1"/>
    <w:qFormat/>
    <w:uiPriority w:val="99"/>
    <w:pPr>
      <w:ind w:left="159"/>
      <w:jc w:val="left"/>
    </w:pPr>
    <w:rPr>
      <w:rFonts w:ascii="宋体" w:hAnsi="宋体" w:eastAsia="宋体" w:cs="宋体"/>
      <w:kern w:val="0"/>
      <w:sz w:val="23"/>
      <w:szCs w:val="23"/>
      <w:lang w:eastAsia="en-US"/>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2025-09-03T07:03:00Z</dcterms:created>
  <dc:creator>明明你</dc:creator>
  <cp:lastModifiedBy>明明你</cp:lastModifiedBy>
  <dcterms:modified xsi:type="dcterms:W3CDTF">2025-09-03T07:03:44Z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C33958A8DE064DCEB5A18EF2438BEFEB_11</vt:lpwstr>
  </property>
  <property fmtid="{D5CDD505-2E9C-101B-9397-08002B2CF9AE}" pid="4" name="KSOTemplateDocerSaveRecord">
    <vt:lpwstr>eyJoZGlkIjoiZjRmMzdkOWI5ODVkYmU1YzY1MWVlOTA4NjIwYzRkNjQiLCJ1c2VySWQiOiI0MzkxMjc2NjUifQ==</vt:lpwstr>
  </property>
</Properties>
</file>