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0" w:firstLineChars="50"/>
        <w:jc w:val="both"/>
        <w:rPr>
          <w:rFonts w:hint="default" w:ascii="Times New Roman" w:hAnsi="Times New Roman" w:eastAsia="方正小标宋_GBK" w:cs="Times New Roman"/>
          <w:color w:val="000000"/>
          <w:kern w:val="0"/>
          <w:sz w:val="44"/>
          <w:szCs w:val="44"/>
        </w:rPr>
      </w:pPr>
      <w:r>
        <w:rPr>
          <w:rFonts w:hint="default" w:ascii="Times New Roman" w:hAnsi="Times New Roman" w:eastAsia="黑体" w:cs="Times New Roman"/>
          <w:sz w:val="32"/>
          <w:szCs w:val="32"/>
        </w:rPr>
        <w:t>附件</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color w:val="000000"/>
          <w:kern w:val="0"/>
          <w:sz w:val="44"/>
          <w:szCs w:val="44"/>
          <w:lang w:val="en-US" w:eastAsia="zh-CN"/>
        </w:rPr>
      </w:pPr>
      <w:r>
        <w:rPr>
          <w:rFonts w:hint="default" w:ascii="Times New Roman" w:hAnsi="Times New Roman" w:eastAsia="方正小标宋_GBK" w:cs="Times New Roman"/>
          <w:color w:val="000000"/>
          <w:kern w:val="0"/>
          <w:sz w:val="44"/>
          <w:szCs w:val="44"/>
          <w:lang w:val="en-US" w:eastAsia="zh-CN"/>
        </w:rPr>
        <w:t>连云港市试行期满转归医疗服务项目价格表</w:t>
      </w:r>
    </w:p>
    <w:tbl>
      <w:tblPr>
        <w:tblW w:w="509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29"/>
        <w:gridCol w:w="1392"/>
        <w:gridCol w:w="2066"/>
        <w:gridCol w:w="3037"/>
        <w:gridCol w:w="1534"/>
        <w:gridCol w:w="677"/>
        <w:gridCol w:w="727"/>
        <w:gridCol w:w="874"/>
        <w:gridCol w:w="863"/>
        <w:gridCol w:w="871"/>
        <w:gridCol w:w="1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blHeader/>
          <w:jc w:val="center"/>
        </w:trPr>
        <w:tc>
          <w:tcPr>
            <w:tcW w:w="262" w:type="pct"/>
            <w:vMerge w:val="restart"/>
            <w:tcBorders>
              <w:top w:val="single" w:color="000000" w:sz="4" w:space="0"/>
              <w:left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bdr w:val="none" w:color="auto" w:sz="0" w:space="0"/>
                <w:lang w:val="en-US" w:eastAsia="zh-CN" w:bidi="ar"/>
              </w:rPr>
              <w:t>序号</w:t>
            </w:r>
          </w:p>
        </w:tc>
        <w:tc>
          <w:tcPr>
            <w:tcW w:w="500" w:type="pct"/>
            <w:vMerge w:val="restart"/>
            <w:tcBorders>
              <w:top w:val="single" w:color="000000" w:sz="4" w:space="0"/>
              <w:left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bdr w:val="none" w:color="auto" w:sz="0" w:space="0"/>
                <w:lang w:val="en-US" w:eastAsia="zh-CN" w:bidi="ar"/>
              </w:rPr>
              <w:t>编码</w:t>
            </w:r>
          </w:p>
        </w:tc>
        <w:tc>
          <w:tcPr>
            <w:tcW w:w="742" w:type="pct"/>
            <w:vMerge w:val="restart"/>
            <w:tcBorders>
              <w:top w:val="single" w:color="000000" w:sz="4" w:space="0"/>
              <w:left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bdr w:val="none" w:color="auto" w:sz="0" w:space="0"/>
                <w:lang w:val="en-US" w:eastAsia="zh-CN" w:bidi="ar"/>
              </w:rPr>
              <w:t>项目名称</w:t>
            </w:r>
          </w:p>
        </w:tc>
        <w:tc>
          <w:tcPr>
            <w:tcW w:w="1091" w:type="pct"/>
            <w:vMerge w:val="restart"/>
            <w:tcBorders>
              <w:top w:val="single" w:color="000000" w:sz="4" w:space="0"/>
              <w:left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bdr w:val="none" w:color="auto" w:sz="0" w:space="0"/>
                <w:lang w:val="en-US" w:eastAsia="zh-CN" w:bidi="ar"/>
              </w:rPr>
              <w:t>项目内涵</w:t>
            </w:r>
          </w:p>
        </w:tc>
        <w:tc>
          <w:tcPr>
            <w:tcW w:w="551" w:type="pct"/>
            <w:vMerge w:val="restart"/>
            <w:tcBorders>
              <w:top w:val="single" w:color="000000" w:sz="4" w:space="0"/>
              <w:left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bdr w:val="none" w:color="auto" w:sz="0" w:space="0"/>
                <w:lang w:val="en-US" w:eastAsia="zh-CN" w:bidi="ar"/>
              </w:rPr>
              <w:t>除外内容</w:t>
            </w:r>
          </w:p>
        </w:tc>
        <w:tc>
          <w:tcPr>
            <w:tcW w:w="243" w:type="pct"/>
            <w:vMerge w:val="restart"/>
            <w:tcBorders>
              <w:top w:val="single" w:color="000000" w:sz="4" w:space="0"/>
              <w:left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bdr w:val="none" w:color="auto" w:sz="0" w:space="0"/>
                <w:lang w:val="en-US" w:eastAsia="zh-CN" w:bidi="ar"/>
              </w:rPr>
              <w:t>医保支付类别</w:t>
            </w:r>
          </w:p>
        </w:tc>
        <w:tc>
          <w:tcPr>
            <w:tcW w:w="261" w:type="pct"/>
            <w:vMerge w:val="restart"/>
            <w:tcBorders>
              <w:top w:val="single" w:color="000000" w:sz="4" w:space="0"/>
              <w:left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bdr w:val="none" w:color="auto" w:sz="0" w:space="0"/>
                <w:lang w:val="en-US" w:eastAsia="zh-CN" w:bidi="ar"/>
              </w:rPr>
              <w:t>计价</w:t>
            </w:r>
            <w:r>
              <w:rPr>
                <w:rFonts w:hint="eastAsia" w:ascii="方正黑体_GBK" w:hAnsi="方正黑体_GBK" w:eastAsia="方正黑体_GBK" w:cs="方正黑体_GBK"/>
                <w:i w:val="0"/>
                <w:color w:val="000000"/>
                <w:kern w:val="0"/>
                <w:sz w:val="22"/>
                <w:szCs w:val="22"/>
                <w:u w:val="none"/>
                <w:bdr w:val="none" w:color="auto" w:sz="0" w:space="0"/>
                <w:lang w:val="en-US" w:eastAsia="zh-CN" w:bidi="ar"/>
              </w:rPr>
              <w:br w:type="textWrapping"/>
            </w:r>
            <w:r>
              <w:rPr>
                <w:rFonts w:hint="eastAsia" w:ascii="方正黑体_GBK" w:hAnsi="方正黑体_GBK" w:eastAsia="方正黑体_GBK" w:cs="方正黑体_GBK"/>
                <w:i w:val="0"/>
                <w:color w:val="000000"/>
                <w:kern w:val="0"/>
                <w:sz w:val="22"/>
                <w:szCs w:val="22"/>
                <w:u w:val="none"/>
                <w:bdr w:val="none" w:color="auto" w:sz="0" w:space="0"/>
                <w:lang w:val="en-US" w:eastAsia="zh-CN" w:bidi="ar"/>
              </w:rPr>
              <w:t>单位</w:t>
            </w:r>
          </w:p>
        </w:tc>
        <w:tc>
          <w:tcPr>
            <w:tcW w:w="937"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kern w:val="0"/>
                <w:sz w:val="22"/>
                <w:szCs w:val="22"/>
                <w:u w:val="none"/>
                <w:lang w:val="en-US" w:eastAsia="zh-CN" w:bidi="ar"/>
              </w:rPr>
            </w:pPr>
            <w:r>
              <w:rPr>
                <w:rFonts w:hint="eastAsia" w:ascii="方正黑体_GBK" w:hAnsi="方正黑体_GBK" w:eastAsia="方正黑体_GBK" w:cs="方正黑体_GBK"/>
                <w:i w:val="0"/>
                <w:color w:val="000000"/>
                <w:kern w:val="0"/>
                <w:sz w:val="22"/>
                <w:szCs w:val="22"/>
                <w:u w:val="none"/>
                <w:bdr w:val="none" w:color="auto" w:sz="0" w:space="0"/>
                <w:lang w:val="en-US" w:eastAsia="zh-CN" w:bidi="ar"/>
              </w:rPr>
              <w:t>拟定价格（元）</w:t>
            </w:r>
          </w:p>
        </w:tc>
        <w:tc>
          <w:tcPr>
            <w:tcW w:w="408" w:type="pct"/>
            <w:vMerge w:val="restart"/>
            <w:tcBorders>
              <w:top w:val="single" w:color="000000" w:sz="4" w:space="0"/>
              <w:left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5" w:hRule="atLeast"/>
          <w:tblHeader/>
          <w:jc w:val="center"/>
        </w:trPr>
        <w:tc>
          <w:tcPr>
            <w:tcW w:w="262" w:type="pct"/>
            <w:vMerge w:val="continue"/>
            <w:tcBorders>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pPr>
          </w:p>
        </w:tc>
        <w:tc>
          <w:tcPr>
            <w:tcW w:w="500" w:type="pct"/>
            <w:vMerge w:val="continue"/>
            <w:tcBorders>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pPr>
          </w:p>
        </w:tc>
        <w:tc>
          <w:tcPr>
            <w:tcW w:w="742" w:type="pct"/>
            <w:vMerge w:val="continue"/>
            <w:tcBorders>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pPr>
          </w:p>
        </w:tc>
        <w:tc>
          <w:tcPr>
            <w:tcW w:w="1091" w:type="pct"/>
            <w:vMerge w:val="continue"/>
            <w:tcBorders>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pPr>
          </w:p>
        </w:tc>
        <w:tc>
          <w:tcPr>
            <w:tcW w:w="551" w:type="pct"/>
            <w:vMerge w:val="continue"/>
            <w:tcBorders>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pPr>
          </w:p>
        </w:tc>
        <w:tc>
          <w:tcPr>
            <w:tcW w:w="243" w:type="pct"/>
            <w:vMerge w:val="continue"/>
            <w:tcBorders>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pPr>
          </w:p>
        </w:tc>
        <w:tc>
          <w:tcPr>
            <w:tcW w:w="261" w:type="pct"/>
            <w:vMerge w:val="continue"/>
            <w:tcBorders>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pPr>
          </w:p>
        </w:tc>
        <w:tc>
          <w:tcPr>
            <w:tcW w:w="3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pPr>
            <w:r>
              <w:rPr>
                <w:rFonts w:hint="eastAsia" w:ascii="方正黑体_GBK" w:hAnsi="方正黑体_GBK" w:eastAsia="方正黑体_GBK" w:cs="方正黑体_GBK"/>
                <w:i w:val="0"/>
                <w:color w:val="000000"/>
                <w:kern w:val="0"/>
                <w:sz w:val="22"/>
                <w:szCs w:val="22"/>
                <w:u w:val="none"/>
                <w:lang w:val="en-US" w:eastAsia="zh-CN" w:bidi="ar"/>
              </w:rPr>
              <w:t>三类医院</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pPr>
            <w:r>
              <w:rPr>
                <w:rFonts w:hint="eastAsia" w:ascii="方正黑体_GBK" w:hAnsi="方正黑体_GBK" w:eastAsia="方正黑体_GBK" w:cs="方正黑体_GBK"/>
                <w:i w:val="0"/>
                <w:color w:val="000000"/>
                <w:kern w:val="0"/>
                <w:sz w:val="22"/>
                <w:szCs w:val="22"/>
                <w:u w:val="none"/>
                <w:lang w:val="en-US" w:eastAsia="zh-CN" w:bidi="ar"/>
              </w:rPr>
              <w:t>二类医院</w:t>
            </w:r>
          </w:p>
        </w:tc>
        <w:tc>
          <w:tcPr>
            <w:tcW w:w="31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pPr>
            <w:r>
              <w:rPr>
                <w:rFonts w:hint="eastAsia" w:ascii="方正黑体_GBK" w:hAnsi="方正黑体_GBK" w:eastAsia="方正黑体_GBK" w:cs="方正黑体_GBK"/>
                <w:i w:val="0"/>
                <w:color w:val="000000"/>
                <w:kern w:val="0"/>
                <w:sz w:val="22"/>
                <w:szCs w:val="22"/>
                <w:u w:val="none"/>
                <w:lang w:val="en-US" w:eastAsia="zh-CN" w:bidi="ar"/>
              </w:rPr>
              <w:t>一类医院</w:t>
            </w:r>
          </w:p>
        </w:tc>
        <w:tc>
          <w:tcPr>
            <w:tcW w:w="408" w:type="pct"/>
            <w:vMerge w:val="continue"/>
            <w:tcBorders>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310300056-a</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眼底自发荧光检查</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适用于视网膜变性类疾病及眼底荧</w:t>
            </w:r>
            <w:bookmarkStart w:id="0" w:name="_GoBack"/>
            <w:bookmarkEnd w:id="0"/>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光造影联合检查。</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次（双眼）</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26</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26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26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310300068-a</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Style w:val="61"/>
                <w:bdr w:val="none" w:color="auto" w:sz="0" w:space="0"/>
                <w:lang w:val="en-US" w:eastAsia="zh-CN" w:bidi="ar"/>
              </w:rPr>
              <w:t>格栅视觉诱发电位（</w:t>
            </w:r>
            <w:r>
              <w:rPr>
                <w:rStyle w:val="62"/>
                <w:rFonts w:eastAsia="方正仿宋_GBK"/>
                <w:bdr w:val="none" w:color="auto" w:sz="0" w:space="0"/>
                <w:lang w:val="en-US" w:eastAsia="zh-CN" w:bidi="ar"/>
              </w:rPr>
              <w:t>ICVEP</w:t>
            </w:r>
            <w:r>
              <w:rPr>
                <w:rStyle w:val="61"/>
                <w:bdr w:val="none" w:color="auto" w:sz="0" w:space="0"/>
                <w:lang w:val="en-US" w:eastAsia="zh-CN" w:bidi="ar"/>
              </w:rPr>
              <w:t>）</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含电极</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甲</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次（双眼）</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197</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197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197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310501007-a</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光学数字化口腔扫描</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含数字化口内扫面、软件分析，形成三维数字化印模。</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单颌</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64</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64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64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4</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310505007</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面部三维照相</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图像记录</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体位</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46</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46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46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6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310511002-a</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化学微创去龋术</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龋齿的检查，将龋齿凝胶放入龋洞，软化龋坏牙质，用专门设计的手工工具（去腐工作尖）将软化的龋坏组织去除，洞形设计，垫底和充填。</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每牙</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166</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166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166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6</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310511002-b</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后牙树脂充填修复术</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去净腐质，窝洞预备，清理干燥，酸蚀，涂布粘接剂，光固化，采用大块树脂充填，光固化，调磨抛光。包括后牙分层色树脂修复术。</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每牙</w:t>
            </w:r>
          </w:p>
        </w:tc>
        <w:tc>
          <w:tcPr>
            <w:tcW w:w="314" w:type="pct"/>
            <w:tcBorders>
              <w:top w:val="single" w:color="000000" w:sz="4" w:space="0"/>
              <w:left w:val="single" w:color="000000" w:sz="4" w:space="0"/>
              <w:bottom w:val="nil"/>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275</w:t>
            </w:r>
          </w:p>
        </w:tc>
        <w:tc>
          <w:tcPr>
            <w:tcW w:w="310" w:type="pct"/>
            <w:tcBorders>
              <w:top w:val="single" w:color="000000" w:sz="4" w:space="0"/>
              <w:left w:val="single" w:color="000000" w:sz="4" w:space="0"/>
              <w:bottom w:val="nil"/>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275 </w:t>
            </w:r>
          </w:p>
        </w:tc>
        <w:tc>
          <w:tcPr>
            <w:tcW w:w="313" w:type="pct"/>
            <w:tcBorders>
              <w:top w:val="single" w:color="000000" w:sz="4" w:space="0"/>
              <w:left w:val="single" w:color="000000" w:sz="4" w:space="0"/>
              <w:bottom w:val="nil"/>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275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7</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310511017-b</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根管热塑牙胶垂直加压充填术</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包括根管常温牙胶注射式加压充填术</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每根管</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75</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75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75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8</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310514003-b</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口腔黏膜激光治疗</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含光纤</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次</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186</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186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186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9</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310514004</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口腔黏膜病变无创筛查</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指筛查口腔黏膜潜在恶性疾患</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次</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30</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30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30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311400065-a</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冷湿敷法（小）</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不含湿敷药物；清洁皮肤，用无菌纱布，保持潮湿，恢复舒适体位</w:t>
            </w:r>
            <w:r>
              <w:rPr>
                <w:rFonts w:hint="default" w:ascii="Times New Roman" w:hAnsi="Times New Roman" w:eastAsia="方正仿宋_GBK" w:cs="Times New Roman"/>
                <w:i w:val="0"/>
                <w:color w:val="000000"/>
                <w:kern w:val="0"/>
                <w:sz w:val="22"/>
                <w:szCs w:val="22"/>
                <w:u w:val="none"/>
                <w:bdr w:val="none" w:color="auto" w:sz="0" w:space="0"/>
                <w:lang w:val="en-US" w:eastAsia="zh-CN" w:bidi="ar"/>
              </w:rPr>
              <w:t>,</w:t>
            </w: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面积</w:t>
            </w:r>
            <w:r>
              <w:rPr>
                <w:rFonts w:hint="default" w:ascii="Times New Roman" w:hAnsi="Times New Roman" w:eastAsia="方正仿宋_GBK" w:cs="Times New Roman"/>
                <w:i w:val="0"/>
                <w:color w:val="000000"/>
                <w:kern w:val="0"/>
                <w:sz w:val="22"/>
                <w:szCs w:val="22"/>
                <w:u w:val="none"/>
                <w:bdr w:val="none" w:color="auto" w:sz="0" w:space="0"/>
                <w:lang w:val="en-US" w:eastAsia="zh-CN" w:bidi="ar"/>
              </w:rPr>
              <w:t>≤240</w:t>
            </w: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w:t>
            </w:r>
            <w:r>
              <w:rPr>
                <w:rFonts w:hint="default" w:ascii="Times New Roman" w:hAnsi="Times New Roman" w:eastAsia="方正仿宋_GBK" w:cs="Times New Roman"/>
                <w:i w:val="0"/>
                <w:color w:val="000000"/>
                <w:kern w:val="0"/>
                <w:sz w:val="22"/>
                <w:szCs w:val="22"/>
                <w:u w:val="none"/>
                <w:bdr w:val="none" w:color="auto" w:sz="0" w:space="0"/>
                <w:vertAlign w:val="superscript"/>
                <w:lang w:val="en-US" w:eastAsia="zh-CN" w:bidi="ar"/>
              </w:rPr>
              <w:t>2</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次</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20</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20</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20</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11</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311400065-b</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冷湿敷法（中）</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不含湿敷药物；清洁皮肤，用无菌纱布，保持潮湿，恢复舒适体位</w:t>
            </w:r>
            <w:r>
              <w:rPr>
                <w:rFonts w:hint="default" w:ascii="Times New Roman" w:hAnsi="Times New Roman" w:eastAsia="方正仿宋_GBK" w:cs="Times New Roman"/>
                <w:i w:val="0"/>
                <w:color w:val="000000"/>
                <w:kern w:val="0"/>
                <w:sz w:val="22"/>
                <w:szCs w:val="22"/>
                <w:u w:val="none"/>
                <w:bdr w:val="none" w:color="auto" w:sz="0" w:space="0"/>
                <w:lang w:val="en-US" w:eastAsia="zh-CN" w:bidi="ar"/>
              </w:rPr>
              <w:t>,</w:t>
            </w: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面积</w:t>
            </w:r>
            <w:r>
              <w:rPr>
                <w:rFonts w:hint="default" w:ascii="Times New Roman" w:hAnsi="Times New Roman" w:eastAsia="方正仿宋_GBK" w:cs="Times New Roman"/>
                <w:i w:val="0"/>
                <w:color w:val="000000"/>
                <w:kern w:val="0"/>
                <w:sz w:val="22"/>
                <w:szCs w:val="22"/>
                <w:u w:val="none"/>
                <w:bdr w:val="none" w:color="auto" w:sz="0" w:space="0"/>
                <w:lang w:val="en-US" w:eastAsia="zh-CN" w:bidi="ar"/>
              </w:rPr>
              <w:t>240</w:t>
            </w: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w:t>
            </w:r>
            <w:r>
              <w:rPr>
                <w:rFonts w:hint="default" w:ascii="Times New Roman" w:hAnsi="Times New Roman" w:eastAsia="方正仿宋_GBK" w:cs="Times New Roman"/>
                <w:i w:val="0"/>
                <w:color w:val="000000"/>
                <w:kern w:val="0"/>
                <w:sz w:val="22"/>
                <w:szCs w:val="22"/>
                <w:u w:val="none"/>
                <w:bdr w:val="none" w:color="auto" w:sz="0" w:space="0"/>
                <w:vertAlign w:val="superscript"/>
                <w:lang w:val="en-US" w:eastAsia="zh-CN" w:bidi="ar"/>
              </w:rPr>
              <w:t>2</w:t>
            </w:r>
            <w:r>
              <w:rPr>
                <w:rFonts w:hint="default" w:ascii="Times New Roman" w:hAnsi="Times New Roman" w:eastAsia="方正仿宋_GBK" w:cs="Times New Roman"/>
                <w:i w:val="0"/>
                <w:color w:val="000000"/>
                <w:kern w:val="0"/>
                <w:sz w:val="22"/>
                <w:szCs w:val="22"/>
                <w:u w:val="none"/>
                <w:bdr w:val="none" w:color="auto" w:sz="0" w:space="0"/>
                <w:lang w:val="en-US" w:eastAsia="zh-CN" w:bidi="ar"/>
              </w:rPr>
              <w:t>-480</w:t>
            </w: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w:t>
            </w:r>
            <w:r>
              <w:rPr>
                <w:rFonts w:hint="default" w:ascii="Times New Roman" w:hAnsi="Times New Roman" w:eastAsia="方正仿宋_GBK" w:cs="Times New Roman"/>
                <w:i w:val="0"/>
                <w:color w:val="000000"/>
                <w:kern w:val="0"/>
                <w:sz w:val="22"/>
                <w:szCs w:val="22"/>
                <w:u w:val="none"/>
                <w:bdr w:val="none" w:color="auto" w:sz="0" w:space="0"/>
                <w:vertAlign w:val="superscript"/>
                <w:lang w:val="en-US" w:eastAsia="zh-CN" w:bidi="ar"/>
              </w:rPr>
              <w:t>2</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次</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25</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25</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25</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12</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311400065-c</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冷湿敷法（大）</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不含湿敷药物；清洁皮肤，用无菌纱布，保持潮湿，恢复舒适体位</w:t>
            </w:r>
            <w:r>
              <w:rPr>
                <w:rFonts w:hint="default" w:ascii="Times New Roman" w:hAnsi="Times New Roman" w:eastAsia="方正仿宋_GBK" w:cs="Times New Roman"/>
                <w:i w:val="0"/>
                <w:color w:val="000000"/>
                <w:kern w:val="0"/>
                <w:sz w:val="22"/>
                <w:szCs w:val="22"/>
                <w:u w:val="none"/>
                <w:bdr w:val="none" w:color="auto" w:sz="0" w:space="0"/>
                <w:lang w:val="en-US" w:eastAsia="zh-CN" w:bidi="ar"/>
              </w:rPr>
              <w:t>,</w:t>
            </w: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面积</w:t>
            </w:r>
            <w:r>
              <w:rPr>
                <w:rFonts w:hint="default" w:ascii="Times New Roman" w:hAnsi="Times New Roman" w:eastAsia="方正仿宋_GBK" w:cs="Times New Roman"/>
                <w:i w:val="0"/>
                <w:color w:val="000000"/>
                <w:kern w:val="0"/>
                <w:sz w:val="22"/>
                <w:szCs w:val="22"/>
                <w:u w:val="none"/>
                <w:bdr w:val="none" w:color="auto" w:sz="0" w:space="0"/>
                <w:lang w:val="en-US" w:eastAsia="zh-CN" w:bidi="ar"/>
              </w:rPr>
              <w:t>≥480</w:t>
            </w: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w:t>
            </w:r>
            <w:r>
              <w:rPr>
                <w:rFonts w:hint="default" w:ascii="Times New Roman" w:hAnsi="Times New Roman" w:eastAsia="方正仿宋_GBK" w:cs="Times New Roman"/>
                <w:i w:val="0"/>
                <w:color w:val="000000"/>
                <w:kern w:val="0"/>
                <w:sz w:val="22"/>
                <w:szCs w:val="22"/>
                <w:u w:val="none"/>
                <w:bdr w:val="none" w:color="auto" w:sz="0" w:space="0"/>
                <w:vertAlign w:val="superscript"/>
                <w:lang w:val="en-US" w:eastAsia="zh-CN" w:bidi="ar"/>
              </w:rPr>
              <w:t>2</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次</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30</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30</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311503008-a</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行为观察和治疗</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指对孤独症等心理发育障碍儿童的行为进行全面系统的观察，找到形成各行为的原因及其功能，进行全面专业的儿童行为分析，制订有计划的行为治疗方案并予实施。</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次</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117</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117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117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14</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311503032</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儿童孤独症综合训练</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Style w:val="61"/>
                <w:bdr w:val="none" w:color="auto" w:sz="0" w:space="0"/>
                <w:lang w:val="en-US" w:eastAsia="zh-CN" w:bidi="ar"/>
              </w:rPr>
              <w:t>为</w:t>
            </w:r>
            <w:r>
              <w:rPr>
                <w:rStyle w:val="62"/>
                <w:rFonts w:eastAsia="方正仿宋_GBK"/>
                <w:bdr w:val="none" w:color="auto" w:sz="0" w:space="0"/>
                <w:lang w:val="en-US" w:eastAsia="zh-CN" w:bidi="ar"/>
              </w:rPr>
              <w:t>ASD</w:t>
            </w:r>
            <w:r>
              <w:rPr>
                <w:rStyle w:val="61"/>
                <w:bdr w:val="none" w:color="auto" w:sz="0" w:space="0"/>
                <w:lang w:val="en-US" w:eastAsia="zh-CN" w:bidi="ar"/>
              </w:rPr>
              <w:t>儿童提供孤独症训练评估、训练及家长指导、提高</w:t>
            </w:r>
            <w:r>
              <w:rPr>
                <w:rStyle w:val="62"/>
                <w:rFonts w:eastAsia="方正仿宋_GBK"/>
                <w:bdr w:val="none" w:color="auto" w:sz="0" w:space="0"/>
                <w:lang w:val="en-US" w:eastAsia="zh-CN" w:bidi="ar"/>
              </w:rPr>
              <w:t>ASD</w:t>
            </w:r>
            <w:r>
              <w:rPr>
                <w:rStyle w:val="61"/>
                <w:bdr w:val="none" w:color="auto" w:sz="0" w:space="0"/>
                <w:lang w:val="en-US" w:eastAsia="zh-CN" w:bidi="ar"/>
              </w:rPr>
              <w:t>儿童社交沟通能力，促进</w:t>
            </w:r>
            <w:r>
              <w:rPr>
                <w:rStyle w:val="62"/>
                <w:rFonts w:eastAsia="方正仿宋_GBK"/>
                <w:bdr w:val="none" w:color="auto" w:sz="0" w:space="0"/>
                <w:lang w:val="en-US" w:eastAsia="zh-CN" w:bidi="ar"/>
              </w:rPr>
              <w:t>ASD</w:t>
            </w:r>
            <w:r>
              <w:rPr>
                <w:rStyle w:val="61"/>
                <w:bdr w:val="none" w:color="auto" w:sz="0" w:space="0"/>
                <w:lang w:val="en-US" w:eastAsia="zh-CN" w:bidi="ar"/>
              </w:rPr>
              <w:t>儿童家长掌握社交沟通训练的基本理论及家庭干预方法。首次不少于</w:t>
            </w:r>
            <w:r>
              <w:rPr>
                <w:rStyle w:val="62"/>
                <w:rFonts w:eastAsia="方正仿宋_GBK"/>
                <w:bdr w:val="none" w:color="auto" w:sz="0" w:space="0"/>
                <w:lang w:val="en-US" w:eastAsia="zh-CN" w:bidi="ar"/>
              </w:rPr>
              <w:t>2</w:t>
            </w:r>
            <w:r>
              <w:rPr>
                <w:rStyle w:val="61"/>
                <w:bdr w:val="none" w:color="auto" w:sz="0" w:space="0"/>
                <w:lang w:val="en-US" w:eastAsia="zh-CN" w:bidi="ar"/>
              </w:rPr>
              <w:t>小时，以后每次不少于</w:t>
            </w:r>
            <w:r>
              <w:rPr>
                <w:rStyle w:val="62"/>
                <w:rFonts w:eastAsia="方正仿宋_GBK"/>
                <w:bdr w:val="none" w:color="auto" w:sz="0" w:space="0"/>
                <w:lang w:val="en-US" w:eastAsia="zh-CN" w:bidi="ar"/>
              </w:rPr>
              <w:t>1</w:t>
            </w:r>
            <w:r>
              <w:rPr>
                <w:rStyle w:val="61"/>
                <w:bdr w:val="none" w:color="auto" w:sz="0" w:space="0"/>
                <w:lang w:val="en-US" w:eastAsia="zh-CN" w:bidi="ar"/>
              </w:rPr>
              <w:t>小时。</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次</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113</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113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113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15</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311503033</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多模态儿童行为观察与测量</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指利用多模态行为数据采集系统，含音频、视频的过程采集及存储，配合音视频和深度图像数据处理计算机软件，进行儿童行为测量。</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次</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98</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98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98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16</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311503034</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认知障碍功能训练</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指对患者进行认知功能训练，改善患者注意力、记忆力和执行功能，对患者进行认知康复训练。</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次</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91</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91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91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17</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311503035</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虚拟现实认知行为治疗</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指将一位或多位患者带入其所恐惧或排斥的场景中，让患者与场景发生自然的交互。</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次</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93</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93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93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18</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33-o</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涎腺内窥镜系统加收</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含取物篮</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次</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1178</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1178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1178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19</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330401022</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眼睑痉挛肌肉切除术</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含上下睑轮匝肌部分切除、降眉肌及皱眉肌切除、眼睑皮肤切除</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次</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1163</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930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744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不得加收显微镜费用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330401023</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眼睑全缺损修复术</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含睑板、结膜肌肉、皮瓣等修复</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次</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1163</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930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744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不得加收显微镜费用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21</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330404014</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角膜胶原交联术</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用于增强角膜强度，阻止圆锥角膜扩张，抑制和改善难治性角膜炎。</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单眼</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4800</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3840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3072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22</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330405022</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超声睫状体成形术</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指使用高强度聚焦超声精确定位于眼部水房产生部位选择性消融部分靶组织</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一次性使用治疗头</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单眼</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2757</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2206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1764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23</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331602016</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静脉植入式给药装置植入术</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植入式给药装置</w:t>
            </w: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甲</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次</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372</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298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238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24</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340100020-a</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臭氧局部水疗</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局部清洁，适当浓度的臭氧水，对靶部位淋洗、浸泡、湿敷治疗。</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次</w:t>
            </w:r>
          </w:p>
        </w:tc>
        <w:tc>
          <w:tcPr>
            <w:tcW w:w="314" w:type="pct"/>
            <w:tcBorders>
              <w:top w:val="single" w:color="000000" w:sz="4" w:space="0"/>
              <w:left w:val="single" w:color="000000" w:sz="4" w:space="0"/>
              <w:bottom w:val="nil"/>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79</w:t>
            </w:r>
          </w:p>
        </w:tc>
        <w:tc>
          <w:tcPr>
            <w:tcW w:w="310" w:type="pct"/>
            <w:tcBorders>
              <w:top w:val="single" w:color="000000" w:sz="4" w:space="0"/>
              <w:left w:val="single" w:color="000000" w:sz="4" w:space="0"/>
              <w:bottom w:val="nil"/>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79 </w:t>
            </w:r>
          </w:p>
        </w:tc>
        <w:tc>
          <w:tcPr>
            <w:tcW w:w="313" w:type="pct"/>
            <w:tcBorders>
              <w:top w:val="single" w:color="000000" w:sz="4" w:space="0"/>
              <w:left w:val="single" w:color="000000" w:sz="4" w:space="0"/>
              <w:bottom w:val="nil"/>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79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Style w:val="61"/>
                <w:bdr w:val="none" w:color="auto" w:sz="0" w:space="0"/>
                <w:lang w:val="en-US" w:eastAsia="zh-CN" w:bidi="ar"/>
              </w:rPr>
              <w:t>半身加收</w:t>
            </w:r>
            <w:r>
              <w:rPr>
                <w:rStyle w:val="62"/>
                <w:rFonts w:eastAsia="方正仿宋_GBK"/>
                <w:bdr w:val="none" w:color="auto" w:sz="0" w:space="0"/>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25</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340100030</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Style w:val="61"/>
                <w:bdr w:val="none" w:color="auto" w:sz="0" w:space="0"/>
                <w:lang w:val="en-US" w:eastAsia="zh-CN" w:bidi="ar"/>
              </w:rPr>
              <w:t>阴部</w:t>
            </w:r>
            <w:r>
              <w:rPr>
                <w:rStyle w:val="62"/>
                <w:rFonts w:eastAsia="方正仿宋_GBK"/>
                <w:bdr w:val="none" w:color="auto" w:sz="0" w:space="0"/>
                <w:lang w:val="en-US" w:eastAsia="zh-CN" w:bidi="ar"/>
              </w:rPr>
              <w:t>/</w:t>
            </w:r>
            <w:r>
              <w:rPr>
                <w:rStyle w:val="61"/>
                <w:bdr w:val="none" w:color="auto" w:sz="0" w:space="0"/>
                <w:lang w:val="en-US" w:eastAsia="zh-CN" w:bidi="ar"/>
              </w:rPr>
              <w:t>盆底肌磁刺激治疗</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含电极棒</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次</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103</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103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103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26</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340200052</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足底受力反馈系统检查</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含检测报告、评定及治疗建议</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次</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132</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132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132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27</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340200053</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肢体运动功能评估</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包含检测报告、评定及治疗建议</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次</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53</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53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53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6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28</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340200054</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婴幼儿中枢性视障训练</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Style w:val="61"/>
                <w:bdr w:val="none" w:color="auto" w:sz="0" w:space="0"/>
                <w:lang w:val="en-US" w:eastAsia="zh-CN" w:bidi="ar"/>
              </w:rPr>
              <w:t>适用于</w:t>
            </w:r>
            <w:r>
              <w:rPr>
                <w:rStyle w:val="62"/>
                <w:rFonts w:eastAsia="方正仿宋_GBK"/>
                <w:bdr w:val="none" w:color="auto" w:sz="0" w:space="0"/>
                <w:lang w:val="en-US" w:eastAsia="zh-CN" w:bidi="ar"/>
              </w:rPr>
              <w:t>0-6</w:t>
            </w:r>
            <w:r>
              <w:rPr>
                <w:rStyle w:val="61"/>
                <w:bdr w:val="none" w:color="auto" w:sz="0" w:space="0"/>
                <w:lang w:val="en-US" w:eastAsia="zh-CN" w:bidi="ar"/>
              </w:rPr>
              <w:t>岁各种原因导致的视功能损害的低视力儿童，为中枢性视障儿童提供适宜的视觉刺激，诱发婴幼儿脑部处理视觉信息的能力，训练患儿基本视功能、视感知及视觉肌能训练。</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次</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109</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109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109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29</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340200055</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儿童口部感觉运动功能训练</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通过口部肌肉的感知觉刺激与运动功能锻炼，帮助脑瘫、孤独症、构音障碍、语言发育迟缓、唐氏综合征等染色体疾病、唇腭裂术后和听力障碍儿童以及口腔功能发育不良导致的喂养困难等特殊儿童建立正常的口部运动模式，提高特殊儿童参与进食、吞咽和构音的能力。</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次</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70</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70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限三级医疗机构使用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30</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340200056</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吞咽障碍仪器治疗</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吞咽肌点刺激，对吞咽肌及构音肌进行点刺激和强化治疗，改善吞咽功能。</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次</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61</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61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61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4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31</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340200057</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运动医学指导</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由运动医学科医师制定个性化运动处方，对从事体育锻炼者或病人，根据医学检查资料，按其健康、体力以及心血管功能状况，用运动处方的形式规定运动种类、运动强度、运动时间、运动频率、运动量和运动进度等。</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次</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100</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100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100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32</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340200058</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四肢瘫肢体综合训练</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用于高位脊髓损伤，累及四肢的严重颅脑损伤、脑瘫等。</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Style w:val="61"/>
                <w:bdr w:val="none" w:color="auto" w:sz="0" w:space="0"/>
                <w:lang w:val="en-US" w:eastAsia="zh-CN" w:bidi="ar"/>
              </w:rPr>
              <w:t>每</w:t>
            </w:r>
            <w:r>
              <w:rPr>
                <w:rStyle w:val="62"/>
                <w:rFonts w:eastAsia="方正仿宋_GBK"/>
                <w:bdr w:val="none" w:color="auto" w:sz="0" w:space="0"/>
                <w:lang w:val="en-US" w:eastAsia="zh-CN" w:bidi="ar"/>
              </w:rPr>
              <w:t>20</w:t>
            </w:r>
            <w:r>
              <w:rPr>
                <w:rStyle w:val="61"/>
                <w:bdr w:val="none" w:color="auto" w:sz="0" w:space="0"/>
                <w:lang w:val="en-US" w:eastAsia="zh-CN" w:bidi="ar"/>
              </w:rPr>
              <w:t>分钟</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53</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53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53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33</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340200059</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本体感觉神经肌肉促进训练</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神经损伤，关键点控制训练，反射模式及肌张力调整，控制不正常姿势，改善本体感觉功能。</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Style w:val="61"/>
                <w:bdr w:val="none" w:color="auto" w:sz="0" w:space="0"/>
                <w:lang w:val="en-US" w:eastAsia="zh-CN" w:bidi="ar"/>
              </w:rPr>
              <w:t>每</w:t>
            </w:r>
            <w:r>
              <w:rPr>
                <w:rStyle w:val="62"/>
                <w:rFonts w:eastAsia="方正仿宋_GBK"/>
                <w:bdr w:val="none" w:color="auto" w:sz="0" w:space="0"/>
                <w:lang w:val="en-US" w:eastAsia="zh-CN" w:bidi="ar"/>
              </w:rPr>
              <w:t>20</w:t>
            </w:r>
            <w:r>
              <w:rPr>
                <w:rStyle w:val="61"/>
                <w:bdr w:val="none" w:color="auto" w:sz="0" w:space="0"/>
                <w:lang w:val="en-US" w:eastAsia="zh-CN" w:bidi="ar"/>
              </w:rPr>
              <w:t>分钟</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52</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52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52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34</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340200060</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博巴斯训练</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神经系统损伤，单双侧对称、非对称的交叉运动训练及运动控制训练。</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Style w:val="61"/>
                <w:bdr w:val="none" w:color="auto" w:sz="0" w:space="0"/>
                <w:lang w:val="en-US" w:eastAsia="zh-CN" w:bidi="ar"/>
              </w:rPr>
              <w:t>每</w:t>
            </w:r>
            <w:r>
              <w:rPr>
                <w:rStyle w:val="62"/>
                <w:rFonts w:eastAsia="方正仿宋_GBK"/>
                <w:bdr w:val="none" w:color="auto" w:sz="0" w:space="0"/>
                <w:lang w:val="en-US" w:eastAsia="zh-CN" w:bidi="ar"/>
              </w:rPr>
              <w:t>20</w:t>
            </w:r>
            <w:r>
              <w:rPr>
                <w:rStyle w:val="61"/>
                <w:bdr w:val="none" w:color="auto" w:sz="0" w:space="0"/>
                <w:lang w:val="en-US" w:eastAsia="zh-CN" w:bidi="ar"/>
              </w:rPr>
              <w:t>分钟</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52</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52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52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35</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340200061</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布伦斯特伦训练</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神经系统疾病，姿势反射、联合反映、共同运动反映的诱导，分离运动的诱发。</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Style w:val="61"/>
                <w:bdr w:val="none" w:color="auto" w:sz="0" w:space="0"/>
                <w:lang w:val="en-US" w:eastAsia="zh-CN" w:bidi="ar"/>
              </w:rPr>
              <w:t>每</w:t>
            </w:r>
            <w:r>
              <w:rPr>
                <w:rStyle w:val="62"/>
                <w:rFonts w:eastAsia="方正仿宋_GBK"/>
                <w:bdr w:val="none" w:color="auto" w:sz="0" w:space="0"/>
                <w:lang w:val="en-US" w:eastAsia="zh-CN" w:bidi="ar"/>
              </w:rPr>
              <w:t>20</w:t>
            </w:r>
            <w:r>
              <w:rPr>
                <w:rStyle w:val="61"/>
                <w:bdr w:val="none" w:color="auto" w:sz="0" w:space="0"/>
                <w:lang w:val="en-US" w:eastAsia="zh-CN" w:bidi="ar"/>
              </w:rPr>
              <w:t>分钟</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52</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52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52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36</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340200062</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感觉功能检查</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包括浅感觉、深感觉功能检查</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次</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53</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53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53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限神经系统、骨关节系统损伤及疾病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37</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340200063</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主被动仪器训练</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包括上肢主被动仪器训练，下肢主被动仪器训练。</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次</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61</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61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61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38</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340200064</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呼吸训练</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指导或协助患者通过调整呼吸频率、深度和方式来改善气体交换、肺功能和身体的整体健康。包括呼吸控制训练、咳嗽与排痰训练、呼吸肌训练。</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次</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62</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62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62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39</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420000017</w:t>
            </w:r>
          </w:p>
        </w:tc>
        <w:tc>
          <w:tcPr>
            <w:tcW w:w="7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脊柱相关性疾病姿态分析及训练</w:t>
            </w:r>
          </w:p>
        </w:tc>
        <w:tc>
          <w:tcPr>
            <w:tcW w:w="10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包含检测报告、评定及治疗建议</w:t>
            </w:r>
          </w:p>
        </w:tc>
        <w:tc>
          <w:tcPr>
            <w:tcW w:w="5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丙</w:t>
            </w:r>
          </w:p>
        </w:tc>
        <w:tc>
          <w:tcPr>
            <w:tcW w:w="2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次</w:t>
            </w:r>
          </w:p>
        </w:tc>
        <w:tc>
          <w:tcPr>
            <w:tcW w:w="3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99</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99 </w:t>
            </w:r>
          </w:p>
        </w:tc>
        <w:tc>
          <w:tcPr>
            <w:tcW w:w="31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99 </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color w:val="000000"/>
                <w:sz w:val="22"/>
                <w:szCs w:val="22"/>
                <w:u w:val="none"/>
              </w:rPr>
            </w:pPr>
          </w:p>
        </w:tc>
      </w:tr>
    </w:tbl>
    <w:p>
      <w:pPr>
        <w:jc w:val="both"/>
        <w:rPr>
          <w:rFonts w:hint="default" w:ascii="Times New Roman" w:hAnsi="Times New Roman" w:eastAsia="黑体" w:cs="Times New Roman"/>
          <w:sz w:val="32"/>
          <w:szCs w:val="32"/>
        </w:rPr>
      </w:pPr>
    </w:p>
    <w:sectPr>
      <w:footerReference r:id="rId3" w:type="default"/>
      <w:footerReference r:id="rId4" w:type="even"/>
      <w:pgSz w:w="16838" w:h="11906" w:orient="landscape"/>
      <w:pgMar w:top="1531" w:right="1701" w:bottom="153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- 15 -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- 15 -</w:t>
                    </w:r>
                    <w:r>
                      <w:rPr>
                        <w:rFonts w:hint="eastAsia" w:ascii="宋体" w:hAnsi="宋体" w:cs="宋体"/>
                        <w:sz w:val="28"/>
                        <w:szCs w:val="28"/>
                      </w:rP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- 14 -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5VQQhIgIAADc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uVUEISICAAA3BAAADgAAAAAAAAABACAAAAA1AQAAZHJzL2Uyb0RvYy54&#10;bWxQSwUGAAAAAAYABgBZAQAAyQUAAAAA&#10;">
              <v:fill on="f" focussize="0,0"/>
              <v:stroke on="f" weight="0.5pt"/>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- 14 -</w:t>
                    </w:r>
                    <w:r>
                      <w:rPr>
                        <w:rFonts w:hint="eastAsia" w:ascii="宋体" w:hAnsi="宋体" w:cs="宋体"/>
                        <w:sz w:val="28"/>
                        <w:szCs w:val="28"/>
                      </w:rPr>
                      <w:fldChar w:fldCharType="end"/>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evenAndOddHeaders w:val="true"/>
  <w:drawingGridHorizontalSpacing w:val="105"/>
  <w:drawingGridVerticalSpacing w:val="319"/>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NDYwYzhmYjY4MjNkZThlOWNjYTEyMmUyOGFkM2YifQ=="/>
  </w:docVars>
  <w:rsids>
    <w:rsidRoot w:val="00F64303"/>
    <w:rsid w:val="00012446"/>
    <w:rsid w:val="00013D52"/>
    <w:rsid w:val="00041D02"/>
    <w:rsid w:val="000472AD"/>
    <w:rsid w:val="00076004"/>
    <w:rsid w:val="00077415"/>
    <w:rsid w:val="00083107"/>
    <w:rsid w:val="0009082F"/>
    <w:rsid w:val="00096ABD"/>
    <w:rsid w:val="000A520A"/>
    <w:rsid w:val="000B15DA"/>
    <w:rsid w:val="000B5217"/>
    <w:rsid w:val="000B5792"/>
    <w:rsid w:val="000B773C"/>
    <w:rsid w:val="000C64C3"/>
    <w:rsid w:val="000D32F5"/>
    <w:rsid w:val="000D582A"/>
    <w:rsid w:val="000F1B81"/>
    <w:rsid w:val="000F1F23"/>
    <w:rsid w:val="000F54FF"/>
    <w:rsid w:val="000F660D"/>
    <w:rsid w:val="000F7191"/>
    <w:rsid w:val="000F745D"/>
    <w:rsid w:val="000F7E64"/>
    <w:rsid w:val="00100F19"/>
    <w:rsid w:val="001056DA"/>
    <w:rsid w:val="0011128B"/>
    <w:rsid w:val="001127CB"/>
    <w:rsid w:val="00114B8B"/>
    <w:rsid w:val="00114C1E"/>
    <w:rsid w:val="00122161"/>
    <w:rsid w:val="0012232C"/>
    <w:rsid w:val="001231F0"/>
    <w:rsid w:val="001476BA"/>
    <w:rsid w:val="001578A1"/>
    <w:rsid w:val="00170AA9"/>
    <w:rsid w:val="00172355"/>
    <w:rsid w:val="0017329D"/>
    <w:rsid w:val="0017408C"/>
    <w:rsid w:val="0018184A"/>
    <w:rsid w:val="00190314"/>
    <w:rsid w:val="001B22D2"/>
    <w:rsid w:val="001B2E1C"/>
    <w:rsid w:val="001B4BE5"/>
    <w:rsid w:val="001C6B5D"/>
    <w:rsid w:val="001D154C"/>
    <w:rsid w:val="001D5E69"/>
    <w:rsid w:val="001E0BA9"/>
    <w:rsid w:val="001F381A"/>
    <w:rsid w:val="001F3E2C"/>
    <w:rsid w:val="001F5847"/>
    <w:rsid w:val="00206EF9"/>
    <w:rsid w:val="00213727"/>
    <w:rsid w:val="0021769D"/>
    <w:rsid w:val="00223F85"/>
    <w:rsid w:val="0022795C"/>
    <w:rsid w:val="00231CAD"/>
    <w:rsid w:val="002360FE"/>
    <w:rsid w:val="00250EAD"/>
    <w:rsid w:val="00264F2C"/>
    <w:rsid w:val="00267E88"/>
    <w:rsid w:val="0027069F"/>
    <w:rsid w:val="00272D74"/>
    <w:rsid w:val="00274631"/>
    <w:rsid w:val="0027543C"/>
    <w:rsid w:val="00292480"/>
    <w:rsid w:val="002974CA"/>
    <w:rsid w:val="002A3805"/>
    <w:rsid w:val="002B4B53"/>
    <w:rsid w:val="002C5403"/>
    <w:rsid w:val="002D327B"/>
    <w:rsid w:val="002D78BC"/>
    <w:rsid w:val="002E1E0E"/>
    <w:rsid w:val="002F5447"/>
    <w:rsid w:val="002F7399"/>
    <w:rsid w:val="00303932"/>
    <w:rsid w:val="00307452"/>
    <w:rsid w:val="00310608"/>
    <w:rsid w:val="0031256F"/>
    <w:rsid w:val="00320697"/>
    <w:rsid w:val="003209F9"/>
    <w:rsid w:val="00333543"/>
    <w:rsid w:val="00334190"/>
    <w:rsid w:val="00337546"/>
    <w:rsid w:val="003439F4"/>
    <w:rsid w:val="00352AA8"/>
    <w:rsid w:val="00363A06"/>
    <w:rsid w:val="0037116E"/>
    <w:rsid w:val="00380E0B"/>
    <w:rsid w:val="00393A8D"/>
    <w:rsid w:val="00396997"/>
    <w:rsid w:val="003B6EEC"/>
    <w:rsid w:val="003C5145"/>
    <w:rsid w:val="003D08DE"/>
    <w:rsid w:val="003D4117"/>
    <w:rsid w:val="003D6F3A"/>
    <w:rsid w:val="003D7882"/>
    <w:rsid w:val="004021CA"/>
    <w:rsid w:val="004024E8"/>
    <w:rsid w:val="00404644"/>
    <w:rsid w:val="00406358"/>
    <w:rsid w:val="00406677"/>
    <w:rsid w:val="004206E7"/>
    <w:rsid w:val="0042266B"/>
    <w:rsid w:val="004308EE"/>
    <w:rsid w:val="00443482"/>
    <w:rsid w:val="00450C7C"/>
    <w:rsid w:val="004542B8"/>
    <w:rsid w:val="00460ACE"/>
    <w:rsid w:val="00460D54"/>
    <w:rsid w:val="004630C3"/>
    <w:rsid w:val="00467F54"/>
    <w:rsid w:val="004708A8"/>
    <w:rsid w:val="0047660D"/>
    <w:rsid w:val="00477245"/>
    <w:rsid w:val="00492081"/>
    <w:rsid w:val="00497B5A"/>
    <w:rsid w:val="004A1744"/>
    <w:rsid w:val="004B6B12"/>
    <w:rsid w:val="004C4536"/>
    <w:rsid w:val="004C7ABD"/>
    <w:rsid w:val="004D3072"/>
    <w:rsid w:val="004D4A4F"/>
    <w:rsid w:val="004D53A2"/>
    <w:rsid w:val="004D782F"/>
    <w:rsid w:val="004E0440"/>
    <w:rsid w:val="004F1596"/>
    <w:rsid w:val="005033BD"/>
    <w:rsid w:val="00503EB7"/>
    <w:rsid w:val="00505177"/>
    <w:rsid w:val="0051428D"/>
    <w:rsid w:val="00520937"/>
    <w:rsid w:val="00521CDB"/>
    <w:rsid w:val="00521E9C"/>
    <w:rsid w:val="00522776"/>
    <w:rsid w:val="00523B70"/>
    <w:rsid w:val="00531A16"/>
    <w:rsid w:val="005346DC"/>
    <w:rsid w:val="0053671A"/>
    <w:rsid w:val="0054636C"/>
    <w:rsid w:val="00557D3C"/>
    <w:rsid w:val="00562041"/>
    <w:rsid w:val="00566A47"/>
    <w:rsid w:val="00575B71"/>
    <w:rsid w:val="00576B70"/>
    <w:rsid w:val="00577E1C"/>
    <w:rsid w:val="005865E5"/>
    <w:rsid w:val="005A5708"/>
    <w:rsid w:val="005B4273"/>
    <w:rsid w:val="005B7C96"/>
    <w:rsid w:val="005C4348"/>
    <w:rsid w:val="005D3182"/>
    <w:rsid w:val="005D5E04"/>
    <w:rsid w:val="005E05F7"/>
    <w:rsid w:val="005E2914"/>
    <w:rsid w:val="005E54E4"/>
    <w:rsid w:val="005F0737"/>
    <w:rsid w:val="005F24A6"/>
    <w:rsid w:val="005F3D22"/>
    <w:rsid w:val="005F6D24"/>
    <w:rsid w:val="00603211"/>
    <w:rsid w:val="00605B65"/>
    <w:rsid w:val="00607DCE"/>
    <w:rsid w:val="00617F75"/>
    <w:rsid w:val="006258AB"/>
    <w:rsid w:val="00631366"/>
    <w:rsid w:val="00636C9F"/>
    <w:rsid w:val="00645D5A"/>
    <w:rsid w:val="00650007"/>
    <w:rsid w:val="00656C0B"/>
    <w:rsid w:val="006607B7"/>
    <w:rsid w:val="00661FF1"/>
    <w:rsid w:val="00665189"/>
    <w:rsid w:val="006728D5"/>
    <w:rsid w:val="00687ECD"/>
    <w:rsid w:val="00690FEF"/>
    <w:rsid w:val="006A59DD"/>
    <w:rsid w:val="006C02B6"/>
    <w:rsid w:val="006D2BC6"/>
    <w:rsid w:val="006E284B"/>
    <w:rsid w:val="006F50F1"/>
    <w:rsid w:val="00706972"/>
    <w:rsid w:val="007201D3"/>
    <w:rsid w:val="007213E1"/>
    <w:rsid w:val="00723547"/>
    <w:rsid w:val="007239E2"/>
    <w:rsid w:val="007270E8"/>
    <w:rsid w:val="007304AF"/>
    <w:rsid w:val="007521D8"/>
    <w:rsid w:val="0075285D"/>
    <w:rsid w:val="007575B6"/>
    <w:rsid w:val="00762E71"/>
    <w:rsid w:val="00775443"/>
    <w:rsid w:val="0077561D"/>
    <w:rsid w:val="00783A3F"/>
    <w:rsid w:val="00785D3E"/>
    <w:rsid w:val="00785EAA"/>
    <w:rsid w:val="00787890"/>
    <w:rsid w:val="007A009A"/>
    <w:rsid w:val="007A4DFD"/>
    <w:rsid w:val="007B60CF"/>
    <w:rsid w:val="007C666A"/>
    <w:rsid w:val="007E05FB"/>
    <w:rsid w:val="007E0EAE"/>
    <w:rsid w:val="007E185A"/>
    <w:rsid w:val="007E55A5"/>
    <w:rsid w:val="007E74AE"/>
    <w:rsid w:val="007E7B97"/>
    <w:rsid w:val="00806D4F"/>
    <w:rsid w:val="008152F6"/>
    <w:rsid w:val="008245D0"/>
    <w:rsid w:val="008307E7"/>
    <w:rsid w:val="00842594"/>
    <w:rsid w:val="00843350"/>
    <w:rsid w:val="008433CA"/>
    <w:rsid w:val="00845B8D"/>
    <w:rsid w:val="00845F35"/>
    <w:rsid w:val="008557D0"/>
    <w:rsid w:val="008571E7"/>
    <w:rsid w:val="00860992"/>
    <w:rsid w:val="008660B6"/>
    <w:rsid w:val="008708AB"/>
    <w:rsid w:val="00884135"/>
    <w:rsid w:val="00884510"/>
    <w:rsid w:val="00884A6C"/>
    <w:rsid w:val="00887DE8"/>
    <w:rsid w:val="008928B2"/>
    <w:rsid w:val="008A14AC"/>
    <w:rsid w:val="008A2FA4"/>
    <w:rsid w:val="008B5418"/>
    <w:rsid w:val="008C0127"/>
    <w:rsid w:val="008C0253"/>
    <w:rsid w:val="008C0EA7"/>
    <w:rsid w:val="008D1523"/>
    <w:rsid w:val="008D4A96"/>
    <w:rsid w:val="008D5C1F"/>
    <w:rsid w:val="008D7CB2"/>
    <w:rsid w:val="008E1BE4"/>
    <w:rsid w:val="008F50CC"/>
    <w:rsid w:val="00900802"/>
    <w:rsid w:val="00900D7A"/>
    <w:rsid w:val="00904523"/>
    <w:rsid w:val="00905A4C"/>
    <w:rsid w:val="00906911"/>
    <w:rsid w:val="00907C15"/>
    <w:rsid w:val="009105EF"/>
    <w:rsid w:val="00912878"/>
    <w:rsid w:val="009219FC"/>
    <w:rsid w:val="00923FA2"/>
    <w:rsid w:val="00924B40"/>
    <w:rsid w:val="00927DA1"/>
    <w:rsid w:val="009368E7"/>
    <w:rsid w:val="009479D4"/>
    <w:rsid w:val="00950189"/>
    <w:rsid w:val="00970948"/>
    <w:rsid w:val="00977B40"/>
    <w:rsid w:val="0099123D"/>
    <w:rsid w:val="009A24CF"/>
    <w:rsid w:val="009B005A"/>
    <w:rsid w:val="009B2387"/>
    <w:rsid w:val="009B4C3C"/>
    <w:rsid w:val="009B5002"/>
    <w:rsid w:val="009C4CF3"/>
    <w:rsid w:val="009D2405"/>
    <w:rsid w:val="009D39E0"/>
    <w:rsid w:val="009D403F"/>
    <w:rsid w:val="009D6D5C"/>
    <w:rsid w:val="009D711E"/>
    <w:rsid w:val="009F4693"/>
    <w:rsid w:val="009F6658"/>
    <w:rsid w:val="009F7965"/>
    <w:rsid w:val="009F79B1"/>
    <w:rsid w:val="00A11B19"/>
    <w:rsid w:val="00A14DBE"/>
    <w:rsid w:val="00A15890"/>
    <w:rsid w:val="00A239C5"/>
    <w:rsid w:val="00A2626F"/>
    <w:rsid w:val="00A44063"/>
    <w:rsid w:val="00A466B7"/>
    <w:rsid w:val="00A5031A"/>
    <w:rsid w:val="00A53C7B"/>
    <w:rsid w:val="00A54B45"/>
    <w:rsid w:val="00A54D22"/>
    <w:rsid w:val="00A601C3"/>
    <w:rsid w:val="00A649C7"/>
    <w:rsid w:val="00A67A1A"/>
    <w:rsid w:val="00A84F78"/>
    <w:rsid w:val="00AA55A7"/>
    <w:rsid w:val="00AB6D54"/>
    <w:rsid w:val="00AC67FC"/>
    <w:rsid w:val="00AC795E"/>
    <w:rsid w:val="00AD2800"/>
    <w:rsid w:val="00AD4A63"/>
    <w:rsid w:val="00AE5102"/>
    <w:rsid w:val="00AF4427"/>
    <w:rsid w:val="00AF4C12"/>
    <w:rsid w:val="00AF63EF"/>
    <w:rsid w:val="00AF79D4"/>
    <w:rsid w:val="00B01778"/>
    <w:rsid w:val="00B02722"/>
    <w:rsid w:val="00B03E9B"/>
    <w:rsid w:val="00B13E5F"/>
    <w:rsid w:val="00B23736"/>
    <w:rsid w:val="00B2377A"/>
    <w:rsid w:val="00B2380D"/>
    <w:rsid w:val="00B3090A"/>
    <w:rsid w:val="00B31DBC"/>
    <w:rsid w:val="00B32813"/>
    <w:rsid w:val="00B35E53"/>
    <w:rsid w:val="00B37CDC"/>
    <w:rsid w:val="00B61976"/>
    <w:rsid w:val="00B623B3"/>
    <w:rsid w:val="00B65CB7"/>
    <w:rsid w:val="00B66299"/>
    <w:rsid w:val="00B879A8"/>
    <w:rsid w:val="00B92F35"/>
    <w:rsid w:val="00B9536A"/>
    <w:rsid w:val="00BA7388"/>
    <w:rsid w:val="00BA7CAF"/>
    <w:rsid w:val="00BB354B"/>
    <w:rsid w:val="00BC49CE"/>
    <w:rsid w:val="00BD0084"/>
    <w:rsid w:val="00BE04DD"/>
    <w:rsid w:val="00BF0B2B"/>
    <w:rsid w:val="00C00FEF"/>
    <w:rsid w:val="00C17577"/>
    <w:rsid w:val="00C257A9"/>
    <w:rsid w:val="00C26078"/>
    <w:rsid w:val="00C30919"/>
    <w:rsid w:val="00C34211"/>
    <w:rsid w:val="00C370EA"/>
    <w:rsid w:val="00C41C51"/>
    <w:rsid w:val="00C446F6"/>
    <w:rsid w:val="00C46CF3"/>
    <w:rsid w:val="00C47A6B"/>
    <w:rsid w:val="00C611FB"/>
    <w:rsid w:val="00C66801"/>
    <w:rsid w:val="00C828FA"/>
    <w:rsid w:val="00C84807"/>
    <w:rsid w:val="00CA2879"/>
    <w:rsid w:val="00CA7B65"/>
    <w:rsid w:val="00CB6283"/>
    <w:rsid w:val="00CB6470"/>
    <w:rsid w:val="00CD03F7"/>
    <w:rsid w:val="00CD1810"/>
    <w:rsid w:val="00CD2769"/>
    <w:rsid w:val="00CE1272"/>
    <w:rsid w:val="00CE4B5A"/>
    <w:rsid w:val="00CE67AE"/>
    <w:rsid w:val="00CF08C3"/>
    <w:rsid w:val="00CF16C0"/>
    <w:rsid w:val="00CF17A2"/>
    <w:rsid w:val="00D036D5"/>
    <w:rsid w:val="00D121B3"/>
    <w:rsid w:val="00D21E59"/>
    <w:rsid w:val="00D454CA"/>
    <w:rsid w:val="00D506A5"/>
    <w:rsid w:val="00D51285"/>
    <w:rsid w:val="00D67923"/>
    <w:rsid w:val="00D73482"/>
    <w:rsid w:val="00D74B19"/>
    <w:rsid w:val="00D91D67"/>
    <w:rsid w:val="00D97E95"/>
    <w:rsid w:val="00DA728F"/>
    <w:rsid w:val="00DC1279"/>
    <w:rsid w:val="00DD54DD"/>
    <w:rsid w:val="00DD7F5E"/>
    <w:rsid w:val="00DE5ADC"/>
    <w:rsid w:val="00DF5460"/>
    <w:rsid w:val="00DF670B"/>
    <w:rsid w:val="00E03F60"/>
    <w:rsid w:val="00E07790"/>
    <w:rsid w:val="00E119B4"/>
    <w:rsid w:val="00E131FC"/>
    <w:rsid w:val="00E16B0E"/>
    <w:rsid w:val="00E25300"/>
    <w:rsid w:val="00E31FCD"/>
    <w:rsid w:val="00E56017"/>
    <w:rsid w:val="00E9038E"/>
    <w:rsid w:val="00E927D8"/>
    <w:rsid w:val="00E93EFA"/>
    <w:rsid w:val="00EA48AE"/>
    <w:rsid w:val="00EA701B"/>
    <w:rsid w:val="00EB3D20"/>
    <w:rsid w:val="00EB6113"/>
    <w:rsid w:val="00ED1B61"/>
    <w:rsid w:val="00ED392C"/>
    <w:rsid w:val="00EF7622"/>
    <w:rsid w:val="00F12C66"/>
    <w:rsid w:val="00F16637"/>
    <w:rsid w:val="00F20723"/>
    <w:rsid w:val="00F22717"/>
    <w:rsid w:val="00F25AEE"/>
    <w:rsid w:val="00F308A8"/>
    <w:rsid w:val="00F31451"/>
    <w:rsid w:val="00F32248"/>
    <w:rsid w:val="00F5269D"/>
    <w:rsid w:val="00F541D7"/>
    <w:rsid w:val="00F64303"/>
    <w:rsid w:val="00F6625C"/>
    <w:rsid w:val="00F70A99"/>
    <w:rsid w:val="00F71328"/>
    <w:rsid w:val="00F753F3"/>
    <w:rsid w:val="00F831E4"/>
    <w:rsid w:val="00F83340"/>
    <w:rsid w:val="00F8393E"/>
    <w:rsid w:val="00F84B55"/>
    <w:rsid w:val="00F90FE4"/>
    <w:rsid w:val="00F9401F"/>
    <w:rsid w:val="00F95A3F"/>
    <w:rsid w:val="00FA4580"/>
    <w:rsid w:val="00FD200B"/>
    <w:rsid w:val="00FD3B33"/>
    <w:rsid w:val="00FD5F2A"/>
    <w:rsid w:val="00FE333C"/>
    <w:rsid w:val="00FF1C55"/>
    <w:rsid w:val="040F73CF"/>
    <w:rsid w:val="046B0F66"/>
    <w:rsid w:val="0C180AA3"/>
    <w:rsid w:val="0ECC6958"/>
    <w:rsid w:val="11296991"/>
    <w:rsid w:val="14285F0F"/>
    <w:rsid w:val="149F3D8F"/>
    <w:rsid w:val="16254C0E"/>
    <w:rsid w:val="182F32E6"/>
    <w:rsid w:val="1B155129"/>
    <w:rsid w:val="1D5F58C1"/>
    <w:rsid w:val="1DEC0E08"/>
    <w:rsid w:val="1E6B13BB"/>
    <w:rsid w:val="1FEC28ED"/>
    <w:rsid w:val="270C5661"/>
    <w:rsid w:val="28CF01D9"/>
    <w:rsid w:val="2B5CDE4B"/>
    <w:rsid w:val="2EF56D0A"/>
    <w:rsid w:val="2EF99C0C"/>
    <w:rsid w:val="2F5D6FB3"/>
    <w:rsid w:val="2FE723C6"/>
    <w:rsid w:val="2FFD4576"/>
    <w:rsid w:val="2FFFD17D"/>
    <w:rsid w:val="346C4B6E"/>
    <w:rsid w:val="35F97884"/>
    <w:rsid w:val="35FE4C52"/>
    <w:rsid w:val="37EF0754"/>
    <w:rsid w:val="39BFB2E3"/>
    <w:rsid w:val="3A9B6AEA"/>
    <w:rsid w:val="3AEF5D32"/>
    <w:rsid w:val="3BB995DD"/>
    <w:rsid w:val="3BFDB2CE"/>
    <w:rsid w:val="3C8B0309"/>
    <w:rsid w:val="3D7B7C82"/>
    <w:rsid w:val="3DFFC9E8"/>
    <w:rsid w:val="3E5F10A4"/>
    <w:rsid w:val="3EEB640C"/>
    <w:rsid w:val="3F5B0A85"/>
    <w:rsid w:val="3FA05CDE"/>
    <w:rsid w:val="3FABF885"/>
    <w:rsid w:val="3FEDED9A"/>
    <w:rsid w:val="3FEFDD1D"/>
    <w:rsid w:val="40013E7D"/>
    <w:rsid w:val="455759BE"/>
    <w:rsid w:val="468F6E2B"/>
    <w:rsid w:val="4E521DC3"/>
    <w:rsid w:val="4F7F9EC8"/>
    <w:rsid w:val="4FDDC4F8"/>
    <w:rsid w:val="50025BCC"/>
    <w:rsid w:val="53F64878"/>
    <w:rsid w:val="53FEFE37"/>
    <w:rsid w:val="5B5FD49E"/>
    <w:rsid w:val="5F51F66F"/>
    <w:rsid w:val="5F77D064"/>
    <w:rsid w:val="5FBE0A1D"/>
    <w:rsid w:val="5FDFC98A"/>
    <w:rsid w:val="5FEDA538"/>
    <w:rsid w:val="5FFD9DF4"/>
    <w:rsid w:val="60B61845"/>
    <w:rsid w:val="63DC29ED"/>
    <w:rsid w:val="673FE774"/>
    <w:rsid w:val="676C7E72"/>
    <w:rsid w:val="6A2434C0"/>
    <w:rsid w:val="6D1B6042"/>
    <w:rsid w:val="6D3E24D3"/>
    <w:rsid w:val="6D7A5192"/>
    <w:rsid w:val="6DF56252"/>
    <w:rsid w:val="6EEFFA2D"/>
    <w:rsid w:val="6EFFC2F3"/>
    <w:rsid w:val="6F4FD370"/>
    <w:rsid w:val="6F6D3B9C"/>
    <w:rsid w:val="6FDFD596"/>
    <w:rsid w:val="6FFFC52A"/>
    <w:rsid w:val="71BFDF10"/>
    <w:rsid w:val="72B1FA43"/>
    <w:rsid w:val="73398965"/>
    <w:rsid w:val="74813038"/>
    <w:rsid w:val="76CB0EF5"/>
    <w:rsid w:val="77FE17BE"/>
    <w:rsid w:val="793747C8"/>
    <w:rsid w:val="7ADDEFF7"/>
    <w:rsid w:val="7AF768F1"/>
    <w:rsid w:val="7B3BD20D"/>
    <w:rsid w:val="7B7FF0A6"/>
    <w:rsid w:val="7BB81647"/>
    <w:rsid w:val="7BDC826D"/>
    <w:rsid w:val="7CF711C2"/>
    <w:rsid w:val="7D5A1645"/>
    <w:rsid w:val="7D5F0740"/>
    <w:rsid w:val="7D7FD400"/>
    <w:rsid w:val="7DA48949"/>
    <w:rsid w:val="7DEECC95"/>
    <w:rsid w:val="7E5D5382"/>
    <w:rsid w:val="7EFB0DB1"/>
    <w:rsid w:val="7F7DD68B"/>
    <w:rsid w:val="7F7FF755"/>
    <w:rsid w:val="7FBF42BA"/>
    <w:rsid w:val="7FF3ECA4"/>
    <w:rsid w:val="7FF5B1D3"/>
    <w:rsid w:val="7FFD3331"/>
    <w:rsid w:val="8F9F2B58"/>
    <w:rsid w:val="9A9BCA63"/>
    <w:rsid w:val="9F7ECA6B"/>
    <w:rsid w:val="9FFB885C"/>
    <w:rsid w:val="9FFD6A49"/>
    <w:rsid w:val="A4E66A79"/>
    <w:rsid w:val="A6B9C477"/>
    <w:rsid w:val="AAE53CD2"/>
    <w:rsid w:val="AAEF65C6"/>
    <w:rsid w:val="ABA734C6"/>
    <w:rsid w:val="ADFF42A2"/>
    <w:rsid w:val="AFF7B1EA"/>
    <w:rsid w:val="B4FBED20"/>
    <w:rsid w:val="B5CB2721"/>
    <w:rsid w:val="B75B44B8"/>
    <w:rsid w:val="B77FA664"/>
    <w:rsid w:val="B7CF311B"/>
    <w:rsid w:val="B7E35D69"/>
    <w:rsid w:val="B7EFD75D"/>
    <w:rsid w:val="B7FF2CDF"/>
    <w:rsid w:val="B9FBA70F"/>
    <w:rsid w:val="B9FF439E"/>
    <w:rsid w:val="BBDFC9CB"/>
    <w:rsid w:val="BEBBE3B4"/>
    <w:rsid w:val="BEEDDCCA"/>
    <w:rsid w:val="BEFCB489"/>
    <w:rsid w:val="BF6FF3AA"/>
    <w:rsid w:val="BFE5907A"/>
    <w:rsid w:val="BFEF5875"/>
    <w:rsid w:val="C7FDFA89"/>
    <w:rsid w:val="D7A947FF"/>
    <w:rsid w:val="D7ED5FE1"/>
    <w:rsid w:val="D7EF4741"/>
    <w:rsid w:val="DCB1D25F"/>
    <w:rsid w:val="DF6F8A7E"/>
    <w:rsid w:val="DFEF5C18"/>
    <w:rsid w:val="EBE262AF"/>
    <w:rsid w:val="ED5C359B"/>
    <w:rsid w:val="ED9BBAE0"/>
    <w:rsid w:val="EDDE5995"/>
    <w:rsid w:val="EDE78CF6"/>
    <w:rsid w:val="EEDDAC1F"/>
    <w:rsid w:val="EFAD19F3"/>
    <w:rsid w:val="EFB917BB"/>
    <w:rsid w:val="EFD41A73"/>
    <w:rsid w:val="F5DFF94F"/>
    <w:rsid w:val="F63BA599"/>
    <w:rsid w:val="F752AC7F"/>
    <w:rsid w:val="F8BDC26A"/>
    <w:rsid w:val="FADB9300"/>
    <w:rsid w:val="FAE3D2DC"/>
    <w:rsid w:val="FBE9873D"/>
    <w:rsid w:val="FBFC8084"/>
    <w:rsid w:val="FBFFA803"/>
    <w:rsid w:val="FDFB159C"/>
    <w:rsid w:val="FDFFB3BB"/>
    <w:rsid w:val="FEBD4E1B"/>
    <w:rsid w:val="FEF5BB2D"/>
    <w:rsid w:val="FF3AF7B6"/>
    <w:rsid w:val="FF7526EC"/>
    <w:rsid w:val="FF96CC3E"/>
    <w:rsid w:val="FFA18440"/>
    <w:rsid w:val="FFC749FD"/>
    <w:rsid w:val="FFE22C51"/>
    <w:rsid w:val="FFEC1143"/>
    <w:rsid w:val="FFEDA789"/>
    <w:rsid w:val="FFF42A52"/>
    <w:rsid w:val="FFF82A09"/>
    <w:rsid w:val="FFFEEA73"/>
    <w:rsid w:val="FFFF70C1"/>
    <w:rsid w:val="FFFFDE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qFormat/>
    <w:uiPriority w:val="0"/>
    <w:pPr>
      <w:keepNext/>
      <w:keepLines/>
      <w:jc w:val="center"/>
      <w:outlineLvl w:val="1"/>
    </w:pPr>
    <w:rPr>
      <w:rFonts w:eastAsia="楷体_GB2312"/>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5">
    <w:name w:val="Date"/>
    <w:basedOn w:val="1"/>
    <w:next w:val="1"/>
    <w:link w:val="28"/>
    <w:qFormat/>
    <w:uiPriority w:val="0"/>
    <w:pPr>
      <w:ind w:left="100" w:leftChars="2500"/>
    </w:pPr>
  </w:style>
  <w:style w:type="paragraph" w:styleId="6">
    <w:name w:val="Balloon Text"/>
    <w:basedOn w:val="1"/>
    <w:link w:val="21"/>
    <w:qFormat/>
    <w:uiPriority w:val="0"/>
    <w:rPr>
      <w:sz w:val="18"/>
      <w:szCs w:val="18"/>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57"/>
    <w:qFormat/>
    <w:uiPriority w:val="0"/>
    <w:pPr>
      <w:snapToGrid w:val="0"/>
      <w:jc w:val="left"/>
    </w:pPr>
    <w:rPr>
      <w:sz w:val="18"/>
      <w:szCs w:val="18"/>
    </w:rPr>
  </w:style>
  <w:style w:type="paragraph" w:styleId="10">
    <w:name w:val="HTML Preformatted"/>
    <w:basedOn w:val="1"/>
    <w:link w:val="3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qFormat/>
    <w:uiPriority w:val="99"/>
    <w:rPr>
      <w:sz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page number"/>
    <w:basedOn w:val="14"/>
    <w:qFormat/>
    <w:uiPriority w:val="0"/>
  </w:style>
  <w:style w:type="character" w:styleId="17">
    <w:name w:val="FollowedHyperlink"/>
    <w:basedOn w:val="14"/>
    <w:qFormat/>
    <w:uiPriority w:val="99"/>
    <w:rPr>
      <w:color w:val="000000"/>
      <w:u w:val="none"/>
    </w:rPr>
  </w:style>
  <w:style w:type="character" w:styleId="18">
    <w:name w:val="Hyperlink"/>
    <w:basedOn w:val="14"/>
    <w:qFormat/>
    <w:uiPriority w:val="99"/>
    <w:rPr>
      <w:color w:val="000000"/>
      <w:u w:val="none"/>
    </w:rPr>
  </w:style>
  <w:style w:type="character" w:customStyle="1" w:styleId="19">
    <w:name w:val="页眉 Char"/>
    <w:basedOn w:val="14"/>
    <w:link w:val="8"/>
    <w:qFormat/>
    <w:locked/>
    <w:uiPriority w:val="99"/>
    <w:rPr>
      <w:rFonts w:cs="Times New Roman"/>
      <w:kern w:val="2"/>
      <w:sz w:val="18"/>
      <w:szCs w:val="18"/>
    </w:rPr>
  </w:style>
  <w:style w:type="character" w:customStyle="1" w:styleId="20">
    <w:name w:val="页脚 Char"/>
    <w:basedOn w:val="14"/>
    <w:link w:val="7"/>
    <w:qFormat/>
    <w:locked/>
    <w:uiPriority w:val="99"/>
    <w:rPr>
      <w:rFonts w:cs="Times New Roman"/>
      <w:kern w:val="2"/>
      <w:sz w:val="18"/>
      <w:szCs w:val="18"/>
    </w:rPr>
  </w:style>
  <w:style w:type="character" w:customStyle="1" w:styleId="21">
    <w:name w:val="批注框文本 Char"/>
    <w:basedOn w:val="14"/>
    <w:link w:val="6"/>
    <w:qFormat/>
    <w:uiPriority w:val="0"/>
    <w:rPr>
      <w:kern w:val="2"/>
      <w:sz w:val="18"/>
      <w:szCs w:val="18"/>
    </w:rPr>
  </w:style>
  <w:style w:type="character" w:customStyle="1" w:styleId="22">
    <w:name w:val="标题 1 Char"/>
    <w:basedOn w:val="14"/>
    <w:link w:val="3"/>
    <w:qFormat/>
    <w:uiPriority w:val="0"/>
    <w:rPr>
      <w:b/>
      <w:bCs/>
      <w:kern w:val="44"/>
      <w:sz w:val="44"/>
      <w:szCs w:val="44"/>
    </w:rPr>
  </w:style>
  <w:style w:type="character" w:customStyle="1" w:styleId="23">
    <w:name w:val="标题 2 Char"/>
    <w:basedOn w:val="14"/>
    <w:link w:val="4"/>
    <w:qFormat/>
    <w:uiPriority w:val="0"/>
    <w:rPr>
      <w:rFonts w:eastAsia="楷体_GB2312"/>
      <w:bCs/>
      <w:kern w:val="2"/>
      <w:sz w:val="21"/>
      <w:szCs w:val="32"/>
    </w:rPr>
  </w:style>
  <w:style w:type="character" w:customStyle="1" w:styleId="24">
    <w:name w:val="font31"/>
    <w:basedOn w:val="14"/>
    <w:qFormat/>
    <w:uiPriority w:val="0"/>
    <w:rPr>
      <w:rFonts w:hint="eastAsia" w:ascii="宋体" w:hAnsi="宋体" w:eastAsia="宋体" w:cs="宋体"/>
      <w:color w:val="000000"/>
      <w:sz w:val="20"/>
      <w:szCs w:val="20"/>
      <w:u w:val="none"/>
    </w:rPr>
  </w:style>
  <w:style w:type="character" w:customStyle="1" w:styleId="25">
    <w:name w:val="bulletnumber"/>
    <w:basedOn w:val="14"/>
    <w:qFormat/>
    <w:uiPriority w:val="0"/>
    <w:rPr>
      <w:b/>
      <w:color w:val="66CCFF"/>
      <w:sz w:val="48"/>
      <w:szCs w:val="48"/>
    </w:rPr>
  </w:style>
  <w:style w:type="character" w:customStyle="1" w:styleId="26">
    <w:name w:val="bullettext"/>
    <w:basedOn w:val="14"/>
    <w:qFormat/>
    <w:uiPriority w:val="0"/>
    <w:rPr>
      <w:b/>
      <w:spacing w:val="-20"/>
      <w:sz w:val="20"/>
      <w:szCs w:val="20"/>
    </w:rPr>
  </w:style>
  <w:style w:type="character" w:customStyle="1" w:styleId="27">
    <w:name w:val="日期 Char"/>
    <w:basedOn w:val="14"/>
    <w:link w:val="5"/>
    <w:qFormat/>
    <w:uiPriority w:val="0"/>
    <w:rPr>
      <w:kern w:val="2"/>
      <w:sz w:val="21"/>
      <w:szCs w:val="24"/>
    </w:rPr>
  </w:style>
  <w:style w:type="character" w:customStyle="1" w:styleId="28">
    <w:name w:val="日期 Char1"/>
    <w:basedOn w:val="14"/>
    <w:link w:val="5"/>
    <w:qFormat/>
    <w:uiPriority w:val="0"/>
    <w:rPr>
      <w:kern w:val="2"/>
      <w:sz w:val="21"/>
      <w:szCs w:val="24"/>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offscreen"/>
    <w:basedOn w:val="14"/>
    <w:qFormat/>
    <w:uiPriority w:val="0"/>
    <w:rPr>
      <w:vanish/>
    </w:rPr>
  </w:style>
  <w:style w:type="character" w:customStyle="1" w:styleId="31">
    <w:name w:val="HTML 预设格式 Char"/>
    <w:basedOn w:val="14"/>
    <w:link w:val="10"/>
    <w:qFormat/>
    <w:uiPriority w:val="99"/>
    <w:rPr>
      <w:rFonts w:ascii="宋体" w:hAnsi="宋体" w:cs="宋体"/>
      <w:sz w:val="24"/>
      <w:szCs w:val="24"/>
    </w:rPr>
  </w:style>
  <w:style w:type="paragraph" w:customStyle="1" w:styleId="3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5">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4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5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6">
    <w:name w:val="xl86"/>
    <w:basedOn w:val="1"/>
    <w:qFormat/>
    <w:uiPriority w:val="0"/>
    <w:pPr>
      <w:widowControl/>
      <w:pBdr>
        <w:bottom w:val="single" w:color="auto" w:sz="4" w:space="0"/>
      </w:pBdr>
      <w:spacing w:before="100" w:beforeAutospacing="1" w:after="100" w:afterAutospacing="1"/>
      <w:jc w:val="center"/>
    </w:pPr>
    <w:rPr>
      <w:rFonts w:ascii="方正小标宋_GBK" w:hAnsi="宋体" w:eastAsia="方正小标宋_GBK" w:cs="宋体"/>
      <w:kern w:val="0"/>
      <w:sz w:val="32"/>
      <w:szCs w:val="32"/>
    </w:rPr>
  </w:style>
  <w:style w:type="character" w:customStyle="1" w:styleId="57">
    <w:name w:val="脚注文本 Char"/>
    <w:basedOn w:val="14"/>
    <w:link w:val="9"/>
    <w:qFormat/>
    <w:uiPriority w:val="0"/>
    <w:rPr>
      <w:kern w:val="2"/>
      <w:sz w:val="18"/>
      <w:szCs w:val="18"/>
    </w:rPr>
  </w:style>
  <w:style w:type="character" w:customStyle="1" w:styleId="58">
    <w:name w:val="font01"/>
    <w:basedOn w:val="14"/>
    <w:qFormat/>
    <w:uiPriority w:val="0"/>
    <w:rPr>
      <w:rFonts w:hint="eastAsia" w:ascii="宋体" w:hAnsi="宋体" w:eastAsia="宋体" w:cs="宋体"/>
      <w:color w:val="000000"/>
      <w:sz w:val="20"/>
      <w:szCs w:val="20"/>
      <w:u w:val="none"/>
    </w:rPr>
  </w:style>
  <w:style w:type="character" w:customStyle="1" w:styleId="59">
    <w:name w:val="font51"/>
    <w:basedOn w:val="14"/>
    <w:qFormat/>
    <w:uiPriority w:val="0"/>
    <w:rPr>
      <w:rFonts w:hint="default" w:ascii="Times New Roman" w:hAnsi="Times New Roman" w:cs="Times New Roman"/>
      <w:color w:val="000000"/>
      <w:sz w:val="22"/>
      <w:szCs w:val="22"/>
      <w:u w:val="none"/>
    </w:rPr>
  </w:style>
  <w:style w:type="character" w:customStyle="1" w:styleId="60">
    <w:name w:val="font21"/>
    <w:basedOn w:val="14"/>
    <w:qFormat/>
    <w:uiPriority w:val="0"/>
    <w:rPr>
      <w:rFonts w:hint="eastAsia" w:ascii="方正仿宋_GBK" w:hAnsi="方正仿宋_GBK" w:eastAsia="方正仿宋_GBK" w:cs="方正仿宋_GBK"/>
      <w:color w:val="000000"/>
      <w:sz w:val="22"/>
      <w:szCs w:val="22"/>
      <w:u w:val="none"/>
    </w:rPr>
  </w:style>
  <w:style w:type="character" w:customStyle="1" w:styleId="61">
    <w:name w:val="font61"/>
    <w:basedOn w:val="14"/>
    <w:uiPriority w:val="0"/>
    <w:rPr>
      <w:rFonts w:hint="eastAsia" w:ascii="方正仿宋_GBK" w:hAnsi="方正仿宋_GBK" w:eastAsia="方正仿宋_GBK" w:cs="方正仿宋_GBK"/>
      <w:color w:val="000000"/>
      <w:sz w:val="22"/>
      <w:szCs w:val="22"/>
      <w:u w:val="none"/>
    </w:rPr>
  </w:style>
  <w:style w:type="character" w:customStyle="1" w:styleId="62">
    <w:name w:val="font81"/>
    <w:basedOn w:val="14"/>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8</Pages>
  <Words>5460</Words>
  <Characters>6455</Characters>
  <Lines>53</Lines>
  <Paragraphs>15</Paragraphs>
  <TotalTime>4</TotalTime>
  <ScaleCrop>false</ScaleCrop>
  <LinksUpToDate>false</LinksUpToDate>
  <CharactersWithSpaces>6494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2022-09-20T11:45:00Z</dcterms:created>
  <dc:creator>chdn</dc:creator>
  <cp:lastModifiedBy>kylin</cp:lastModifiedBy>
  <cp:lastPrinted>2024-04-09T02:47:00Z</cp:lastPrinted>
  <dcterms:modified xsi:type="dcterms:W3CDTF">2025-07-18T16:11:32Z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7AE867E92CA34F0FB7C89A9987582CE1_13</vt:lpwstr>
  </property>
  <property fmtid="{D5CDD505-2E9C-101B-9397-08002B2CF9AE}" pid="4" name="KSOTemplateDocerSaveRecord">
    <vt:lpwstr>eyJoZGlkIjoiZWQ1ZTgyZWRlMTY1OWFkNTMyZmVmNGYzMTQ3YTJkZmUiLCJ1c2VySWQiOiI2NTM3NjgwODUifQ==</vt:lpwstr>
  </property>
</Properties>
</file>