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新宋体" w:hAnsi="新宋体" w:eastAsia="新宋体" w:cs="新宋体"/>
          <w:w w:val="33"/>
          <w:sz w:val="120"/>
          <w:szCs w:val="120"/>
        </w:rPr>
        <w:tab/>
      </w:r>
      <w:r>
        <w:rPr>
          <w:rFonts w:ascii="宋体" w:hAnsi="宋体" w:eastAsia="宋体" w:cs="宋体"/>
          <w:b/>
          <w:bCs/>
          <w:sz w:val="32"/>
          <w:szCs w:val="32"/>
        </w:rPr>
        <w:t>《四川省中药饮片炮制规范》（2015 年版）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天麻</w:t>
      </w:r>
    </w:p>
    <w:p>
      <w:pPr>
        <w:widowControl/>
        <w:ind w:firstLine="1285" w:firstLineChars="400"/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质量标准拟修订部分草案（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再次</w:t>
      </w:r>
      <w:bookmarkStart w:id="0" w:name="_GoBack"/>
      <w:bookmarkEnd w:id="0"/>
      <w:r>
        <w:rPr>
          <w:rFonts w:ascii="宋体" w:hAnsi="宋体" w:eastAsia="宋体" w:cs="宋体"/>
          <w:b/>
          <w:bCs/>
          <w:sz w:val="32"/>
          <w:szCs w:val="32"/>
        </w:rPr>
        <w:t>征求意见稿）</w:t>
      </w:r>
    </w:p>
    <w:p>
      <w:pPr>
        <w:widowControl/>
        <w:ind w:firstLine="3654" w:firstLineChars="1300"/>
        <w:jc w:val="left"/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天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麻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 xml:space="preserve">【炮制】 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>天麻（冻干）</w:t>
      </w:r>
      <w:r>
        <w:rPr>
          <w:rFonts w:hint="eastAsia" w:ascii="黑体" w:hAnsi="黑体" w:eastAsia="黑体" w:cs="黑体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</w:rPr>
        <w:t>取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蒸透天麻</w:t>
      </w:r>
      <w:r>
        <w:rPr>
          <w:rFonts w:hint="eastAsia" w:ascii="宋体" w:hAnsi="宋体" w:eastAsia="宋体" w:cs="宋体"/>
          <w:sz w:val="24"/>
          <w:szCs w:val="24"/>
          <w:u w:val="none"/>
        </w:rPr>
        <w:t>，切</w:t>
      </w:r>
      <w:r>
        <w:rPr>
          <w:rFonts w:hint="eastAsia" w:ascii="宋体" w:hAnsi="宋体" w:eastAsia="宋体" w:cs="宋体"/>
          <w:strike w:val="0"/>
          <w:dstrike w:val="0"/>
          <w:sz w:val="24"/>
          <w:szCs w:val="24"/>
          <w:u w:val="none"/>
          <w:lang w:val="en-US" w:eastAsia="zh-CN"/>
        </w:rPr>
        <w:t>纵</w:t>
      </w:r>
      <w:r>
        <w:rPr>
          <w:rFonts w:hint="eastAsia" w:ascii="宋体" w:hAnsi="宋体" w:eastAsia="宋体" w:cs="宋体"/>
          <w:sz w:val="24"/>
          <w:szCs w:val="24"/>
          <w:u w:val="none"/>
        </w:rPr>
        <w:t>片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，冷冻干燥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或</w:t>
      </w:r>
      <w:r>
        <w:rPr>
          <w:rFonts w:hint="eastAsia" w:ascii="宋体" w:hAnsi="宋体" w:eastAsia="宋体" w:cs="宋体"/>
          <w:sz w:val="24"/>
          <w:szCs w:val="24"/>
          <w:u w:val="single"/>
        </w:rPr>
        <w:t>切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横片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，冷冻干燥。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黑体" w:hAnsi="黑体" w:eastAsia="黑体" w:cs="黑体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 xml:space="preserve">【性状】 </w:t>
      </w:r>
      <w:r>
        <w:rPr>
          <w:rFonts w:hint="eastAsia" w:ascii="黑体" w:hAnsi="黑体" w:eastAsia="黑体" w:cs="黑体"/>
          <w:bCs/>
          <w:sz w:val="24"/>
          <w:szCs w:val="24"/>
          <w:u w:val="none"/>
          <w:lang w:val="en-US" w:eastAsia="zh-CN"/>
        </w:rPr>
        <w:t>天麻（冻干）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single"/>
          <w:lang w:val="en-US" w:eastAsia="zh-CN"/>
        </w:rPr>
        <w:t>纵切片</w:t>
      </w:r>
      <w:r>
        <w:rPr>
          <w:rFonts w:hint="eastAsia" w:ascii="黑体" w:hAnsi="黑体" w:eastAsia="黑体" w:cs="黑体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同《四川省中药饮片炮制规范》（2015年版）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u w:val="single"/>
          <w:lang w:val="en-US" w:eastAsia="zh-CN"/>
        </w:rPr>
        <w:t>横切片</w:t>
      </w:r>
      <w:r>
        <w:rPr>
          <w:rFonts w:hint="eastAsia" w:ascii="黑体" w:hAnsi="黑体" w:eastAsia="黑体" w:cs="黑体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本品呈类圆形的片，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宽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1.5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>～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.0cm，厚0.2～1.0cm。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表面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黄白色至淡黄棕色，有的可见潜伏芽排列而成的横环纹，</w:t>
      </w:r>
      <w:r>
        <w:rPr>
          <w:rFonts w:hint="eastAsia" w:ascii="Times New Roman" w:hAnsi="Times New Roman" w:eastAsia="宋体" w:cs="Times New Roman"/>
          <w:bCs/>
          <w:color w:val="000000"/>
          <w:sz w:val="24"/>
          <w:szCs w:val="24"/>
          <w:u w:val="single"/>
          <w:shd w:val="clear" w:color="auto" w:fill="auto"/>
        </w:rPr>
        <w:t>有时可见棕褐色菌</w:t>
      </w:r>
      <w:r>
        <w:rPr>
          <w:rFonts w:hint="eastAsia" w:ascii="Times New Roman" w:hAnsi="Times New Roman" w:eastAsia="宋体" w:cs="Times New Roman"/>
          <w:bCs/>
          <w:color w:val="000000"/>
          <w:sz w:val="24"/>
          <w:szCs w:val="24"/>
          <w:u w:val="single"/>
          <w:shd w:val="clear" w:color="auto" w:fill="auto"/>
          <w:lang w:val="en-US" w:eastAsia="zh-CN"/>
        </w:rPr>
        <w:t>素</w:t>
      </w:r>
      <w:r>
        <w:rPr>
          <w:rFonts w:hint="eastAsia" w:ascii="Times New Roman" w:hAnsi="Times New Roman" w:eastAsia="宋体" w:cs="Times New Roman"/>
          <w:bCs/>
          <w:color w:val="000000"/>
          <w:sz w:val="24"/>
          <w:szCs w:val="24"/>
          <w:u w:val="single"/>
          <w:shd w:val="clear" w:color="auto" w:fill="auto"/>
        </w:rPr>
        <w:t>。有的有残留茎基或圆脐形疤痕。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切面黄白色，显粉性，质疏脆，有的有空洞裂隙。气微，味甘。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【鉴别】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（2）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取本品粉末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g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，加甲醇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10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ml，超声处理30分钟，滤过，滤液浓缩至干，残渣加甲醇1ml使溶解，作为供试品溶液。另取天麻对照药材1g，同法制成对照药材溶液。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再取天麻素对照品，加甲醇制成每1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ml含1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mg的溶液，作为对照品溶液。照薄层色谱法（通则0502）试验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eastAsia="zh-CN"/>
        </w:rPr>
        <w:t>，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吸取供试品溶液和对照药材溶液各10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μl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>、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对照品溶液5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μl，分别点于同一硅胶G薄层板上，以二氯甲烷-乙酸乙酯-甲醇-水（2∶4∶2.5∶1）为展开剂，展开，取出，晾干，喷以对羟基苯甲醛溶液（取对羟基苯甲醛0.2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g，溶于乙醇10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ml中，加50%硫酸溶液1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ml，混匀），在120℃加热至斑点显色清晰，置日光下检视。供试品色谱中，在与对照药材色谱和对照品色谱相应的位置上，显相同颜色的斑点。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trike/>
          <w:dstrike w:val="0"/>
          <w:sz w:val="24"/>
          <w:szCs w:val="24"/>
          <w:u w:val="single"/>
        </w:rPr>
      </w:pPr>
      <w:r>
        <w:rPr>
          <w:rFonts w:ascii="Times New Roman" w:hAnsi="Times New Roman" w:eastAsia="宋体" w:cs="Times New Roman"/>
          <w:strike/>
          <w:dstrike w:val="0"/>
          <w:sz w:val="24"/>
          <w:szCs w:val="24"/>
          <w:u w:val="single"/>
        </w:rPr>
        <w:t>取</w:t>
      </w:r>
      <w:r>
        <w:rPr>
          <w:rFonts w:hint="eastAsia" w:ascii="Times New Roman" w:hAnsi="Times New Roman" w:eastAsia="宋体" w:cs="Times New Roman"/>
          <w:strike/>
          <w:dstrike w:val="0"/>
          <w:sz w:val="24"/>
          <w:szCs w:val="24"/>
          <w:u w:val="single"/>
          <w:lang w:val="en-US" w:eastAsia="zh-CN"/>
        </w:rPr>
        <w:t>对羟基苯甲醇对照品，加乙醇制成每1ml含1mg的溶液，作为对照品溶液。</w:t>
      </w:r>
      <w:r>
        <w:rPr>
          <w:rFonts w:ascii="Times New Roman" w:hAnsi="Times New Roman" w:eastAsia="宋体" w:cs="Times New Roman"/>
          <w:strike/>
          <w:dstrike w:val="0"/>
          <w:sz w:val="24"/>
          <w:szCs w:val="24"/>
          <w:u w:val="single"/>
        </w:rPr>
        <w:t>照薄层色谱法（通则0502）试验</w:t>
      </w:r>
      <w:r>
        <w:rPr>
          <w:rFonts w:hint="eastAsia" w:ascii="Times New Roman" w:hAnsi="Times New Roman" w:eastAsia="宋体" w:cs="Times New Roman"/>
          <w:strike/>
          <w:dstrike w:val="0"/>
          <w:sz w:val="24"/>
          <w:szCs w:val="24"/>
          <w:u w:val="single"/>
          <w:lang w:eastAsia="zh-CN"/>
        </w:rPr>
        <w:t>，</w:t>
      </w:r>
      <w:r>
        <w:rPr>
          <w:rFonts w:ascii="Times New Roman" w:hAnsi="Times New Roman" w:eastAsia="宋体" w:cs="Times New Roman"/>
          <w:strike/>
          <w:dstrike w:val="0"/>
          <w:sz w:val="24"/>
          <w:szCs w:val="24"/>
          <w:u w:val="single"/>
        </w:rPr>
        <w:t>吸取</w:t>
      </w:r>
      <w:r>
        <w:rPr>
          <w:rFonts w:hint="eastAsia" w:ascii="Times New Roman" w:hAnsi="Times New Roman" w:eastAsia="宋体" w:cs="Times New Roman"/>
          <w:strike/>
          <w:dstrike w:val="0"/>
          <w:sz w:val="24"/>
          <w:szCs w:val="24"/>
          <w:u w:val="single"/>
          <w:lang w:eastAsia="zh-CN"/>
        </w:rPr>
        <w:t>（</w:t>
      </w:r>
      <w:r>
        <w:rPr>
          <w:rFonts w:hint="eastAsia" w:ascii="Times New Roman" w:hAnsi="Times New Roman" w:eastAsia="宋体" w:cs="Times New Roman"/>
          <w:strike/>
          <w:dstrike w:val="0"/>
          <w:sz w:val="24"/>
          <w:szCs w:val="24"/>
          <w:u w:val="singl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trike/>
          <w:dstrike w:val="0"/>
          <w:sz w:val="24"/>
          <w:szCs w:val="24"/>
          <w:u w:val="single"/>
          <w:lang w:eastAsia="zh-CN"/>
        </w:rPr>
        <w:t>）</w:t>
      </w:r>
      <w:r>
        <w:rPr>
          <w:rFonts w:hint="eastAsia" w:ascii="Times New Roman" w:hAnsi="Times New Roman" w:eastAsia="宋体" w:cs="Times New Roman"/>
          <w:strike/>
          <w:dstrike w:val="0"/>
          <w:sz w:val="24"/>
          <w:szCs w:val="24"/>
          <w:u w:val="single"/>
          <w:lang w:val="en-US" w:eastAsia="zh-CN"/>
        </w:rPr>
        <w:t>中</w:t>
      </w:r>
      <w:r>
        <w:rPr>
          <w:rFonts w:ascii="Times New Roman" w:hAnsi="Times New Roman" w:eastAsia="宋体" w:cs="Times New Roman"/>
          <w:strike/>
          <w:dstrike w:val="0"/>
          <w:sz w:val="24"/>
          <w:szCs w:val="24"/>
          <w:u w:val="single"/>
        </w:rPr>
        <w:t>供试品溶液</w:t>
      </w:r>
      <w:r>
        <w:rPr>
          <w:rFonts w:hint="eastAsia" w:ascii="Times New Roman" w:hAnsi="Times New Roman" w:eastAsia="宋体" w:cs="Times New Roman"/>
          <w:strike/>
          <w:dstrike w:val="0"/>
          <w:sz w:val="24"/>
          <w:szCs w:val="24"/>
          <w:u w:val="single"/>
          <w:lang w:val="en-US" w:eastAsia="zh-CN"/>
        </w:rPr>
        <w:t>10</w:t>
      </w:r>
      <w:r>
        <w:rPr>
          <w:rFonts w:ascii="Times New Roman" w:hAnsi="Times New Roman" w:eastAsia="宋体" w:cs="Times New Roman"/>
          <w:strike/>
          <w:dstrike w:val="0"/>
          <w:sz w:val="24"/>
          <w:szCs w:val="24"/>
          <w:u w:val="single"/>
        </w:rPr>
        <w:t>μl</w:t>
      </w:r>
      <w:r>
        <w:rPr>
          <w:rFonts w:hint="eastAsia" w:ascii="Times New Roman" w:hAnsi="Times New Roman" w:eastAsia="宋体" w:cs="Times New Roman"/>
          <w:strike/>
          <w:dstrike w:val="0"/>
          <w:sz w:val="24"/>
          <w:szCs w:val="24"/>
          <w:u w:val="single"/>
          <w:lang w:eastAsia="zh-CN"/>
        </w:rPr>
        <w:t>、</w:t>
      </w:r>
      <w:r>
        <w:rPr>
          <w:rFonts w:ascii="Times New Roman" w:hAnsi="Times New Roman" w:eastAsia="宋体" w:cs="Times New Roman"/>
          <w:strike/>
          <w:dstrike w:val="0"/>
          <w:sz w:val="24"/>
          <w:szCs w:val="24"/>
          <w:u w:val="single"/>
        </w:rPr>
        <w:t>对照药材溶液</w:t>
      </w:r>
      <w:r>
        <w:rPr>
          <w:rFonts w:hint="eastAsia" w:ascii="Times New Roman" w:hAnsi="Times New Roman" w:eastAsia="宋体" w:cs="Times New Roman"/>
          <w:strike/>
          <w:dstrike w:val="0"/>
          <w:sz w:val="24"/>
          <w:szCs w:val="24"/>
          <w:u w:val="single"/>
          <w:lang w:val="en-US" w:eastAsia="zh-CN"/>
        </w:rPr>
        <w:t>及上述对照品溶液</w:t>
      </w:r>
      <w:r>
        <w:rPr>
          <w:rFonts w:ascii="Times New Roman" w:hAnsi="Times New Roman" w:eastAsia="宋体" w:cs="Times New Roman"/>
          <w:strike/>
          <w:dstrike w:val="0"/>
          <w:sz w:val="24"/>
          <w:szCs w:val="24"/>
          <w:u w:val="single"/>
        </w:rPr>
        <w:t>各</w:t>
      </w:r>
      <w:r>
        <w:rPr>
          <w:rFonts w:hint="eastAsia" w:ascii="Times New Roman" w:hAnsi="Times New Roman" w:eastAsia="宋体" w:cs="Times New Roman"/>
          <w:strike/>
          <w:dstrike w:val="0"/>
          <w:sz w:val="24"/>
          <w:szCs w:val="24"/>
          <w:u w:val="single"/>
          <w:lang w:val="en-US" w:eastAsia="zh-CN"/>
        </w:rPr>
        <w:t xml:space="preserve">5 </w:t>
      </w:r>
      <w:r>
        <w:rPr>
          <w:rFonts w:ascii="Times New Roman" w:hAnsi="Times New Roman" w:eastAsia="宋体" w:cs="Times New Roman"/>
          <w:strike/>
          <w:dstrike w:val="0"/>
          <w:sz w:val="24"/>
          <w:szCs w:val="24"/>
          <w:u w:val="single"/>
        </w:rPr>
        <w:t>μl，分别点于同一硅胶G薄层板上，</w:t>
      </w:r>
      <w:r>
        <w:rPr>
          <w:rFonts w:hint="eastAsia" w:ascii="Times New Roman" w:hAnsi="Times New Roman" w:eastAsia="宋体" w:cs="Times New Roman"/>
          <w:strike/>
          <w:dstrike w:val="0"/>
          <w:sz w:val="24"/>
          <w:szCs w:val="24"/>
          <w:u w:val="single"/>
          <w:lang w:val="en-US" w:eastAsia="zh-CN"/>
        </w:rPr>
        <w:t>以石油醚（60～90℃）-乙酸乙酯（1:1）为展开剂，展开，取出，晾干，喷以10%磷钼酸乙醇溶液，在105℃加热至斑点显色清晰。供试品色谱中，在与对照药材色谱和对照品色谱相应的位置上，显相同颜色的斑点。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  <w:u w:val="single"/>
          <w:shd w:val="clear" w:color="auto" w:fill="FFFFFF"/>
        </w:rPr>
      </w:pPr>
      <w:r>
        <w:rPr>
          <w:rFonts w:hint="eastAsia" w:ascii="黑体" w:hAnsi="黑体" w:eastAsia="黑体" w:cs="黑体"/>
          <w:bCs/>
          <w:sz w:val="24"/>
          <w:szCs w:val="24"/>
          <w:u w:val="single"/>
        </w:rPr>
        <w:t xml:space="preserve">【特征图谱】 </w:t>
      </w:r>
      <w:r>
        <w:rPr>
          <w:rFonts w:hint="eastAsia" w:ascii="宋体" w:hAnsi="宋体" w:eastAsia="宋体" w:cs="宋体"/>
          <w:sz w:val="24"/>
          <w:szCs w:val="24"/>
          <w:u w:val="single"/>
        </w:rPr>
        <w:t>照高效液相色谱法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（通则0512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）测定。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黑体" w:hAnsi="黑体" w:eastAsia="黑体" w:cs="黑体"/>
          <w:sz w:val="24"/>
          <w:szCs w:val="24"/>
          <w:u w:val="single"/>
        </w:rPr>
        <w:t>色谱条件与系统适用性试验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>以十八烷基硅烷键合硅胶为填充剂；以乙腈为流动相A，以0.1%磷酸溶液为流动相B，按下表中的规定进行梯度洗脱；流速为每分钟0.8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>ml；柱温为30℃；检测波长为220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>nm。理论板数按天麻素峰计算应不低于5000。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>时间（分钟）</w:t>
            </w:r>
          </w:p>
        </w:tc>
        <w:tc>
          <w:tcPr>
            <w:tcW w:w="284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>流动相A（%）</w:t>
            </w:r>
          </w:p>
        </w:tc>
        <w:tc>
          <w:tcPr>
            <w:tcW w:w="284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>流动相B（%）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>0～10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>3→10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>97→90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>10～15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>10→12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>90→88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>15～25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>12→18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>88→82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>25～40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>18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>40～42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>18→95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>82→5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黑体" w:hAnsi="黑体" w:eastAsia="黑体" w:cs="黑体"/>
          <w:sz w:val="24"/>
          <w:szCs w:val="24"/>
          <w:u w:val="single"/>
        </w:rPr>
        <w:t>参照物溶液的制备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取天麻对照药材约0.5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g，置具塞锥形瓶中，加入50%甲醇25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ml，超声处理（功率500W，频率40kHz）30分钟，放冷，摇匀，滤过，取续滤液，作为对照药材参照物溶液。另取〔含量测定〕项下的对照品溶液，作为对照品参照物溶液。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ascii="Times New Roman" w:hAnsi="Times New Roman" w:eastAsia="黑体" w:cs="Times New Roman"/>
          <w:sz w:val="24"/>
          <w:szCs w:val="24"/>
          <w:u w:val="single"/>
        </w:rPr>
        <w:t>供试品溶液的制备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取本品粉末（过四号筛）约0.5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g，照对照药材参照物溶液制备方法同法制成供试品溶液。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ascii="Times New Roman" w:hAnsi="Times New Roman" w:eastAsia="黑体" w:cs="Times New Roman"/>
          <w:sz w:val="24"/>
          <w:szCs w:val="24"/>
          <w:u w:val="single"/>
        </w:rPr>
        <w:t>测定法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分别精密吸取参照物溶液与供试品溶液各3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μl，注入液相色谱仪，测定，记录色谱图，即得。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ascii="Times New Roman" w:hAnsi="Times New Roman" w:eastAsia="宋体" w:cs="Times New Roman"/>
          <w:sz w:val="24"/>
          <w:szCs w:val="24"/>
          <w:u w:val="single"/>
        </w:rPr>
        <w:t>供试品色谱中应呈现6个特征峰，并应与对照药材参照物色谱中的6个特征峰相对应，其中峰1、峰2应与天麻素对照品和对羟基苯甲醇对照品参照物峰保留时间相一致。</w:t>
      </w:r>
    </w:p>
    <w:p>
      <w:pPr>
        <w:autoSpaceDE w:val="0"/>
        <w:autoSpaceDN w:val="0"/>
        <w:adjustRightInd w:val="0"/>
        <w:spacing w:line="360" w:lineRule="auto"/>
        <w:ind w:firstLine="0" w:firstLineChars="0"/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ascii="Times New Roman" w:hAnsi="Times New Roman" w:eastAsia="宋体" w:cs="Times New Roman"/>
          <w:sz w:val="24"/>
          <w:szCs w:val="24"/>
          <w:u w:val="single"/>
        </w:rPr>
        <w:drawing>
          <wp:inline distT="0" distB="0" distL="114300" distR="114300">
            <wp:extent cx="4662170" cy="2673350"/>
            <wp:effectExtent l="19050" t="0" r="4572" b="0"/>
            <wp:docPr id="6" name="图片 3" descr="173650722505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1736507225057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475" cy="267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ind w:firstLine="0" w:firstLineChars="0"/>
        <w:jc w:val="center"/>
        <w:rPr>
          <w:rFonts w:ascii="黑体" w:hAnsi="黑体" w:eastAsia="黑体" w:cs="Times New Roman"/>
          <w:b/>
          <w:szCs w:val="21"/>
          <w:u w:val="single"/>
        </w:rPr>
      </w:pPr>
      <w:r>
        <w:rPr>
          <w:rFonts w:hint="eastAsia" w:ascii="黑体" w:hAnsi="黑体" w:eastAsia="黑体" w:cs="Times New Roman"/>
          <w:b/>
          <w:szCs w:val="21"/>
          <w:u w:val="single"/>
        </w:rPr>
        <w:t>对照特征图谱</w:t>
      </w:r>
    </w:p>
    <w:p>
      <w:pPr>
        <w:autoSpaceDE w:val="0"/>
        <w:autoSpaceDN w:val="0"/>
        <w:adjustRightInd w:val="0"/>
        <w:spacing w:line="360" w:lineRule="auto"/>
        <w:ind w:firstLine="0" w:firstLineChars="0"/>
        <w:jc w:val="center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峰1（S）：天麻素；峰2（S）：对羟基苯甲醇；峰3：巴利森苷E；</w:t>
      </w:r>
    </w:p>
    <w:p>
      <w:pPr>
        <w:autoSpaceDE w:val="0"/>
        <w:autoSpaceDN w:val="0"/>
        <w:adjustRightInd w:val="0"/>
        <w:spacing w:line="360" w:lineRule="auto"/>
        <w:ind w:firstLine="0" w:firstLineChars="0"/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Cs w:val="21"/>
          <w:u w:val="single"/>
        </w:rPr>
        <w:t>峰4：巴利森苷B；峰5：巴利森苷C；峰6：巴利森苷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w:pict>
        <v:shape id="PowerPlusWaterMarkObject11746" o:spid="_x0000_s4097" o:spt="136" type="#_x0000_t136" style="position:absolute;left:0pt;height:108.95pt;width:478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征求意见稿" style="font-family:仿宋_GB2312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DB767E"/>
    <w:multiLevelType w:val="singleLevel"/>
    <w:tmpl w:val="99DB767E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applyBreakingRu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ZjBhYmY3MzA3NmNkYTQ3NjI4MTE0Y2I3ZWRjNjgifQ=="/>
  </w:docVars>
  <w:rsids>
    <w:rsidRoot w:val="00FD03A6"/>
    <w:rsid w:val="000000F9"/>
    <w:rsid w:val="000064E6"/>
    <w:rsid w:val="0001679E"/>
    <w:rsid w:val="000169AC"/>
    <w:rsid w:val="000178F1"/>
    <w:rsid w:val="0003671A"/>
    <w:rsid w:val="0004062F"/>
    <w:rsid w:val="0004622B"/>
    <w:rsid w:val="000609B0"/>
    <w:rsid w:val="00065A5F"/>
    <w:rsid w:val="000677B6"/>
    <w:rsid w:val="00076BB4"/>
    <w:rsid w:val="000B0982"/>
    <w:rsid w:val="000B6DE9"/>
    <w:rsid w:val="000C3CA5"/>
    <w:rsid w:val="000D5C64"/>
    <w:rsid w:val="000E5714"/>
    <w:rsid w:val="0010646A"/>
    <w:rsid w:val="00112E19"/>
    <w:rsid w:val="00124B47"/>
    <w:rsid w:val="0015345A"/>
    <w:rsid w:val="0015545C"/>
    <w:rsid w:val="00170A43"/>
    <w:rsid w:val="001852CD"/>
    <w:rsid w:val="001A7D85"/>
    <w:rsid w:val="001B2437"/>
    <w:rsid w:val="001B58E1"/>
    <w:rsid w:val="001B72B7"/>
    <w:rsid w:val="001D4866"/>
    <w:rsid w:val="001D64AE"/>
    <w:rsid w:val="001E5C5C"/>
    <w:rsid w:val="001E6C73"/>
    <w:rsid w:val="001F4338"/>
    <w:rsid w:val="001F438F"/>
    <w:rsid w:val="00223E03"/>
    <w:rsid w:val="00241777"/>
    <w:rsid w:val="00250F5C"/>
    <w:rsid w:val="00252D74"/>
    <w:rsid w:val="00257C96"/>
    <w:rsid w:val="002616B8"/>
    <w:rsid w:val="002629C1"/>
    <w:rsid w:val="00264010"/>
    <w:rsid w:val="00265B53"/>
    <w:rsid w:val="002742B1"/>
    <w:rsid w:val="00283055"/>
    <w:rsid w:val="00292FE4"/>
    <w:rsid w:val="002A5FB5"/>
    <w:rsid w:val="002B3040"/>
    <w:rsid w:val="002B719B"/>
    <w:rsid w:val="002D2CDC"/>
    <w:rsid w:val="002D4340"/>
    <w:rsid w:val="002D6B79"/>
    <w:rsid w:val="002D7582"/>
    <w:rsid w:val="002E5F6B"/>
    <w:rsid w:val="00324DD6"/>
    <w:rsid w:val="00342335"/>
    <w:rsid w:val="003444C6"/>
    <w:rsid w:val="0035536C"/>
    <w:rsid w:val="0036350D"/>
    <w:rsid w:val="00380C7F"/>
    <w:rsid w:val="003830D1"/>
    <w:rsid w:val="003874F1"/>
    <w:rsid w:val="00390FA1"/>
    <w:rsid w:val="003B02A0"/>
    <w:rsid w:val="003C4E2F"/>
    <w:rsid w:val="003D2CA5"/>
    <w:rsid w:val="003F6D3D"/>
    <w:rsid w:val="004050C2"/>
    <w:rsid w:val="00423031"/>
    <w:rsid w:val="00431609"/>
    <w:rsid w:val="0043481E"/>
    <w:rsid w:val="00463D7C"/>
    <w:rsid w:val="00464725"/>
    <w:rsid w:val="004A205F"/>
    <w:rsid w:val="004A54C3"/>
    <w:rsid w:val="004B7CE9"/>
    <w:rsid w:val="004C6947"/>
    <w:rsid w:val="004F5986"/>
    <w:rsid w:val="004F5F95"/>
    <w:rsid w:val="00503C9F"/>
    <w:rsid w:val="00506994"/>
    <w:rsid w:val="00527EA7"/>
    <w:rsid w:val="005313CC"/>
    <w:rsid w:val="00531CEC"/>
    <w:rsid w:val="00552DB5"/>
    <w:rsid w:val="005534E6"/>
    <w:rsid w:val="00555E2C"/>
    <w:rsid w:val="00563F33"/>
    <w:rsid w:val="00567DE6"/>
    <w:rsid w:val="005731F3"/>
    <w:rsid w:val="00580BB6"/>
    <w:rsid w:val="00590B4E"/>
    <w:rsid w:val="00591F97"/>
    <w:rsid w:val="005A04F4"/>
    <w:rsid w:val="005A0ADA"/>
    <w:rsid w:val="005A6D8B"/>
    <w:rsid w:val="005B5E5F"/>
    <w:rsid w:val="005C1441"/>
    <w:rsid w:val="005C3A2A"/>
    <w:rsid w:val="005D69AC"/>
    <w:rsid w:val="005D6E12"/>
    <w:rsid w:val="005F0690"/>
    <w:rsid w:val="005F5D48"/>
    <w:rsid w:val="00600D1A"/>
    <w:rsid w:val="00601E7B"/>
    <w:rsid w:val="006369B1"/>
    <w:rsid w:val="00652BA8"/>
    <w:rsid w:val="00665E10"/>
    <w:rsid w:val="00677982"/>
    <w:rsid w:val="0068304F"/>
    <w:rsid w:val="00683271"/>
    <w:rsid w:val="006854E5"/>
    <w:rsid w:val="006A1224"/>
    <w:rsid w:val="006A1CF1"/>
    <w:rsid w:val="006B5C5B"/>
    <w:rsid w:val="006B71AA"/>
    <w:rsid w:val="006D0E55"/>
    <w:rsid w:val="006D2480"/>
    <w:rsid w:val="006F1BFD"/>
    <w:rsid w:val="00702D8C"/>
    <w:rsid w:val="00713DEB"/>
    <w:rsid w:val="007149DB"/>
    <w:rsid w:val="007215F4"/>
    <w:rsid w:val="0072319C"/>
    <w:rsid w:val="00740076"/>
    <w:rsid w:val="007519E1"/>
    <w:rsid w:val="007522A5"/>
    <w:rsid w:val="0075431B"/>
    <w:rsid w:val="007724BA"/>
    <w:rsid w:val="0078128E"/>
    <w:rsid w:val="007C45E6"/>
    <w:rsid w:val="007C5674"/>
    <w:rsid w:val="007C5B46"/>
    <w:rsid w:val="007C679B"/>
    <w:rsid w:val="007D4190"/>
    <w:rsid w:val="007E1F48"/>
    <w:rsid w:val="007F0D1A"/>
    <w:rsid w:val="007F3D80"/>
    <w:rsid w:val="00801419"/>
    <w:rsid w:val="00804206"/>
    <w:rsid w:val="00823831"/>
    <w:rsid w:val="008416B4"/>
    <w:rsid w:val="00851ACF"/>
    <w:rsid w:val="00853338"/>
    <w:rsid w:val="0086008B"/>
    <w:rsid w:val="00860BD0"/>
    <w:rsid w:val="00880C2D"/>
    <w:rsid w:val="008A1059"/>
    <w:rsid w:val="008A2967"/>
    <w:rsid w:val="008A7DA1"/>
    <w:rsid w:val="008B6098"/>
    <w:rsid w:val="008C4FD4"/>
    <w:rsid w:val="008C5C6E"/>
    <w:rsid w:val="008D2DCE"/>
    <w:rsid w:val="008D5765"/>
    <w:rsid w:val="008E6FBD"/>
    <w:rsid w:val="008F3ABB"/>
    <w:rsid w:val="008F429D"/>
    <w:rsid w:val="00902E9C"/>
    <w:rsid w:val="009055F9"/>
    <w:rsid w:val="009071EB"/>
    <w:rsid w:val="00936106"/>
    <w:rsid w:val="00941259"/>
    <w:rsid w:val="00976A15"/>
    <w:rsid w:val="009857F0"/>
    <w:rsid w:val="00996760"/>
    <w:rsid w:val="009A6D7E"/>
    <w:rsid w:val="009B1D32"/>
    <w:rsid w:val="009C189A"/>
    <w:rsid w:val="009C32FF"/>
    <w:rsid w:val="009C48A3"/>
    <w:rsid w:val="009C5906"/>
    <w:rsid w:val="009D40C6"/>
    <w:rsid w:val="009D4F8A"/>
    <w:rsid w:val="009E6424"/>
    <w:rsid w:val="009F5605"/>
    <w:rsid w:val="009F7C5E"/>
    <w:rsid w:val="00A02C4A"/>
    <w:rsid w:val="00A24D34"/>
    <w:rsid w:val="00A415F8"/>
    <w:rsid w:val="00A63172"/>
    <w:rsid w:val="00A6319D"/>
    <w:rsid w:val="00A66C67"/>
    <w:rsid w:val="00A772AA"/>
    <w:rsid w:val="00A84715"/>
    <w:rsid w:val="00A84874"/>
    <w:rsid w:val="00A96EE0"/>
    <w:rsid w:val="00AA3FF0"/>
    <w:rsid w:val="00AA7865"/>
    <w:rsid w:val="00AA78AA"/>
    <w:rsid w:val="00AC0A3F"/>
    <w:rsid w:val="00AD6E8C"/>
    <w:rsid w:val="00AE35B4"/>
    <w:rsid w:val="00AE4AB1"/>
    <w:rsid w:val="00AE51A2"/>
    <w:rsid w:val="00B066F3"/>
    <w:rsid w:val="00B20217"/>
    <w:rsid w:val="00B20C9A"/>
    <w:rsid w:val="00B21FB9"/>
    <w:rsid w:val="00B45F7A"/>
    <w:rsid w:val="00B52D6A"/>
    <w:rsid w:val="00B60A17"/>
    <w:rsid w:val="00B90748"/>
    <w:rsid w:val="00BD7953"/>
    <w:rsid w:val="00BE3F17"/>
    <w:rsid w:val="00BE5508"/>
    <w:rsid w:val="00BE5548"/>
    <w:rsid w:val="00BF5706"/>
    <w:rsid w:val="00BF775A"/>
    <w:rsid w:val="00C25D3D"/>
    <w:rsid w:val="00C311C9"/>
    <w:rsid w:val="00C36EB7"/>
    <w:rsid w:val="00C41845"/>
    <w:rsid w:val="00C647AF"/>
    <w:rsid w:val="00CA2AF5"/>
    <w:rsid w:val="00CB2ECA"/>
    <w:rsid w:val="00CB3D5E"/>
    <w:rsid w:val="00CB6AAF"/>
    <w:rsid w:val="00CC0852"/>
    <w:rsid w:val="00CD1C34"/>
    <w:rsid w:val="00CE1D5E"/>
    <w:rsid w:val="00CE2642"/>
    <w:rsid w:val="00D0403B"/>
    <w:rsid w:val="00D206B2"/>
    <w:rsid w:val="00D407D4"/>
    <w:rsid w:val="00D4082F"/>
    <w:rsid w:val="00D52E62"/>
    <w:rsid w:val="00D566E4"/>
    <w:rsid w:val="00D56D78"/>
    <w:rsid w:val="00D63361"/>
    <w:rsid w:val="00DA069C"/>
    <w:rsid w:val="00DB3613"/>
    <w:rsid w:val="00DB499E"/>
    <w:rsid w:val="00DB5D19"/>
    <w:rsid w:val="00DC0E9C"/>
    <w:rsid w:val="00DC2D1A"/>
    <w:rsid w:val="00DC612E"/>
    <w:rsid w:val="00DD30D5"/>
    <w:rsid w:val="00DE0878"/>
    <w:rsid w:val="00DE5BC0"/>
    <w:rsid w:val="00DF7F76"/>
    <w:rsid w:val="00E17EF4"/>
    <w:rsid w:val="00E43170"/>
    <w:rsid w:val="00E63B5F"/>
    <w:rsid w:val="00E67413"/>
    <w:rsid w:val="00E81C6C"/>
    <w:rsid w:val="00E830B2"/>
    <w:rsid w:val="00E96808"/>
    <w:rsid w:val="00EA5507"/>
    <w:rsid w:val="00EC6166"/>
    <w:rsid w:val="00EE041C"/>
    <w:rsid w:val="00EE6815"/>
    <w:rsid w:val="00EF1191"/>
    <w:rsid w:val="00EF6804"/>
    <w:rsid w:val="00F07217"/>
    <w:rsid w:val="00F1360C"/>
    <w:rsid w:val="00F2021A"/>
    <w:rsid w:val="00F310CB"/>
    <w:rsid w:val="00F42710"/>
    <w:rsid w:val="00F50991"/>
    <w:rsid w:val="00F52088"/>
    <w:rsid w:val="00F53854"/>
    <w:rsid w:val="00F60152"/>
    <w:rsid w:val="00F61101"/>
    <w:rsid w:val="00F6629D"/>
    <w:rsid w:val="00F76D78"/>
    <w:rsid w:val="00FA0A38"/>
    <w:rsid w:val="00FA6F47"/>
    <w:rsid w:val="00FB3AD3"/>
    <w:rsid w:val="00FC0CB1"/>
    <w:rsid w:val="00FC2AE5"/>
    <w:rsid w:val="00FC59EB"/>
    <w:rsid w:val="00FC7C2E"/>
    <w:rsid w:val="00FD03A6"/>
    <w:rsid w:val="00FD2B35"/>
    <w:rsid w:val="00FD4E23"/>
    <w:rsid w:val="00FE2F2D"/>
    <w:rsid w:val="00FE7D30"/>
    <w:rsid w:val="00FF7990"/>
    <w:rsid w:val="02006853"/>
    <w:rsid w:val="022D740A"/>
    <w:rsid w:val="024034AE"/>
    <w:rsid w:val="04116E24"/>
    <w:rsid w:val="042653FD"/>
    <w:rsid w:val="056000F3"/>
    <w:rsid w:val="06BA7165"/>
    <w:rsid w:val="07682947"/>
    <w:rsid w:val="07823CC2"/>
    <w:rsid w:val="07D63618"/>
    <w:rsid w:val="07F62352"/>
    <w:rsid w:val="09CE391E"/>
    <w:rsid w:val="0C3447DD"/>
    <w:rsid w:val="0D0A4205"/>
    <w:rsid w:val="0D2833CD"/>
    <w:rsid w:val="0D790378"/>
    <w:rsid w:val="0DCD09DB"/>
    <w:rsid w:val="0E662C23"/>
    <w:rsid w:val="0F1A3EF0"/>
    <w:rsid w:val="0F8D016F"/>
    <w:rsid w:val="10F9035F"/>
    <w:rsid w:val="10FC6097"/>
    <w:rsid w:val="11DA786D"/>
    <w:rsid w:val="11F66B22"/>
    <w:rsid w:val="1254771D"/>
    <w:rsid w:val="13757832"/>
    <w:rsid w:val="144D572B"/>
    <w:rsid w:val="15437E13"/>
    <w:rsid w:val="175B58E8"/>
    <w:rsid w:val="180715CC"/>
    <w:rsid w:val="18377FB5"/>
    <w:rsid w:val="183E0480"/>
    <w:rsid w:val="18866C93"/>
    <w:rsid w:val="1B5D17FB"/>
    <w:rsid w:val="1C083234"/>
    <w:rsid w:val="1D0B7B4F"/>
    <w:rsid w:val="1F2D2C55"/>
    <w:rsid w:val="1F301408"/>
    <w:rsid w:val="1F7775AA"/>
    <w:rsid w:val="20030FD5"/>
    <w:rsid w:val="21193A2B"/>
    <w:rsid w:val="2132467B"/>
    <w:rsid w:val="25681E0B"/>
    <w:rsid w:val="257B7807"/>
    <w:rsid w:val="2C5A7E2C"/>
    <w:rsid w:val="2CA63BEA"/>
    <w:rsid w:val="2F4D3614"/>
    <w:rsid w:val="31A24E8E"/>
    <w:rsid w:val="31DB3EB7"/>
    <w:rsid w:val="31FF67AC"/>
    <w:rsid w:val="358A53F5"/>
    <w:rsid w:val="35D4038E"/>
    <w:rsid w:val="375A35E9"/>
    <w:rsid w:val="395F67F8"/>
    <w:rsid w:val="39FE5135"/>
    <w:rsid w:val="3CD56A4E"/>
    <w:rsid w:val="3EE14A8D"/>
    <w:rsid w:val="3FD98BC2"/>
    <w:rsid w:val="430E0435"/>
    <w:rsid w:val="434774ED"/>
    <w:rsid w:val="43877E2B"/>
    <w:rsid w:val="44DA4D3E"/>
    <w:rsid w:val="47305E79"/>
    <w:rsid w:val="485B3484"/>
    <w:rsid w:val="49236237"/>
    <w:rsid w:val="4949012F"/>
    <w:rsid w:val="4AF0701B"/>
    <w:rsid w:val="4B385569"/>
    <w:rsid w:val="4B49627F"/>
    <w:rsid w:val="4C222FFD"/>
    <w:rsid w:val="4D067C72"/>
    <w:rsid w:val="505C42A5"/>
    <w:rsid w:val="51022745"/>
    <w:rsid w:val="541640A3"/>
    <w:rsid w:val="54840E9E"/>
    <w:rsid w:val="582D50DD"/>
    <w:rsid w:val="58BD4D51"/>
    <w:rsid w:val="5A946B82"/>
    <w:rsid w:val="5ABC3202"/>
    <w:rsid w:val="5AC44FB4"/>
    <w:rsid w:val="5C05273E"/>
    <w:rsid w:val="5C1D0FDB"/>
    <w:rsid w:val="5C65749F"/>
    <w:rsid w:val="5EC76765"/>
    <w:rsid w:val="629C6222"/>
    <w:rsid w:val="645E1809"/>
    <w:rsid w:val="64DD2C79"/>
    <w:rsid w:val="67A23A33"/>
    <w:rsid w:val="69875D44"/>
    <w:rsid w:val="6A8827A1"/>
    <w:rsid w:val="6B50746E"/>
    <w:rsid w:val="6CAE0724"/>
    <w:rsid w:val="6FA36D05"/>
    <w:rsid w:val="6FB53475"/>
    <w:rsid w:val="71D33F72"/>
    <w:rsid w:val="75531E8A"/>
    <w:rsid w:val="756B291D"/>
    <w:rsid w:val="77F4102D"/>
    <w:rsid w:val="7C864C35"/>
    <w:rsid w:val="7D07460B"/>
    <w:rsid w:val="7E2432C7"/>
    <w:rsid w:val="BBD3087B"/>
    <w:rsid w:val="F1DF0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adjustRightInd w:val="0"/>
      <w:snapToGrid w:val="0"/>
      <w:spacing w:line="360" w:lineRule="auto"/>
      <w:ind w:left="119" w:firstLine="200" w:firstLineChars="200"/>
      <w:outlineLvl w:val="1"/>
    </w:pPr>
    <w:rPr>
      <w:b/>
      <w:bCs/>
      <w:sz w:val="24"/>
      <w:szCs w:val="24"/>
    </w:rPr>
  </w:style>
  <w:style w:type="paragraph" w:styleId="4">
    <w:name w:val="heading 3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unhideWhenUsed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0"/>
    <w:rPr>
      <w:sz w:val="21"/>
      <w:szCs w:val="21"/>
    </w:rPr>
  </w:style>
  <w:style w:type="character" w:customStyle="1" w:styleId="19">
    <w:name w:val="批注框文本 Char"/>
    <w:basedOn w:val="15"/>
    <w:link w:val="8"/>
    <w:semiHidden/>
    <w:qFormat/>
    <w:uiPriority w:val="99"/>
    <w:rPr>
      <w:sz w:val="18"/>
      <w:szCs w:val="18"/>
    </w:rPr>
  </w:style>
  <w:style w:type="character" w:customStyle="1" w:styleId="20">
    <w:name w:val="标题 1 Char"/>
    <w:basedOn w:val="1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3 Char"/>
    <w:basedOn w:val="15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2">
    <w:name w:val="rowtit"/>
    <w:basedOn w:val="15"/>
    <w:qFormat/>
    <w:uiPriority w:val="0"/>
  </w:style>
  <w:style w:type="character" w:customStyle="1" w:styleId="23">
    <w:name w:val="abstract-text"/>
    <w:basedOn w:val="15"/>
    <w:qFormat/>
    <w:uiPriority w:val="0"/>
  </w:style>
  <w:style w:type="character" w:customStyle="1" w:styleId="24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页脚 Char"/>
    <w:basedOn w:val="15"/>
    <w:link w:val="9"/>
    <w:qFormat/>
    <w:uiPriority w:val="99"/>
    <w:rPr>
      <w:sz w:val="18"/>
      <w:szCs w:val="18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2"/>
      <w:lang w:bidi="ar-SA"/>
    </w:rPr>
  </w:style>
  <w:style w:type="character" w:customStyle="1" w:styleId="28">
    <w:name w:val="fontstyle01"/>
    <w:basedOn w:val="15"/>
    <w:qFormat/>
    <w:uiPriority w:val="0"/>
    <w:rPr>
      <w:rFonts w:hint="default" w:ascii="Times New Roman" w:hAnsi="Times New Roman" w:cs="Times New Roman"/>
      <w:color w:val="000000"/>
      <w:sz w:val="30"/>
      <w:szCs w:val="30"/>
    </w:rPr>
  </w:style>
  <w:style w:type="paragraph" w:customStyle="1" w:styleId="29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0">
    <w:name w:val="Table Paragraph"/>
    <w:basedOn w:val="1"/>
    <w:qFormat/>
    <w:uiPriority w:val="1"/>
    <w:pPr>
      <w:spacing w:before="1"/>
      <w:jc w:val="center"/>
    </w:pPr>
    <w:rPr>
      <w:rFonts w:ascii="Times New Roman" w:hAnsi="Times New Roman" w:eastAsia="Times New Roman" w:cs="Times New Roman"/>
    </w:rPr>
  </w:style>
  <w:style w:type="table" w:customStyle="1" w:styleId="3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33">
    <w:name w:val="批注文字 Char"/>
    <w:basedOn w:val="15"/>
    <w:link w:val="5"/>
    <w:semiHidden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1236</Words>
  <Characters>1359</Characters>
  <Lines>97</Lines>
  <Paragraphs>27</Paragraphs>
  <TotalTime>6</TotalTime>
  <ScaleCrop>false</ScaleCrop>
  <LinksUpToDate>false</LinksUpToDate>
  <CharactersWithSpaces>1393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2025-01-14T05:53:00Z</dcterms:created>
  <dc:creator>Administrator</dc:creator>
  <cp:lastModifiedBy>user</cp:lastModifiedBy>
  <cp:lastPrinted>2025-01-16T06:06:00Z</cp:lastPrinted>
  <dcterms:modified xsi:type="dcterms:W3CDTF">2025-04-18T11:13:34Z</dcterms:modified>
  <dc:title>	《四川省中药饮片炮制规范》（2015 年版）天麻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4DF73BC1E92C49E18838407C4B5609C0_13</vt:lpwstr>
  </property>
  <property fmtid="{D5CDD505-2E9C-101B-9397-08002B2CF9AE}" pid="4" name="KSOTemplateDocerSaveRecord">
    <vt:lpwstr>eyJoZGlkIjoiYmJjNjgxMjY2OGFkYTcwZGQzMDcwMmUwYmM0YmM2ZGYiLCJ1c2VySWQiOiI2MjAxNDA5MzUifQ==</vt:lpwstr>
  </property>
</Properties>
</file>