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B2B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 w14:paraId="37872A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vertAlign w:val="baseline"/>
          <w:lang w:val="en-US" w:eastAsia="zh-CN" w:bidi="ar"/>
        </w:rPr>
        <w:t>广东省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vertAlign w:val="baseline"/>
          <w:lang w:val="en-US" w:eastAsia="zh-CN" w:bidi="ar"/>
        </w:rPr>
        <w:t>卫生健康委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vertAlign w:val="baseline"/>
          <w:lang w:val="en-US" w:eastAsia="zh-CN" w:bidi="ar"/>
        </w:rPr>
        <w:t>医疗卫生信用信息管理办法（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vertAlign w:val="baseline"/>
          <w:lang w:val="en-US" w:eastAsia="zh-CN" w:bidi="ar"/>
        </w:rPr>
        <w:t>修订征求意见稿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vertAlign w:val="baseline"/>
          <w:lang w:val="en-US" w:eastAsia="zh-CN" w:bidi="ar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修订说明</w:t>
      </w:r>
    </w:p>
    <w:p w14:paraId="3480F7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5AE9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为深入贯彻落实党中央、国务院关于推进社会信用体系建设高质量发展的决策部署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进一步完善医疗卫生信用体系，提高信用信息管理的法治化、规范化水平，省卫生健康委于2025年1月启动对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80000" w:fill="FFFFFF"/>
        </w:rPr>
        <w:t>广东省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080000" w:fill="FFFFFF"/>
          <w:lang w:val="en-US" w:eastAsia="zh-CN"/>
        </w:rPr>
        <w:t>卫生健康委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80000" w:fill="FFFFFF"/>
        </w:rPr>
        <w:t>医疗卫生信用信息管理办法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（试行）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》（粤卫规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〔2022〕4号，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以下简称《管理办法（试行）》）的修订工作。现将有关情况说明如下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。  </w:t>
      </w:r>
    </w:p>
    <w:p w14:paraId="07235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《管理办法》修订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的必要性</w:t>
      </w:r>
    </w:p>
    <w:p w14:paraId="1336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（一）国家制定了公共信用信息基础目录以及失信惩戒措施基础清单。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年，国家发展改革委、中国人民银行印发《全国公共信用信息基础目录（202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版）》和《全国失信惩戒措施基础清单（202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年版）》（发改财金规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〔202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〕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297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号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），在公共信用信息纳入范围、失信惩戒措施的种类和对象方面提出了规范要求，《管理办法》需与关联内容相匹配。</w:t>
      </w:r>
    </w:p>
    <w:p w14:paraId="509E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（二）《管理办法（试行）》即将到期，经综合评估需要进行修订。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2022年省卫生健康委制定了《管理办法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（试行）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》，有效期截止于2025年7月1日。根据《广东省行政规范性文件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管理规定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，在到期前应进行修订评估。根据评估结论，《管理办法（试行）》需进行修订。</w:t>
      </w:r>
    </w:p>
    <w:p w14:paraId="52B2C117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办法》的</w:t>
      </w:r>
      <w:r>
        <w:rPr>
          <w:rFonts w:hint="eastAsia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修订思路和内容</w:t>
      </w:r>
    </w:p>
    <w:p w14:paraId="6FCC2A4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《管理办法》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的修订思路主要围绕医疗卫生信用信息的“归集”“分类”“使用”“修复”四个关键环节开展。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重点调整补充了医疗卫生归集信息来源及分类、信用信息激励与约束措施、信用主体权益保护等方面的内容。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修订后的《管理办法》分为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章四十一条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，主要修订内容如下。</w:t>
      </w:r>
    </w:p>
    <w:p w14:paraId="13713C7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（一）关于归集信用信息分类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。信用信息纳入范围执行国家民展改革委、中国人民银行印发的《全国公共信用信息基础目录（2024年版）》，除法律、法规或党中央、国务院政策文件以及广东省另有规定外，超出目录采集的信息不作为信用信息使用。在综合考虑信用归集内容法律依据前提下，删除《管理办法》中不良信息归集内容，并同时对信用等级分级标准进行调整。</w:t>
      </w:r>
    </w:p>
    <w:p w14:paraId="1009DDE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0" w:firstLine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（二）关于重点监管措施。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对照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国家民展改革委、中国人民</w:t>
      </w:r>
    </w:p>
    <w:p w14:paraId="3D9E960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银行印发的《全国失信惩戒措施基础清单》《广东省社会信用条例》，细化信用良好主体激励措施内容，修订“重点监管对象”管理措施条款，删除缺少上位法依据的措施。明确医疗卫生信用信息分类监管措施，根据医疗卫生信用主体信用信息结果确定“双随机”检查频次，采取适当的激励与约束措施。</w:t>
      </w:r>
    </w:p>
    <w:p w14:paraId="4D404FB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（三）关于信用修复与异议处理。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参照《失信行为纠正后的信用信息修复管理办法（试行）》《广东省发展改革委关于印发深化信用修复“一口受理、一次办成”改革 办好信用修复“一件事”工作方案的通知》（粤发改信用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〔2024〕128号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）相关规定，</w:t>
      </w:r>
    </w:p>
    <w:p w14:paraId="1BCEA0A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《管理办法》明确了信息修复申请受理、认定和处理流程；提出信息异议提出与处理的具体要求，充分保障医疗卫生信息主体权益。</w:t>
      </w:r>
    </w:p>
    <w:p w14:paraId="6C58428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（四）其他需要说明的问题。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关于行政处分等行政处理和社会公众的服务满意度评价结果等信息。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根据国务院及有关部门关于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信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用信息归集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范围有关规定，行政处分等行政处理和社会公众的服务满意度评价结果不属于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公共信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息归集范围，因此删除《管理办法（试行）》相关内容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，且不良信息列举内容已经包含在信用信息归集内容中，所以不另外单独列举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51448D9D">
      <w:pPr>
        <w:pStyle w:val="3"/>
        <w:numPr>
          <w:ilvl w:val="0"/>
          <w:numId w:val="1"/>
        </w:numPr>
        <w:ind w:firstLine="632" w:firstLineChars="200"/>
        <w:rPr>
          <w:rFonts w:hint="eastAsia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CESI黑体-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《管理办法》的修订依据</w:t>
      </w:r>
    </w:p>
    <w:p w14:paraId="4CDAF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《中华人民共和国基本医疗卫生与健康促进法》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4EE071A6">
      <w:pPr>
        <w:widowControl w:val="0"/>
        <w:numPr>
          <w:ilvl w:val="0"/>
          <w:numId w:val="0"/>
        </w:numPr>
        <w:spacing w:before="0" w:beforeAutospacing="0" w:after="0" w:afterAutospacing="0"/>
        <w:ind w:leftChars="0" w:firstLine="632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《医疗卫生信用信息管理暂行办法》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（国卫监督发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〔2017〕58号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45C4EDA0">
      <w:pPr>
        <w:widowControl w:val="0"/>
        <w:numPr>
          <w:ilvl w:val="0"/>
          <w:numId w:val="0"/>
        </w:numPr>
        <w:spacing w:before="0" w:beforeAutospacing="0" w:after="0" w:afterAutospacing="0"/>
        <w:ind w:firstLine="604" w:firstLineChars="0"/>
        <w:outlineLvl w:val="9"/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（三）国家发展改革委 中国人民银行关于印发《全国公共信用信息基础目录（2025年版）》和《全国失信惩戒措施基础清单（2025年版）》的通知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（发改财金规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〔202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〕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297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号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shd w:val="clear" w:color="080000" w:fill="FFFFFF"/>
          <w:lang w:val="en-US"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6A4C4D81">
      <w:pPr>
        <w:pStyle w:val="2"/>
        <w:ind w:firstLine="631"/>
        <w:rPr>
          <w:rFonts w:hint="default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（四）《失信行为纠正后的信用信息修复管理办法（试行）》。</w:t>
      </w:r>
    </w:p>
    <w:p w14:paraId="139E4C06">
      <w:pPr>
        <w:pStyle w:val="2"/>
        <w:ind w:firstLine="631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（五）《广东省发展改革委关于印发深化信用修复“一口受理、一次办成”改革 办好信用修复“一件事”工作方案的通知》（粤发改信用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〔2024〕128号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）。</w:t>
      </w:r>
    </w:p>
    <w:p w14:paraId="43FE0C22">
      <w:pPr>
        <w:pStyle w:val="2"/>
        <w:ind w:firstLine="631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（六）《广东省社会信用条例》。</w:t>
      </w:r>
    </w:p>
    <w:p w14:paraId="48BE3C0B"/>
    <w:sectPr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FA07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A25EA"/>
    <w:multiLevelType w:val="singleLevel"/>
    <w:tmpl w:val="A9EA2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37C7"/>
    <w:rsid w:val="01F6662D"/>
    <w:rsid w:val="023A3D7F"/>
    <w:rsid w:val="085A51F0"/>
    <w:rsid w:val="0A82341F"/>
    <w:rsid w:val="0B08657D"/>
    <w:rsid w:val="0BD123CC"/>
    <w:rsid w:val="0C082A09"/>
    <w:rsid w:val="0E5C6644"/>
    <w:rsid w:val="0EF34590"/>
    <w:rsid w:val="101808F1"/>
    <w:rsid w:val="10284040"/>
    <w:rsid w:val="10FB5578"/>
    <w:rsid w:val="11B624F1"/>
    <w:rsid w:val="123135AF"/>
    <w:rsid w:val="13063DBE"/>
    <w:rsid w:val="14E673A6"/>
    <w:rsid w:val="16215584"/>
    <w:rsid w:val="16C15072"/>
    <w:rsid w:val="16F75C44"/>
    <w:rsid w:val="17DD6CB9"/>
    <w:rsid w:val="183403F1"/>
    <w:rsid w:val="192C4573"/>
    <w:rsid w:val="19CF2AB0"/>
    <w:rsid w:val="19F272BA"/>
    <w:rsid w:val="1B4D77AC"/>
    <w:rsid w:val="1B7B30EB"/>
    <w:rsid w:val="1C431D17"/>
    <w:rsid w:val="1D2139C9"/>
    <w:rsid w:val="1DBC1E8D"/>
    <w:rsid w:val="1FFB7F6A"/>
    <w:rsid w:val="208F7291"/>
    <w:rsid w:val="20FD4BB9"/>
    <w:rsid w:val="21E94A07"/>
    <w:rsid w:val="2218534C"/>
    <w:rsid w:val="23BB1E2F"/>
    <w:rsid w:val="27F41A58"/>
    <w:rsid w:val="28CC07DA"/>
    <w:rsid w:val="29614842"/>
    <w:rsid w:val="2A394873"/>
    <w:rsid w:val="2B42542A"/>
    <w:rsid w:val="2D3E518C"/>
    <w:rsid w:val="2E571EEA"/>
    <w:rsid w:val="2EE339CF"/>
    <w:rsid w:val="2F525EE8"/>
    <w:rsid w:val="31D13B8A"/>
    <w:rsid w:val="336A6C49"/>
    <w:rsid w:val="34403C42"/>
    <w:rsid w:val="35036F8E"/>
    <w:rsid w:val="35962DD6"/>
    <w:rsid w:val="35BC2680"/>
    <w:rsid w:val="376348C9"/>
    <w:rsid w:val="3CBC0C89"/>
    <w:rsid w:val="3D0E4EE4"/>
    <w:rsid w:val="3D1A3E50"/>
    <w:rsid w:val="3D4E73F4"/>
    <w:rsid w:val="3D954BF6"/>
    <w:rsid w:val="3E0B3AFA"/>
    <w:rsid w:val="3EFA10A5"/>
    <w:rsid w:val="3EFC2E84"/>
    <w:rsid w:val="3F5A482D"/>
    <w:rsid w:val="407D514D"/>
    <w:rsid w:val="428A1763"/>
    <w:rsid w:val="430558EF"/>
    <w:rsid w:val="44895C15"/>
    <w:rsid w:val="456125DB"/>
    <w:rsid w:val="458A2EDB"/>
    <w:rsid w:val="46534AF4"/>
    <w:rsid w:val="49440303"/>
    <w:rsid w:val="508E5F4E"/>
    <w:rsid w:val="50E53996"/>
    <w:rsid w:val="51FD0DFF"/>
    <w:rsid w:val="52C071DB"/>
    <w:rsid w:val="54C6220D"/>
    <w:rsid w:val="54CB795E"/>
    <w:rsid w:val="554A2872"/>
    <w:rsid w:val="59141F9A"/>
    <w:rsid w:val="5A337089"/>
    <w:rsid w:val="5BBF1E57"/>
    <w:rsid w:val="5BC91E7D"/>
    <w:rsid w:val="5C714F75"/>
    <w:rsid w:val="5C7B0FA6"/>
    <w:rsid w:val="5D362F61"/>
    <w:rsid w:val="5DC1043B"/>
    <w:rsid w:val="5E1C1C4F"/>
    <w:rsid w:val="61F15045"/>
    <w:rsid w:val="629C0E5C"/>
    <w:rsid w:val="62AE5726"/>
    <w:rsid w:val="630F0ECE"/>
    <w:rsid w:val="633D6A24"/>
    <w:rsid w:val="63577C7E"/>
    <w:rsid w:val="647D2FA3"/>
    <w:rsid w:val="64D90791"/>
    <w:rsid w:val="64EF2ECC"/>
    <w:rsid w:val="651A0D57"/>
    <w:rsid w:val="660B03C9"/>
    <w:rsid w:val="676D48C3"/>
    <w:rsid w:val="685F5C9E"/>
    <w:rsid w:val="6ADC2CF4"/>
    <w:rsid w:val="6AEB4554"/>
    <w:rsid w:val="6AF61480"/>
    <w:rsid w:val="6B1277C1"/>
    <w:rsid w:val="6C123989"/>
    <w:rsid w:val="6C184AB8"/>
    <w:rsid w:val="6D2B7E0E"/>
    <w:rsid w:val="6E27263A"/>
    <w:rsid w:val="6E995B9A"/>
    <w:rsid w:val="6FA811F1"/>
    <w:rsid w:val="72383BA4"/>
    <w:rsid w:val="73325538"/>
    <w:rsid w:val="74BA4DB0"/>
    <w:rsid w:val="753E4979"/>
    <w:rsid w:val="75942443"/>
    <w:rsid w:val="75D83478"/>
    <w:rsid w:val="777C6A87"/>
    <w:rsid w:val="78701311"/>
    <w:rsid w:val="7A2A0BA4"/>
    <w:rsid w:val="7AC17424"/>
    <w:rsid w:val="7ACF41EE"/>
    <w:rsid w:val="7C1151FC"/>
    <w:rsid w:val="7CD30C6F"/>
    <w:rsid w:val="7D584B2D"/>
    <w:rsid w:val="7D58729D"/>
    <w:rsid w:val="7D8349C6"/>
    <w:rsid w:val="7D9D0B3B"/>
    <w:rsid w:val="7DB20732"/>
    <w:rsid w:val="7DB94B0B"/>
    <w:rsid w:val="7DDB78D5"/>
    <w:rsid w:val="7E5E61BD"/>
    <w:rsid w:val="7FB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rFonts w:ascii="Times New Roman" w:hAnsi="Times New Roman" w:cs="Times New Roman"/>
      <w:sz w:val="2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1514</Words>
  <Characters>1568</Characters>
  <Lines>0</Lines>
  <Paragraphs>0</Paragraphs>
  <TotalTime>2</TotalTime>
  <ScaleCrop>false</ScaleCrop>
  <LinksUpToDate>false</LinksUpToDate>
  <CharactersWithSpaces>1577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李霞</dc:creator>
  <cp:lastModifiedBy>Y-ING</cp:lastModifiedBy>
  <dcterms:modified xsi:type="dcterms:W3CDTF">2025-04-08T09:04:43Z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A578DD577A90468690FD81147139DF06_13</vt:lpwstr>
  </property>
</Properties>
</file>