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rPr>
          <w:rFonts w:hint="eastAsia" w:ascii="仿宋" w:hAnsi="仿宋" w:eastAsia="仿宋" w:cs="仿宋"/>
          <w:b/>
          <w:bCs w:val="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rPr>
          <w:rFonts w:hint="eastAsia" w:ascii="仿宋" w:hAnsi="仿宋" w:eastAsia="仿宋" w:cs="仿宋"/>
          <w:b/>
          <w:bCs w:val="0"/>
          <w:sz w:val="18"/>
          <w:szCs w:val="1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baseline"/>
        <w:rPr>
          <w:rFonts w:hint="eastAsia" w:ascii="仿宋" w:hAnsi="仿宋" w:eastAsia="仿宋" w:cs="仿宋"/>
          <w:b/>
          <w:bCs/>
          <w:color w:val="auto"/>
          <w:kern w:val="2"/>
          <w:sz w:val="32"/>
          <w:szCs w:val="32"/>
          <w:shd w:val="clear" w:color="auto" w:fill="FFFFFF"/>
          <w:lang w:val="en-US" w:eastAsia="zh-CN" w:bidi="ar-SA"/>
        </w:rPr>
      </w:pPr>
      <w:r>
        <w:rPr>
          <w:rFonts w:hint="eastAsia" w:ascii="仿宋" w:hAnsi="仿宋" w:eastAsia="仿宋" w:cs="仿宋"/>
          <w:b/>
          <w:bCs/>
          <w:color w:val="auto"/>
          <w:kern w:val="2"/>
          <w:sz w:val="32"/>
          <w:szCs w:val="32"/>
          <w:shd w:val="clear" w:color="auto" w:fill="FFFFFF"/>
          <w:lang w:val="en-US" w:eastAsia="zh-CN" w:bidi="ar-SA"/>
        </w:rPr>
        <w:t>济医保字〔2024〕6号</w:t>
      </w:r>
    </w:p>
    <w:p>
      <w:pPr>
        <w:keepNext w:val="0"/>
        <w:keepLines w:val="0"/>
        <w:pageBreakBefore w:val="0"/>
        <w:widowControl w:val="0"/>
        <w:kinsoku/>
        <w:wordWrap/>
        <w:overflowPunct/>
        <w:topLinePunct w:val="0"/>
        <w:autoSpaceDE/>
        <w:autoSpaceDN/>
        <w:bidi w:val="0"/>
        <w:adjustRightInd/>
        <w:snapToGrid w:val="0"/>
        <w:spacing w:line="600" w:lineRule="exact"/>
        <w:ind w:left="0" w:leftChars="0"/>
        <w:jc w:val="center"/>
        <w:textAlignment w:val="auto"/>
        <w:rPr>
          <w:rFonts w:hint="eastAsia" w:ascii="方正小标宋简体" w:hAnsi="方正小标宋简体" w:eastAsia="方正小标宋简体"/>
          <w:b/>
          <w:sz w:val="44"/>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关于印发部分医疗服务项目价格及医保支付</w:t>
      </w:r>
    </w:p>
    <w:p>
      <w:pPr>
        <w:keepNext w:val="0"/>
        <w:keepLines w:val="0"/>
        <w:pageBreakBefore w:val="0"/>
        <w:widowControl w:val="0"/>
        <w:kinsoku/>
        <w:wordWrap/>
        <w:overflowPunct/>
        <w:topLinePunct w:val="0"/>
        <w:autoSpaceDE/>
        <w:autoSpaceDN/>
        <w:bidi w:val="0"/>
        <w:adjustRightInd/>
        <w:snapToGrid w:val="0"/>
        <w:spacing w:line="600" w:lineRule="exact"/>
        <w:ind w:left="0" w:leftChars="0"/>
        <w:jc w:val="center"/>
        <w:textAlignment w:val="auto"/>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eastAsia="zh-CN"/>
        </w:rPr>
        <w:t>政策的通知</w:t>
      </w:r>
    </w:p>
    <w:p>
      <w:pPr>
        <w:keepNext w:val="0"/>
        <w:keepLines w:val="0"/>
        <w:pageBreakBefore w:val="0"/>
        <w:widowControl w:val="0"/>
        <w:kinsoku/>
        <w:wordWrap/>
        <w:overflowPunct/>
        <w:topLinePunct w:val="0"/>
        <w:autoSpaceDE/>
        <w:autoSpaceDN/>
        <w:bidi w:val="0"/>
        <w:adjustRightInd/>
        <w:snapToGrid w:val="0"/>
        <w:spacing w:line="600" w:lineRule="exact"/>
        <w:ind w:left="0" w:leftChars="0"/>
        <w:rPr>
          <w:rFonts w:hint="eastAsia" w:ascii="方正仿宋简体" w:hAnsi="方正仿宋简体" w:eastAsia="方正仿宋简体" w:cs="方正仿宋简体"/>
          <w:color w:val="auto"/>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baseline"/>
        <w:rPr>
          <w:rFonts w:hint="eastAsia" w:ascii="仿宋" w:hAnsi="仿宋" w:eastAsia="仿宋" w:cs="仿宋"/>
          <w:b/>
          <w:bCs/>
          <w:color w:val="auto"/>
          <w:kern w:val="2"/>
          <w:sz w:val="32"/>
          <w:szCs w:val="32"/>
          <w:shd w:val="clear" w:color="auto" w:fill="FFFFFF"/>
          <w:lang w:val="en-US" w:eastAsia="zh-CN" w:bidi="ar-SA"/>
        </w:rPr>
      </w:pPr>
      <w:r>
        <w:rPr>
          <w:rFonts w:hint="eastAsia" w:ascii="仿宋" w:hAnsi="仿宋" w:eastAsia="仿宋" w:cs="仿宋"/>
          <w:b/>
          <w:bCs/>
          <w:color w:val="auto"/>
          <w:kern w:val="2"/>
          <w:sz w:val="32"/>
          <w:szCs w:val="32"/>
          <w:shd w:val="clear" w:color="auto" w:fill="FFFFFF"/>
          <w:lang w:val="en-US" w:eastAsia="zh-CN" w:bidi="ar-SA"/>
        </w:rPr>
        <w:t>各县（市、区）医疗保障局，济宁高新区人力资源部、太白湖新区社会保障事业服务中心、济宁经济开发区人力资源部，兖矿能源集团股份有限公司人力资源服务中心，市医疗保障综合执法支队、市医疗保险事业中心，市直各协议管理公立医疗机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baseline"/>
        <w:rPr>
          <w:rFonts w:hint="eastAsia" w:ascii="仿宋" w:hAnsi="仿宋" w:eastAsia="仿宋" w:cs="仿宋"/>
          <w:b/>
          <w:bCs/>
          <w:color w:val="auto"/>
          <w:kern w:val="2"/>
          <w:sz w:val="32"/>
          <w:szCs w:val="32"/>
          <w:shd w:val="clear" w:color="auto" w:fill="FFFFFF"/>
          <w:lang w:val="en-US" w:eastAsia="zh-CN" w:bidi="ar-SA"/>
        </w:rPr>
      </w:pPr>
      <w:r>
        <w:rPr>
          <w:rFonts w:hint="eastAsia" w:ascii="仿宋" w:hAnsi="仿宋" w:eastAsia="仿宋" w:cs="仿宋"/>
          <w:b/>
          <w:bCs/>
          <w:color w:val="auto"/>
          <w:kern w:val="2"/>
          <w:sz w:val="32"/>
          <w:szCs w:val="32"/>
          <w:shd w:val="clear" w:color="auto" w:fill="FFFFFF"/>
          <w:lang w:val="en-US" w:eastAsia="zh-CN" w:bidi="ar-SA"/>
        </w:rPr>
        <w:t>为贯彻落实《中共中央国务院关于优化生育政策促进人口长期均衡发展的决定》精神，落实积极生育支持措施，根据《山东省医疗保障局关于印发部分医疗服务项目价格及医保支付政策的通知》（鲁医保发〔2024〕3号）文件要求，现将我市辅助生殖类医疗服务项目价格和医保支付政策有关事项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baseline"/>
        <w:rPr>
          <w:rFonts w:hint="eastAsia" w:ascii="黑体" w:hAnsi="黑体" w:eastAsia="黑体" w:cs="黑体"/>
          <w:b/>
          <w:bCs/>
          <w:color w:val="auto"/>
          <w:kern w:val="2"/>
          <w:sz w:val="32"/>
          <w:szCs w:val="32"/>
          <w:shd w:val="clear" w:color="auto" w:fill="FFFFFF"/>
          <w:lang w:val="en-US" w:eastAsia="zh-CN" w:bidi="ar-SA"/>
        </w:rPr>
      </w:pPr>
      <w:r>
        <w:rPr>
          <w:rFonts w:hint="eastAsia" w:ascii="黑体" w:hAnsi="黑体" w:eastAsia="黑体" w:cs="黑体"/>
          <w:b/>
          <w:bCs/>
          <w:color w:val="auto"/>
          <w:kern w:val="2"/>
          <w:sz w:val="32"/>
          <w:szCs w:val="32"/>
          <w:shd w:val="clear" w:color="auto" w:fill="FFFFFF"/>
          <w:lang w:val="en-US" w:eastAsia="zh-CN" w:bidi="ar-SA"/>
        </w:rPr>
        <w:t>一、医疗服务项目价格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baseline"/>
        <w:rPr>
          <w:rFonts w:hint="eastAsia" w:ascii="Times New Roman" w:hAnsi="Times New Roman" w:eastAsia="仿宋_GB2312" w:cs="仿宋"/>
          <w:b/>
          <w:bCs/>
          <w:color w:val="auto"/>
          <w:kern w:val="2"/>
          <w:sz w:val="32"/>
          <w:szCs w:val="32"/>
          <w:shd w:val="clear" w:color="auto" w:fill="FFFFFF"/>
          <w:lang w:val="en-US" w:eastAsia="zh-CN" w:bidi="ar-SA"/>
        </w:rPr>
      </w:pPr>
      <w:r>
        <w:rPr>
          <w:rFonts w:hint="eastAsia" w:ascii="仿宋" w:hAnsi="仿宋" w:eastAsia="仿宋" w:cs="仿宋"/>
          <w:b/>
          <w:bCs/>
          <w:color w:val="auto"/>
          <w:kern w:val="2"/>
          <w:sz w:val="32"/>
          <w:szCs w:val="32"/>
          <w:shd w:val="clear" w:color="auto" w:fill="FFFFFF"/>
          <w:lang w:val="en-US" w:eastAsia="zh-CN" w:bidi="ar-SA"/>
        </w:rPr>
        <w:t>公立医疗机构提供辅助生殖医疗服务，主要采取“服务项目+专用耗材”分开计价的收费方式，按照“产出导向”的基本原则，规范整合我市现行辅助生殖类医疗服务价格项目，设立、修订、停用部分医疗服务价格项目，定价形式由市场调节价调整为政府指导价。其他相关政策按现行规定执行。</w:t>
      </w:r>
    </w:p>
    <w:p>
      <w:pPr>
        <w:pStyle w:val="2"/>
        <w:keepNext w:val="0"/>
        <w:keepLines w:val="0"/>
        <w:pageBreakBefore w:val="0"/>
        <w:widowControl w:val="0"/>
        <w:kinsoku/>
        <w:wordWrap/>
        <w:overflowPunct/>
        <w:topLinePunct w:val="0"/>
        <w:autoSpaceDE/>
        <w:autoSpaceDN/>
        <w:bidi w:val="0"/>
        <w:adjustRightInd/>
        <w:spacing w:line="600" w:lineRule="exact"/>
        <w:rPr>
          <w:rFonts w:hint="eastAsia" w:ascii="黑体" w:hAnsi="黑体" w:eastAsia="黑体" w:cs="黑体"/>
          <w:b/>
          <w:bCs/>
          <w:color w:val="auto"/>
          <w:kern w:val="2"/>
          <w:sz w:val="32"/>
          <w:szCs w:val="32"/>
          <w:shd w:val="clear" w:color="auto" w:fill="FFFFFF"/>
          <w:lang w:val="en-US" w:eastAsia="zh-CN" w:bidi="ar-SA"/>
        </w:rPr>
      </w:pPr>
      <w:r>
        <w:rPr>
          <w:rFonts w:hint="eastAsia" w:ascii="黑体" w:hAnsi="黑体" w:eastAsia="黑体" w:cs="黑体"/>
          <w:b/>
          <w:bCs/>
          <w:color w:val="auto"/>
          <w:kern w:val="2"/>
          <w:sz w:val="32"/>
          <w:szCs w:val="32"/>
          <w:shd w:val="clear" w:color="auto" w:fill="FFFFFF"/>
          <w:lang w:val="en-US" w:eastAsia="zh-CN" w:bidi="ar-SA"/>
        </w:rPr>
        <w:t>二、医保支付政策</w:t>
      </w:r>
    </w:p>
    <w:p>
      <w:pPr>
        <w:pStyle w:val="2"/>
        <w:keepNext w:val="0"/>
        <w:keepLines w:val="0"/>
        <w:pageBreakBefore w:val="0"/>
        <w:widowControl w:val="0"/>
        <w:kinsoku/>
        <w:wordWrap/>
        <w:overflowPunct/>
        <w:topLinePunct w:val="0"/>
        <w:autoSpaceDE/>
        <w:autoSpaceDN/>
        <w:bidi w:val="0"/>
        <w:adjustRightInd/>
        <w:spacing w:line="600" w:lineRule="exact"/>
        <w:rPr>
          <w:rFonts w:hint="eastAsia" w:ascii="楷体" w:hAnsi="楷体" w:eastAsia="楷体" w:cs="楷体"/>
          <w:b/>
          <w:bCs/>
          <w:color w:val="auto"/>
          <w:kern w:val="2"/>
          <w:sz w:val="32"/>
          <w:szCs w:val="32"/>
          <w:shd w:val="clear" w:color="auto" w:fill="FFFFFF"/>
          <w:lang w:val="en-US" w:eastAsia="zh-CN" w:bidi="ar-SA"/>
        </w:rPr>
      </w:pPr>
      <w:r>
        <w:rPr>
          <w:rFonts w:hint="eastAsia" w:ascii="楷体" w:hAnsi="楷体" w:eastAsia="楷体" w:cs="楷体"/>
          <w:b/>
          <w:bCs/>
          <w:color w:val="auto"/>
          <w:kern w:val="2"/>
          <w:sz w:val="32"/>
          <w:szCs w:val="32"/>
          <w:shd w:val="clear" w:color="auto" w:fill="FFFFFF"/>
          <w:lang w:val="en-US" w:eastAsia="zh-CN" w:bidi="ar-SA"/>
        </w:rPr>
        <w:t>（一）定点医疗机构范围</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b/>
          <w:bCs/>
          <w:color w:val="auto"/>
          <w:kern w:val="2"/>
          <w:sz w:val="32"/>
          <w:szCs w:val="32"/>
          <w:shd w:val="clear" w:color="auto" w:fill="FFFFFF"/>
          <w:lang w:val="en-US" w:eastAsia="zh-CN" w:bidi="ar-SA"/>
        </w:rPr>
      </w:pPr>
      <w:r>
        <w:rPr>
          <w:rFonts w:hint="eastAsia" w:ascii="仿宋" w:hAnsi="仿宋" w:eastAsia="仿宋" w:cs="仿宋"/>
          <w:b/>
          <w:bCs/>
          <w:color w:val="auto"/>
          <w:kern w:val="2"/>
          <w:sz w:val="32"/>
          <w:szCs w:val="32"/>
          <w:shd w:val="clear" w:color="auto" w:fill="FFFFFF"/>
          <w:lang w:val="en-US" w:eastAsia="zh-CN" w:bidi="ar-SA"/>
        </w:rPr>
        <w:t>经卫生健康部门批准开展人类辅助生殖技术的定点医疗机构（以下简称“辅助生殖定点医疗机构”），要严格按照卫生健康部门人类辅助生殖技术规范，为符合条件的参保人员提供治疗性辅助生殖服务。非定点医疗机构发生的费用医保基金不予支付。</w:t>
      </w:r>
    </w:p>
    <w:p>
      <w:pPr>
        <w:pStyle w:val="2"/>
        <w:keepNext w:val="0"/>
        <w:keepLines w:val="0"/>
        <w:pageBreakBefore w:val="0"/>
        <w:widowControl w:val="0"/>
        <w:kinsoku/>
        <w:wordWrap/>
        <w:overflowPunct/>
        <w:topLinePunct w:val="0"/>
        <w:autoSpaceDE/>
        <w:autoSpaceDN/>
        <w:bidi w:val="0"/>
        <w:adjustRightInd/>
        <w:spacing w:line="600" w:lineRule="exact"/>
        <w:rPr>
          <w:rFonts w:hint="eastAsia" w:ascii="楷体" w:hAnsi="楷体" w:eastAsia="楷体" w:cs="楷体"/>
          <w:b/>
          <w:bCs/>
          <w:color w:val="auto"/>
          <w:kern w:val="2"/>
          <w:sz w:val="32"/>
          <w:szCs w:val="32"/>
          <w:shd w:val="clear" w:color="auto" w:fill="FFFFFF"/>
          <w:lang w:val="en-US" w:eastAsia="zh-CN" w:bidi="ar-SA"/>
        </w:rPr>
      </w:pPr>
      <w:r>
        <w:rPr>
          <w:rFonts w:hint="eastAsia" w:ascii="楷体" w:hAnsi="楷体" w:eastAsia="楷体" w:cs="楷体"/>
          <w:b/>
          <w:bCs/>
          <w:color w:val="auto"/>
          <w:kern w:val="2"/>
          <w:sz w:val="32"/>
          <w:szCs w:val="32"/>
          <w:shd w:val="clear" w:color="auto" w:fill="FFFFFF"/>
          <w:lang w:val="en-US" w:eastAsia="zh-CN" w:bidi="ar-SA"/>
        </w:rPr>
        <w:t>（二）个人先行自付比例</w:t>
      </w:r>
    </w:p>
    <w:p>
      <w:pPr>
        <w:pStyle w:val="2"/>
        <w:keepNext w:val="0"/>
        <w:keepLines w:val="0"/>
        <w:pageBreakBefore w:val="0"/>
        <w:widowControl w:val="0"/>
        <w:kinsoku/>
        <w:wordWrap/>
        <w:overflowPunct/>
        <w:topLinePunct w:val="0"/>
        <w:autoSpaceDE/>
        <w:autoSpaceDN/>
        <w:bidi w:val="0"/>
        <w:adjustRightInd/>
        <w:spacing w:line="600" w:lineRule="exact"/>
        <w:rPr>
          <w:rFonts w:hint="eastAsia" w:ascii="Times New Roman" w:hAnsi="Times New Roman" w:eastAsia="仿宋_GB2312" w:cs="仿宋"/>
          <w:b/>
          <w:bCs/>
          <w:color w:val="auto"/>
          <w:kern w:val="2"/>
          <w:sz w:val="32"/>
          <w:szCs w:val="32"/>
          <w:shd w:val="clear" w:color="auto" w:fill="FFFFFF"/>
          <w:lang w:val="en-US" w:eastAsia="zh-CN" w:bidi="ar-SA"/>
        </w:rPr>
      </w:pPr>
      <w:r>
        <w:rPr>
          <w:rFonts w:hint="eastAsia" w:ascii="仿宋" w:hAnsi="仿宋" w:eastAsia="仿宋" w:cs="仿宋"/>
          <w:b/>
          <w:bCs/>
          <w:color w:val="auto"/>
          <w:kern w:val="2"/>
          <w:sz w:val="32"/>
          <w:szCs w:val="32"/>
          <w:shd w:val="clear" w:color="auto" w:fill="FFFFFF"/>
          <w:lang w:val="en-US" w:eastAsia="zh-CN" w:bidi="ar-SA"/>
        </w:rPr>
        <w:t>纳入基本医保基金支付范围的医疗服务项目详见附件1（11个），医保个人先行自付比例20%，其他与治疗性辅助生殖相关的医疗服务项目及药品等个人先行自付比例按我市基本医保政策执行。</w:t>
      </w:r>
    </w:p>
    <w:p>
      <w:pPr>
        <w:pStyle w:val="2"/>
        <w:keepNext w:val="0"/>
        <w:keepLines w:val="0"/>
        <w:pageBreakBefore w:val="0"/>
        <w:widowControl w:val="0"/>
        <w:kinsoku/>
        <w:wordWrap/>
        <w:overflowPunct/>
        <w:topLinePunct w:val="0"/>
        <w:autoSpaceDE/>
        <w:autoSpaceDN/>
        <w:bidi w:val="0"/>
        <w:adjustRightInd/>
        <w:spacing w:line="600" w:lineRule="exact"/>
        <w:rPr>
          <w:rFonts w:hint="eastAsia" w:ascii="楷体" w:hAnsi="楷体" w:eastAsia="楷体" w:cs="楷体"/>
          <w:b/>
          <w:bCs/>
          <w:color w:val="auto"/>
          <w:kern w:val="2"/>
          <w:sz w:val="32"/>
          <w:szCs w:val="32"/>
          <w:shd w:val="clear" w:color="auto" w:fill="FFFFFF"/>
          <w:lang w:val="en-US" w:eastAsia="zh-CN" w:bidi="ar-SA"/>
        </w:rPr>
      </w:pPr>
      <w:r>
        <w:rPr>
          <w:rFonts w:hint="eastAsia" w:ascii="楷体" w:hAnsi="楷体" w:eastAsia="楷体" w:cs="楷体"/>
          <w:b/>
          <w:bCs/>
          <w:color w:val="auto"/>
          <w:kern w:val="2"/>
          <w:sz w:val="32"/>
          <w:szCs w:val="32"/>
          <w:shd w:val="clear" w:color="auto" w:fill="FFFFFF"/>
          <w:lang w:val="en-US" w:eastAsia="zh-CN" w:bidi="ar-SA"/>
        </w:rPr>
        <w:t>（三）支付范围</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bCs/>
          <w:color w:val="auto"/>
          <w:kern w:val="2"/>
          <w:sz w:val="32"/>
          <w:szCs w:val="32"/>
          <w:shd w:val="clear" w:color="auto" w:fill="FFFFFF"/>
          <w:lang w:val="en-US" w:eastAsia="zh-CN" w:bidi="ar-SA"/>
        </w:rPr>
      </w:pPr>
      <w:r>
        <w:rPr>
          <w:rFonts w:hint="eastAsia" w:ascii="仿宋" w:hAnsi="仿宋" w:eastAsia="仿宋" w:cs="仿宋"/>
          <w:b/>
          <w:bCs/>
          <w:color w:val="auto"/>
          <w:kern w:val="2"/>
          <w:sz w:val="32"/>
          <w:szCs w:val="32"/>
          <w:shd w:val="clear" w:color="auto" w:fill="FFFFFF"/>
          <w:lang w:val="en-US" w:eastAsia="zh-CN" w:bidi="ar-SA"/>
        </w:rPr>
        <w:t>将“不孕不育门诊辅助生殖技术治疗”纳入我市职工和居民医保基金支付范围，认定标准按附件4执行。参保人员在辅助生殖定点医疗机构发生的“取卵术”等11个附件1中规定的门诊医疗费用，可享受辅助生殖门诊医保待遇。</w:t>
      </w:r>
    </w:p>
    <w:p>
      <w:pPr>
        <w:pStyle w:val="2"/>
        <w:keepNext w:val="0"/>
        <w:keepLines w:val="0"/>
        <w:pageBreakBefore w:val="0"/>
        <w:widowControl w:val="0"/>
        <w:kinsoku/>
        <w:wordWrap/>
        <w:overflowPunct/>
        <w:topLinePunct w:val="0"/>
        <w:autoSpaceDE/>
        <w:autoSpaceDN/>
        <w:bidi w:val="0"/>
        <w:adjustRightInd/>
        <w:spacing w:line="600" w:lineRule="exact"/>
        <w:rPr>
          <w:rFonts w:hint="eastAsia" w:ascii="楷体" w:hAnsi="楷体" w:eastAsia="楷体" w:cs="楷体"/>
          <w:b/>
          <w:bCs/>
          <w:color w:val="auto"/>
          <w:kern w:val="2"/>
          <w:sz w:val="32"/>
          <w:szCs w:val="32"/>
          <w:shd w:val="clear" w:color="auto" w:fill="FFFFFF"/>
          <w:lang w:val="en-US" w:eastAsia="zh-CN" w:bidi="ar-SA"/>
        </w:rPr>
      </w:pPr>
      <w:r>
        <w:rPr>
          <w:rFonts w:hint="eastAsia" w:ascii="楷体" w:hAnsi="楷体" w:eastAsia="楷体" w:cs="楷体"/>
          <w:b/>
          <w:bCs/>
          <w:color w:val="auto"/>
          <w:kern w:val="2"/>
          <w:sz w:val="32"/>
          <w:szCs w:val="32"/>
          <w:shd w:val="clear" w:color="auto" w:fill="FFFFFF"/>
          <w:lang w:val="en-US" w:eastAsia="zh-CN" w:bidi="ar-SA"/>
        </w:rPr>
        <w:t>（四）待遇标准</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bCs/>
          <w:color w:val="auto"/>
          <w:kern w:val="2"/>
          <w:sz w:val="32"/>
          <w:szCs w:val="32"/>
          <w:shd w:val="clear" w:color="auto" w:fill="FFFFFF"/>
          <w:lang w:val="en-US" w:eastAsia="zh-CN" w:bidi="ar-SA"/>
        </w:rPr>
      </w:pPr>
      <w:r>
        <w:rPr>
          <w:rFonts w:hint="eastAsia" w:ascii="仿宋" w:hAnsi="仿宋" w:eastAsia="仿宋" w:cs="仿宋"/>
          <w:b/>
          <w:bCs/>
          <w:color w:val="auto"/>
          <w:kern w:val="2"/>
          <w:sz w:val="32"/>
          <w:szCs w:val="32"/>
          <w:shd w:val="clear" w:color="auto" w:fill="FFFFFF"/>
          <w:lang w:val="en-US" w:eastAsia="zh-CN" w:bidi="ar-SA"/>
        </w:rPr>
        <w:t>辅助生殖门诊医保待遇按照职工和居民门诊慢特病乙类病种起付标准执行，基本医疗保险基金支付比例分别为80%、60%。经基本医疗保险报销后，个人负担的合规医疗费用按照职工大额医疗费补助支付比例或居民大病保险起付标准、支付比例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bCs/>
          <w:color w:val="auto"/>
          <w:kern w:val="2"/>
          <w:sz w:val="32"/>
          <w:szCs w:val="32"/>
          <w:shd w:val="clear" w:color="auto" w:fill="FFFFFF"/>
          <w:lang w:val="en-US" w:eastAsia="zh-CN" w:bidi="ar-SA"/>
        </w:rPr>
      </w:pPr>
      <w:r>
        <w:rPr>
          <w:rFonts w:hint="eastAsia" w:ascii="仿宋" w:hAnsi="仿宋" w:eastAsia="仿宋" w:cs="仿宋"/>
          <w:b/>
          <w:bCs/>
          <w:color w:val="auto"/>
          <w:kern w:val="2"/>
          <w:sz w:val="32"/>
          <w:szCs w:val="32"/>
          <w:shd w:val="clear" w:color="auto" w:fill="FFFFFF"/>
          <w:lang w:val="en-US" w:eastAsia="zh-CN" w:bidi="ar-SA"/>
        </w:rPr>
        <w:t>参保居民在辅助生殖定点医疗机构接受“不孕不育门诊辅助生殖技术治疗”医保基金每人支付限额为20000元，一个自然年度内医保基金最高支付限额为10000元（其中居民基本医保基金最高支付限额9000元，居民大病保险基金最高支付限额1000元）；参保职工在辅助生殖定点医疗机构接受“不孕不育门诊辅助生殖技术治疗”医保基金每人限额为40000元，一个自然年度内医保基金最高支付限额为20000元（其中职工基本医保基金年度最高支付限额19000元，职工大额医疗费用补助年度最高支付限额1000元）。</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bCs/>
          <w:color w:val="auto"/>
          <w:kern w:val="2"/>
          <w:sz w:val="32"/>
          <w:szCs w:val="32"/>
          <w:shd w:val="clear" w:color="auto" w:fill="FFFFFF"/>
          <w:lang w:val="en-US" w:eastAsia="zh-CN" w:bidi="ar-SA"/>
        </w:rPr>
      </w:pPr>
      <w:r>
        <w:rPr>
          <w:rFonts w:hint="eastAsia" w:ascii="仿宋" w:hAnsi="仿宋" w:eastAsia="仿宋" w:cs="仿宋"/>
          <w:b/>
          <w:bCs/>
          <w:color w:val="auto"/>
          <w:kern w:val="2"/>
          <w:sz w:val="32"/>
          <w:szCs w:val="32"/>
          <w:shd w:val="clear" w:color="auto" w:fill="FFFFFF"/>
          <w:lang w:val="en-US" w:eastAsia="zh-CN" w:bidi="ar-SA"/>
        </w:rPr>
        <w:t>异地就医患者在辅助生殖定点医疗机构发生的“不孕不育门诊辅助生殖技术治疗”医疗费，职工医保个人先行自付比例增加10%，居民医保基金（含基本医疗保险、大病保险）支付比例降低10个百分点。</w:t>
      </w:r>
    </w:p>
    <w:p>
      <w:pPr>
        <w:keepNext w:val="0"/>
        <w:keepLines w:val="0"/>
        <w:pageBreakBefore w:val="0"/>
        <w:widowControl w:val="0"/>
        <w:kinsoku/>
        <w:wordWrap/>
        <w:overflowPunct/>
        <w:topLinePunct w:val="0"/>
        <w:autoSpaceDE/>
        <w:autoSpaceDN/>
        <w:bidi w:val="0"/>
        <w:adjustRightInd/>
        <w:spacing w:line="600" w:lineRule="exact"/>
        <w:ind w:firstLine="643" w:firstLineChars="200"/>
        <w:rPr>
          <w:rFonts w:hint="eastAsia" w:ascii="黑体" w:hAnsi="黑体" w:eastAsia="黑体" w:cs="黑体"/>
          <w:b/>
          <w:bCs/>
          <w:color w:val="auto"/>
          <w:kern w:val="2"/>
          <w:sz w:val="32"/>
          <w:szCs w:val="32"/>
          <w:shd w:val="clear" w:color="auto" w:fill="FFFFFF"/>
          <w:lang w:val="en-US" w:eastAsia="zh-CN" w:bidi="ar-SA"/>
        </w:rPr>
      </w:pPr>
      <w:r>
        <w:rPr>
          <w:rFonts w:hint="eastAsia" w:ascii="黑体" w:hAnsi="黑体" w:eastAsia="黑体" w:cs="黑体"/>
          <w:b/>
          <w:bCs/>
          <w:color w:val="auto"/>
          <w:kern w:val="2"/>
          <w:sz w:val="32"/>
          <w:szCs w:val="32"/>
          <w:shd w:val="clear" w:color="auto" w:fill="FFFFFF"/>
          <w:lang w:val="en-US" w:eastAsia="zh-CN" w:bidi="ar-SA"/>
        </w:rPr>
        <w:t>三、工作要求</w:t>
      </w:r>
    </w:p>
    <w:p>
      <w:pPr>
        <w:pStyle w:val="2"/>
        <w:keepNext w:val="0"/>
        <w:keepLines w:val="0"/>
        <w:pageBreakBefore w:val="0"/>
        <w:widowControl w:val="0"/>
        <w:kinsoku/>
        <w:wordWrap/>
        <w:overflowPunct/>
        <w:topLinePunct w:val="0"/>
        <w:autoSpaceDE/>
        <w:autoSpaceDN/>
        <w:bidi w:val="0"/>
        <w:adjustRightInd/>
        <w:spacing w:line="600" w:lineRule="exact"/>
        <w:rPr>
          <w:rFonts w:hint="eastAsia" w:ascii="仿宋" w:hAnsi="仿宋" w:eastAsia="仿宋" w:cs="仿宋"/>
          <w:b/>
          <w:bCs/>
          <w:color w:val="auto"/>
          <w:kern w:val="2"/>
          <w:sz w:val="32"/>
          <w:szCs w:val="32"/>
          <w:shd w:val="clear" w:color="auto" w:fill="FFFFFF"/>
          <w:lang w:val="en-US" w:eastAsia="zh-CN" w:bidi="ar-SA"/>
        </w:rPr>
      </w:pPr>
      <w:r>
        <w:rPr>
          <w:rFonts w:hint="eastAsia" w:ascii="仿宋" w:hAnsi="仿宋" w:eastAsia="仿宋" w:cs="仿宋"/>
          <w:b/>
          <w:bCs/>
          <w:color w:val="auto"/>
          <w:kern w:val="2"/>
          <w:sz w:val="32"/>
          <w:szCs w:val="32"/>
          <w:shd w:val="clear" w:color="auto" w:fill="FFFFFF"/>
          <w:lang w:val="en-US" w:eastAsia="zh-CN" w:bidi="ar-SA"/>
        </w:rPr>
        <w:t>（一）各县（市、区）医保局要高度重视辅助生殖类医疗服务项目价格整合调整工作，加强对政策实施的跟踪监测，密切关注本辖区医疗机构辅助生殖医疗服务价格执行情况，重大问题及时报告市医保局。</w:t>
      </w:r>
    </w:p>
    <w:p>
      <w:pPr>
        <w:pStyle w:val="2"/>
        <w:keepNext w:val="0"/>
        <w:keepLines w:val="0"/>
        <w:pageBreakBefore w:val="0"/>
        <w:widowControl w:val="0"/>
        <w:kinsoku/>
        <w:wordWrap/>
        <w:overflowPunct/>
        <w:topLinePunct w:val="0"/>
        <w:autoSpaceDE/>
        <w:autoSpaceDN/>
        <w:bidi w:val="0"/>
        <w:adjustRightInd/>
        <w:spacing w:line="600" w:lineRule="exact"/>
        <w:rPr>
          <w:rFonts w:hint="eastAsia" w:ascii="仿宋" w:hAnsi="仿宋" w:eastAsia="仿宋" w:cs="仿宋"/>
          <w:b/>
          <w:bCs/>
          <w:color w:val="auto"/>
          <w:kern w:val="2"/>
          <w:sz w:val="32"/>
          <w:szCs w:val="32"/>
          <w:shd w:val="clear" w:color="auto" w:fill="FFFFFF"/>
          <w:lang w:val="en-US" w:eastAsia="zh-CN" w:bidi="ar-SA"/>
        </w:rPr>
      </w:pPr>
      <w:r>
        <w:rPr>
          <w:rFonts w:hint="eastAsia" w:ascii="仿宋" w:hAnsi="仿宋" w:eastAsia="仿宋" w:cs="仿宋"/>
          <w:b/>
          <w:bCs/>
          <w:color w:val="auto"/>
          <w:kern w:val="2"/>
          <w:sz w:val="32"/>
          <w:szCs w:val="32"/>
          <w:shd w:val="clear" w:color="auto" w:fill="FFFFFF"/>
          <w:lang w:val="en-US" w:eastAsia="zh-CN" w:bidi="ar-SA"/>
        </w:rPr>
        <w:t>（二）医保经办机构要及时在系统内做好定点医疗机构和医疗服务项目信息维护，指导定点医疗机构做好项目对应、费用结算及医保支付工作，同时加强相关费用日常审核，做好业务指导和基金监管工作，确保医保基金安全有效使用。</w:t>
      </w:r>
    </w:p>
    <w:p>
      <w:pPr>
        <w:pStyle w:val="2"/>
        <w:keepNext w:val="0"/>
        <w:keepLines w:val="0"/>
        <w:pageBreakBefore w:val="0"/>
        <w:widowControl w:val="0"/>
        <w:kinsoku/>
        <w:wordWrap/>
        <w:overflowPunct/>
        <w:topLinePunct w:val="0"/>
        <w:autoSpaceDE/>
        <w:autoSpaceDN/>
        <w:bidi w:val="0"/>
        <w:adjustRightInd/>
        <w:spacing w:line="600" w:lineRule="exact"/>
        <w:rPr>
          <w:rFonts w:hint="eastAsia" w:ascii="仿宋" w:hAnsi="仿宋" w:eastAsia="仿宋" w:cs="仿宋"/>
          <w:b/>
          <w:bCs/>
          <w:color w:val="auto"/>
          <w:kern w:val="2"/>
          <w:sz w:val="32"/>
          <w:szCs w:val="32"/>
          <w:shd w:val="clear" w:color="auto" w:fill="FFFFFF"/>
          <w:lang w:val="en-US" w:eastAsia="zh-CN" w:bidi="ar-SA"/>
        </w:rPr>
      </w:pPr>
      <w:r>
        <w:rPr>
          <w:rFonts w:hint="eastAsia" w:ascii="仿宋" w:hAnsi="仿宋" w:eastAsia="仿宋" w:cs="仿宋"/>
          <w:b/>
          <w:bCs/>
          <w:color w:val="auto"/>
          <w:kern w:val="2"/>
          <w:sz w:val="32"/>
          <w:szCs w:val="32"/>
          <w:shd w:val="clear" w:color="auto" w:fill="FFFFFF"/>
          <w:lang w:val="en-US" w:eastAsia="zh-CN" w:bidi="ar-SA"/>
        </w:rPr>
        <w:t>（三）定点医疗机构应在收费场所显著位置做好价格公示，</w:t>
      </w:r>
    </w:p>
    <w:p>
      <w:pPr>
        <w:pStyle w:val="2"/>
        <w:keepNext w:val="0"/>
        <w:keepLines w:val="0"/>
        <w:pageBreakBefore w:val="0"/>
        <w:widowControl w:val="0"/>
        <w:kinsoku/>
        <w:wordWrap/>
        <w:overflowPunct/>
        <w:topLinePunct w:val="0"/>
        <w:autoSpaceDE/>
        <w:autoSpaceDN/>
        <w:bidi w:val="0"/>
        <w:adjustRightInd/>
        <w:spacing w:line="600" w:lineRule="exact"/>
        <w:ind w:left="0" w:leftChars="0" w:firstLine="0" w:firstLineChars="0"/>
        <w:rPr>
          <w:rFonts w:hint="eastAsia" w:ascii="仿宋" w:hAnsi="仿宋" w:eastAsia="仿宋" w:cs="仿宋"/>
          <w:b/>
          <w:bCs/>
          <w:color w:val="auto"/>
          <w:kern w:val="2"/>
          <w:sz w:val="32"/>
          <w:szCs w:val="32"/>
          <w:shd w:val="clear" w:color="auto" w:fill="FFFFFF"/>
          <w:lang w:val="en-US" w:eastAsia="zh-CN" w:bidi="ar-SA"/>
        </w:rPr>
      </w:pPr>
      <w:r>
        <w:rPr>
          <w:rFonts w:hint="eastAsia" w:ascii="仿宋" w:hAnsi="仿宋" w:eastAsia="仿宋" w:cs="仿宋"/>
          <w:b/>
          <w:bCs/>
          <w:color w:val="auto"/>
          <w:kern w:val="2"/>
          <w:sz w:val="32"/>
          <w:szCs w:val="32"/>
          <w:shd w:val="clear" w:color="auto" w:fill="FFFFFF"/>
          <w:lang w:val="en-US" w:eastAsia="zh-CN" w:bidi="ar-SA"/>
        </w:rPr>
        <w:t>接受社会监督。国家和省有新规定时，按新规定执行。</w:t>
      </w:r>
    </w:p>
    <w:p>
      <w:pPr>
        <w:pStyle w:val="2"/>
        <w:keepNext w:val="0"/>
        <w:keepLines w:val="0"/>
        <w:pageBreakBefore w:val="0"/>
        <w:widowControl w:val="0"/>
        <w:kinsoku/>
        <w:wordWrap/>
        <w:overflowPunct/>
        <w:topLinePunct w:val="0"/>
        <w:autoSpaceDE/>
        <w:autoSpaceDN/>
        <w:bidi w:val="0"/>
        <w:adjustRightInd/>
        <w:spacing w:line="600" w:lineRule="exact"/>
        <w:rPr>
          <w:rFonts w:hint="eastAsia" w:ascii="仿宋" w:hAnsi="仿宋" w:eastAsia="仿宋" w:cs="仿宋"/>
          <w:b/>
          <w:bCs/>
          <w:color w:val="auto"/>
          <w:kern w:val="2"/>
          <w:sz w:val="32"/>
          <w:szCs w:val="32"/>
          <w:shd w:val="clear" w:color="auto" w:fill="FFFFFF"/>
          <w:lang w:val="en-US" w:eastAsia="zh-CN" w:bidi="ar-SA"/>
        </w:rPr>
      </w:pPr>
      <w:r>
        <w:rPr>
          <w:rFonts w:hint="eastAsia" w:ascii="仿宋" w:hAnsi="仿宋" w:eastAsia="仿宋" w:cs="仿宋"/>
          <w:b/>
          <w:bCs/>
          <w:color w:val="auto"/>
          <w:kern w:val="2"/>
          <w:sz w:val="32"/>
          <w:szCs w:val="32"/>
          <w:shd w:val="clear" w:color="auto" w:fill="FFFFFF"/>
          <w:lang w:val="en-US" w:eastAsia="zh-CN" w:bidi="ar-SA"/>
        </w:rPr>
        <w:t>本通知自2024年4月1日起施行。</w:t>
      </w:r>
    </w:p>
    <w:p>
      <w:pPr>
        <w:pStyle w:val="2"/>
        <w:keepNext w:val="0"/>
        <w:keepLines w:val="0"/>
        <w:pageBreakBefore w:val="0"/>
        <w:widowControl w:val="0"/>
        <w:kinsoku/>
        <w:wordWrap/>
        <w:overflowPunct/>
        <w:topLinePunct w:val="0"/>
        <w:autoSpaceDE/>
        <w:autoSpaceDN/>
        <w:bidi w:val="0"/>
        <w:adjustRightInd/>
        <w:spacing w:line="600" w:lineRule="exact"/>
        <w:rPr>
          <w:rFonts w:hint="eastAsia" w:ascii="Times New Roman" w:hAnsi="Times New Roman" w:eastAsia="仿宋_GB2312" w:cs="仿宋"/>
          <w:b/>
          <w:bCs/>
          <w:color w:val="auto"/>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pacing w:line="600" w:lineRule="exact"/>
        <w:ind w:firstLine="643" w:firstLineChars="200"/>
        <w:rPr>
          <w:rFonts w:hint="eastAsia" w:ascii="仿宋" w:hAnsi="仿宋" w:eastAsia="仿宋" w:cs="仿宋"/>
          <w:b/>
          <w:bCs/>
          <w:color w:val="auto"/>
          <w:kern w:val="2"/>
          <w:sz w:val="32"/>
          <w:szCs w:val="32"/>
          <w:shd w:val="clear" w:color="auto" w:fill="FFFFFF"/>
          <w:lang w:val="en-US" w:eastAsia="zh-CN" w:bidi="ar-SA"/>
        </w:rPr>
      </w:pPr>
      <w:bookmarkStart w:id="0" w:name="_GoBack"/>
      <w:r>
        <w:rPr>
          <w:rFonts w:hint="eastAsia" w:ascii="仿宋" w:hAnsi="仿宋" w:eastAsia="仿宋" w:cs="仿宋"/>
          <w:b/>
          <w:bCs/>
          <w:color w:val="auto"/>
          <w:kern w:val="2"/>
          <w:sz w:val="32"/>
          <w:szCs w:val="32"/>
          <w:shd w:val="clear" w:color="auto" w:fill="FFFFFF"/>
          <w:lang w:val="en-US" w:eastAsia="zh-CN" w:bidi="ar-SA"/>
        </w:rPr>
        <w:t>附件：1.济宁市公立医疗机构部分医疗服务项目价格</w:t>
      </w:r>
    </w:p>
    <w:p>
      <w:pPr>
        <w:keepNext w:val="0"/>
        <w:keepLines w:val="0"/>
        <w:pageBreakBefore w:val="0"/>
        <w:widowControl w:val="0"/>
        <w:kinsoku/>
        <w:wordWrap/>
        <w:overflowPunct/>
        <w:topLinePunct w:val="0"/>
        <w:autoSpaceDE/>
        <w:autoSpaceDN/>
        <w:bidi w:val="0"/>
        <w:adjustRightInd/>
        <w:spacing w:line="600" w:lineRule="exact"/>
        <w:ind w:firstLine="1606" w:firstLineChars="500"/>
        <w:rPr>
          <w:rFonts w:hint="eastAsia" w:ascii="仿宋" w:hAnsi="仿宋" w:eastAsia="仿宋" w:cs="仿宋"/>
          <w:b/>
          <w:bCs/>
          <w:color w:val="auto"/>
          <w:kern w:val="2"/>
          <w:sz w:val="32"/>
          <w:szCs w:val="32"/>
          <w:shd w:val="clear" w:color="auto" w:fill="FFFFFF"/>
          <w:lang w:val="en-US" w:eastAsia="zh-CN" w:bidi="ar-SA"/>
        </w:rPr>
      </w:pPr>
      <w:r>
        <w:rPr>
          <w:rFonts w:hint="eastAsia" w:ascii="仿宋" w:hAnsi="仿宋" w:eastAsia="仿宋" w:cs="仿宋"/>
          <w:b/>
          <w:bCs/>
          <w:color w:val="auto"/>
          <w:kern w:val="2"/>
          <w:sz w:val="32"/>
          <w:szCs w:val="32"/>
          <w:shd w:val="clear" w:color="auto" w:fill="FFFFFF"/>
          <w:lang w:val="en-US" w:eastAsia="zh-CN" w:bidi="ar-SA"/>
        </w:rPr>
        <w:t>2.济宁市公立医疗机构部分医疗服务项目价格修订表</w:t>
      </w:r>
    </w:p>
    <w:p>
      <w:pPr>
        <w:keepNext w:val="0"/>
        <w:keepLines w:val="0"/>
        <w:pageBreakBefore w:val="0"/>
        <w:widowControl w:val="0"/>
        <w:kinsoku/>
        <w:wordWrap/>
        <w:overflowPunct/>
        <w:topLinePunct w:val="0"/>
        <w:autoSpaceDE/>
        <w:autoSpaceDN/>
        <w:bidi w:val="0"/>
        <w:adjustRightInd/>
        <w:spacing w:line="600" w:lineRule="exact"/>
        <w:ind w:firstLine="1606" w:firstLineChars="500"/>
        <w:rPr>
          <w:rFonts w:hint="eastAsia" w:ascii="仿宋" w:hAnsi="仿宋" w:eastAsia="仿宋" w:cs="仿宋"/>
          <w:b/>
          <w:bCs/>
          <w:color w:val="auto"/>
          <w:kern w:val="2"/>
          <w:sz w:val="32"/>
          <w:szCs w:val="32"/>
          <w:shd w:val="clear" w:color="auto" w:fill="FFFFFF"/>
          <w:lang w:val="en-US" w:eastAsia="zh-CN" w:bidi="ar-SA"/>
        </w:rPr>
      </w:pPr>
      <w:r>
        <w:rPr>
          <w:rFonts w:hint="eastAsia" w:ascii="仿宋" w:hAnsi="仿宋" w:eastAsia="仿宋" w:cs="仿宋"/>
          <w:b/>
          <w:bCs/>
          <w:color w:val="auto"/>
          <w:kern w:val="2"/>
          <w:sz w:val="32"/>
          <w:szCs w:val="32"/>
          <w:shd w:val="clear" w:color="auto" w:fill="FFFFFF"/>
          <w:lang w:val="en-US" w:eastAsia="zh-CN" w:bidi="ar-SA"/>
        </w:rPr>
        <w:t>3.济宁市停用部分医疗服务价格项目</w:t>
      </w:r>
    </w:p>
    <w:p>
      <w:pPr>
        <w:keepNext w:val="0"/>
        <w:keepLines w:val="0"/>
        <w:pageBreakBefore w:val="0"/>
        <w:widowControl w:val="0"/>
        <w:kinsoku/>
        <w:wordWrap/>
        <w:overflowPunct/>
        <w:topLinePunct w:val="0"/>
        <w:autoSpaceDE/>
        <w:autoSpaceDN/>
        <w:bidi w:val="0"/>
        <w:adjustRightInd/>
        <w:spacing w:line="600" w:lineRule="exact"/>
        <w:ind w:firstLine="1606" w:firstLineChars="500"/>
        <w:rPr>
          <w:rFonts w:hint="eastAsia" w:ascii="仿宋" w:hAnsi="仿宋" w:eastAsia="仿宋" w:cs="仿宋"/>
          <w:b/>
          <w:bCs/>
          <w:color w:val="auto"/>
          <w:kern w:val="2"/>
          <w:sz w:val="32"/>
          <w:szCs w:val="32"/>
          <w:shd w:val="clear" w:color="auto" w:fill="FFFFFF"/>
          <w:lang w:val="en-US" w:eastAsia="zh-CN" w:bidi="ar-SA"/>
        </w:rPr>
      </w:pPr>
      <w:r>
        <w:rPr>
          <w:rFonts w:hint="eastAsia" w:ascii="仿宋" w:hAnsi="仿宋" w:eastAsia="仿宋" w:cs="仿宋"/>
          <w:b/>
          <w:bCs/>
          <w:color w:val="auto"/>
          <w:kern w:val="2"/>
          <w:sz w:val="32"/>
          <w:szCs w:val="32"/>
          <w:shd w:val="clear" w:color="auto" w:fill="FFFFFF"/>
          <w:lang w:val="en-US" w:eastAsia="zh-CN" w:bidi="ar-SA"/>
        </w:rPr>
        <w:t>4.不孕不育门诊部分技术治疗认定标准</w:t>
      </w:r>
    </w:p>
    <w:p>
      <w:pPr>
        <w:pStyle w:val="2"/>
        <w:keepNext w:val="0"/>
        <w:keepLines w:val="0"/>
        <w:pageBreakBefore w:val="0"/>
        <w:widowControl w:val="0"/>
        <w:kinsoku/>
        <w:wordWrap/>
        <w:overflowPunct/>
        <w:topLinePunct w:val="0"/>
        <w:autoSpaceDE/>
        <w:autoSpaceDN/>
        <w:bidi w:val="0"/>
        <w:adjustRightInd/>
        <w:spacing w:line="600" w:lineRule="exact"/>
        <w:rPr>
          <w:rFonts w:hint="eastAsia" w:ascii="仿宋" w:hAnsi="仿宋" w:eastAsia="仿宋" w:cs="仿宋"/>
          <w:b/>
          <w:bCs/>
          <w:color w:val="auto"/>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spacing w:line="600" w:lineRule="exact"/>
        <w:rPr>
          <w:rFonts w:hint="eastAsia" w:ascii="仿宋" w:hAnsi="仿宋" w:eastAsia="仿宋" w:cs="仿宋"/>
          <w:b/>
          <w:bCs/>
          <w:color w:val="auto"/>
          <w:kern w:val="2"/>
          <w:sz w:val="32"/>
          <w:szCs w:val="32"/>
          <w:shd w:val="clear" w:color="auto" w:fill="FFFFFF"/>
          <w:lang w:val="en-US" w:eastAsia="zh-CN" w:bidi="ar-SA"/>
        </w:rPr>
      </w:pPr>
    </w:p>
    <w:p>
      <w:pPr>
        <w:pStyle w:val="2"/>
        <w:keepNext w:val="0"/>
        <w:keepLines w:val="0"/>
        <w:pageBreakBefore w:val="0"/>
        <w:widowControl w:val="0"/>
        <w:kinsoku/>
        <w:wordWrap w:val="0"/>
        <w:overflowPunct/>
        <w:topLinePunct w:val="0"/>
        <w:autoSpaceDE/>
        <w:autoSpaceDN/>
        <w:bidi w:val="0"/>
        <w:spacing w:line="600" w:lineRule="exact"/>
        <w:jc w:val="right"/>
        <w:rPr>
          <w:rFonts w:hint="eastAsia" w:ascii="仿宋" w:hAnsi="仿宋" w:eastAsia="仿宋" w:cs="仿宋"/>
          <w:b/>
          <w:bCs/>
          <w:color w:val="auto"/>
          <w:kern w:val="2"/>
          <w:sz w:val="32"/>
          <w:szCs w:val="32"/>
          <w:shd w:val="clear" w:color="auto" w:fill="FFFFFF"/>
          <w:lang w:val="en-US" w:eastAsia="zh-CN" w:bidi="ar-SA"/>
        </w:rPr>
      </w:pPr>
      <w:r>
        <w:rPr>
          <w:rFonts w:hint="eastAsia" w:ascii="仿宋" w:hAnsi="仿宋" w:eastAsia="仿宋" w:cs="仿宋"/>
          <w:b/>
          <w:bCs/>
          <w:color w:val="auto"/>
          <w:kern w:val="2"/>
          <w:sz w:val="32"/>
          <w:szCs w:val="32"/>
          <w:shd w:val="clear" w:color="auto" w:fill="FFFFFF"/>
          <w:lang w:val="en-US" w:eastAsia="zh-CN" w:bidi="ar-SA"/>
        </w:rPr>
        <w:t xml:space="preserve">济宁市医疗保障局    </w:t>
      </w:r>
    </w:p>
    <w:p>
      <w:pPr>
        <w:keepNext w:val="0"/>
        <w:keepLines w:val="0"/>
        <w:pageBreakBefore w:val="0"/>
        <w:widowControl w:val="0"/>
        <w:kinsoku/>
        <w:wordWrap w:val="0"/>
        <w:overflowPunct/>
        <w:topLinePunct w:val="0"/>
        <w:autoSpaceDE/>
        <w:autoSpaceDN/>
        <w:bidi w:val="0"/>
        <w:spacing w:line="600" w:lineRule="exact"/>
        <w:jc w:val="right"/>
        <w:rPr>
          <w:rFonts w:hint="eastAsia" w:ascii="仿宋" w:hAnsi="仿宋" w:eastAsia="仿宋" w:cs="仿宋"/>
          <w:b/>
          <w:bCs/>
          <w:color w:val="auto"/>
          <w:kern w:val="2"/>
          <w:sz w:val="32"/>
          <w:szCs w:val="32"/>
          <w:shd w:val="clear" w:color="auto" w:fill="FFFFFF"/>
          <w:lang w:val="en-US" w:eastAsia="zh-CN" w:bidi="ar-SA"/>
        </w:rPr>
      </w:pPr>
      <w:r>
        <w:rPr>
          <w:rFonts w:hint="eastAsia" w:ascii="仿宋" w:hAnsi="仿宋" w:eastAsia="仿宋" w:cs="仿宋"/>
          <w:b/>
          <w:bCs/>
          <w:color w:val="auto"/>
          <w:kern w:val="2"/>
          <w:sz w:val="32"/>
          <w:szCs w:val="32"/>
          <w:shd w:val="clear" w:color="auto" w:fill="FFFFFF"/>
          <w:lang w:val="en-US" w:eastAsia="zh-CN" w:bidi="ar-SA"/>
        </w:rPr>
        <w:t xml:space="preserve">2024年3月29日    </w:t>
      </w:r>
    </w:p>
    <w:p>
      <w:pPr>
        <w:pStyle w:val="2"/>
        <w:keepNext w:val="0"/>
        <w:keepLines w:val="0"/>
        <w:pageBreakBefore w:val="0"/>
        <w:widowControl w:val="0"/>
        <w:kinsoku/>
        <w:wordWrap/>
        <w:overflowPunct/>
        <w:topLinePunct w:val="0"/>
        <w:autoSpaceDE/>
        <w:autoSpaceDN/>
        <w:bidi w:val="0"/>
        <w:spacing w:line="600" w:lineRule="exact"/>
        <w:rPr>
          <w:rFonts w:hint="eastAsia" w:ascii="仿宋" w:hAnsi="仿宋" w:eastAsia="仿宋" w:cs="仿宋"/>
          <w:b/>
          <w:bCs/>
          <w:color w:val="auto"/>
          <w:kern w:val="2"/>
          <w:sz w:val="32"/>
          <w:szCs w:val="32"/>
          <w:shd w:val="clear" w:color="auto" w:fill="FFFFFF"/>
          <w:lang w:val="en-US" w:eastAsia="zh-CN" w:bidi="ar-SA"/>
        </w:rPr>
      </w:pPr>
      <w:r>
        <w:rPr>
          <w:rFonts w:hint="eastAsia" w:ascii="仿宋" w:hAnsi="仿宋" w:eastAsia="仿宋" w:cs="仿宋"/>
          <w:b/>
          <w:bCs/>
          <w:color w:val="auto"/>
          <w:kern w:val="2"/>
          <w:sz w:val="32"/>
          <w:szCs w:val="32"/>
          <w:shd w:val="clear" w:color="auto" w:fill="FFFFFF"/>
          <w:lang w:val="en-US" w:eastAsia="zh-CN" w:bidi="ar-SA"/>
        </w:rPr>
        <w:t>（此件主动公开）</w:t>
      </w:r>
    </w:p>
    <w:p>
      <w:pPr>
        <w:keepNext w:val="0"/>
        <w:keepLines w:val="0"/>
        <w:pageBreakBefore w:val="0"/>
        <w:widowControl w:val="0"/>
        <w:kinsoku/>
        <w:overflowPunct/>
        <w:topLinePunct w:val="0"/>
        <w:autoSpaceDE/>
        <w:autoSpaceDN/>
        <w:bidi w:val="0"/>
        <w:spacing w:line="600" w:lineRule="exact"/>
        <w:rPr>
          <w:rFonts w:hint="eastAsia" w:ascii="仿宋" w:hAnsi="仿宋" w:eastAsia="仿宋" w:cs="仿宋"/>
          <w:b/>
          <w:bCs/>
          <w:color w:val="auto"/>
          <w:kern w:val="2"/>
          <w:sz w:val="32"/>
          <w:szCs w:val="32"/>
          <w:shd w:val="clear" w:color="auto" w:fill="FFFFFF"/>
          <w:lang w:val="en-US" w:eastAsia="zh-CN" w:bidi="ar-SA"/>
        </w:rPr>
      </w:pPr>
    </w:p>
    <w:bookmarkEnd w:id="0"/>
    <w:p>
      <w:pPr>
        <w:pStyle w:val="2"/>
        <w:rPr>
          <w:rFonts w:hint="default" w:ascii="Times New Roman" w:hAnsi="Times New Roman" w:eastAsia="仿宋_GB2312" w:cs="仿宋"/>
          <w:b/>
          <w:bCs/>
          <w:color w:val="auto"/>
          <w:kern w:val="2"/>
          <w:sz w:val="32"/>
          <w:szCs w:val="32"/>
          <w:shd w:val="clear" w:color="auto" w:fill="FFFFFF"/>
          <w:lang w:val="en-US" w:eastAsia="zh-CN" w:bidi="ar-SA"/>
        </w:rPr>
      </w:pPr>
    </w:p>
    <w:p>
      <w:pPr>
        <w:rPr>
          <w:rFonts w:hint="default" w:ascii="Times New Roman" w:hAnsi="Times New Roman" w:eastAsia="仿宋_GB2312" w:cs="仿宋"/>
          <w:b/>
          <w:bCs/>
          <w:color w:val="auto"/>
          <w:kern w:val="2"/>
          <w:sz w:val="32"/>
          <w:szCs w:val="32"/>
          <w:shd w:val="clear" w:color="auto" w:fill="FFFFFF"/>
          <w:lang w:val="en-US" w:eastAsia="zh-CN" w:bidi="ar-SA"/>
        </w:rPr>
      </w:pPr>
    </w:p>
    <w:p>
      <w:pPr>
        <w:pStyle w:val="2"/>
        <w:rPr>
          <w:rFonts w:hint="default" w:ascii="Times New Roman" w:hAnsi="Times New Roman" w:eastAsia="仿宋_GB2312" w:cs="仿宋"/>
          <w:b/>
          <w:bCs/>
          <w:color w:val="auto"/>
          <w:kern w:val="2"/>
          <w:sz w:val="32"/>
          <w:szCs w:val="32"/>
          <w:shd w:val="clear" w:color="auto" w:fill="FFFFFF"/>
          <w:lang w:val="en-US" w:eastAsia="zh-CN" w:bidi="ar-SA"/>
        </w:rPr>
      </w:pPr>
    </w:p>
    <w:p>
      <w:pPr>
        <w:rPr>
          <w:rFonts w:hint="default" w:ascii="Times New Roman" w:hAnsi="Times New Roman" w:eastAsia="仿宋_GB2312" w:cs="仿宋"/>
          <w:b/>
          <w:bCs/>
          <w:color w:val="auto"/>
          <w:kern w:val="2"/>
          <w:sz w:val="32"/>
          <w:szCs w:val="32"/>
          <w:shd w:val="clear" w:color="auto" w:fill="FFFFFF"/>
          <w:lang w:val="en-US" w:eastAsia="zh-CN" w:bidi="ar-SA"/>
        </w:rPr>
      </w:pPr>
    </w:p>
    <w:p>
      <w:pPr>
        <w:pStyle w:val="2"/>
        <w:rPr>
          <w:rFonts w:hint="default" w:ascii="Times New Roman" w:hAnsi="Times New Roman" w:eastAsia="仿宋_GB2312" w:cs="仿宋"/>
          <w:b/>
          <w:bCs/>
          <w:color w:val="auto"/>
          <w:kern w:val="2"/>
          <w:sz w:val="32"/>
          <w:szCs w:val="32"/>
          <w:shd w:val="clear" w:color="auto" w:fill="FFFFFF"/>
          <w:lang w:val="en-US" w:eastAsia="zh-CN" w:bidi="ar-SA"/>
        </w:rPr>
      </w:pPr>
    </w:p>
    <w:p>
      <w:pPr>
        <w:rPr>
          <w:rFonts w:hint="default" w:ascii="Times New Roman" w:hAnsi="Times New Roman" w:eastAsia="仿宋_GB2312" w:cs="仿宋"/>
          <w:b/>
          <w:bCs/>
          <w:color w:val="auto"/>
          <w:kern w:val="2"/>
          <w:sz w:val="32"/>
          <w:szCs w:val="32"/>
          <w:shd w:val="clear" w:color="auto" w:fill="FFFFFF"/>
          <w:lang w:val="en-US" w:eastAsia="zh-CN" w:bidi="ar-SA"/>
        </w:rPr>
      </w:pPr>
    </w:p>
    <w:p>
      <w:pPr>
        <w:pStyle w:val="2"/>
        <w:rPr>
          <w:rFonts w:hint="default" w:ascii="Times New Roman" w:hAnsi="Times New Roman" w:eastAsia="仿宋_GB2312" w:cs="仿宋"/>
          <w:b/>
          <w:bCs/>
          <w:color w:val="auto"/>
          <w:kern w:val="2"/>
          <w:sz w:val="32"/>
          <w:szCs w:val="32"/>
          <w:shd w:val="clear" w:color="auto" w:fill="FFFFFF"/>
          <w:lang w:val="en-US" w:eastAsia="zh-CN" w:bidi="ar-SA"/>
        </w:rPr>
      </w:pPr>
    </w:p>
    <w:p>
      <w:pPr>
        <w:rPr>
          <w:rFonts w:hint="default" w:ascii="Times New Roman" w:hAnsi="Times New Roman" w:eastAsia="仿宋_GB2312" w:cs="仿宋"/>
          <w:b/>
          <w:bCs/>
          <w:color w:val="auto"/>
          <w:kern w:val="2"/>
          <w:sz w:val="32"/>
          <w:szCs w:val="32"/>
          <w:shd w:val="clear" w:color="auto" w:fill="FFFFFF"/>
          <w:lang w:val="en-US" w:eastAsia="zh-CN" w:bidi="ar-SA"/>
        </w:rPr>
      </w:pPr>
    </w:p>
    <w:p>
      <w:pPr>
        <w:pStyle w:val="2"/>
        <w:rPr>
          <w:rFonts w:hint="default" w:ascii="Times New Roman" w:hAnsi="Times New Roman" w:eastAsia="仿宋_GB2312" w:cs="仿宋"/>
          <w:b/>
          <w:bCs/>
          <w:color w:val="auto"/>
          <w:kern w:val="2"/>
          <w:sz w:val="32"/>
          <w:szCs w:val="32"/>
          <w:shd w:val="clear" w:color="auto" w:fill="FFFFFF"/>
          <w:lang w:val="en-US" w:eastAsia="zh-CN" w:bidi="ar-SA"/>
        </w:rPr>
      </w:pPr>
    </w:p>
    <w:p>
      <w:pPr>
        <w:rPr>
          <w:rFonts w:hint="default" w:ascii="Times New Roman" w:hAnsi="Times New Roman" w:eastAsia="仿宋_GB2312" w:cs="仿宋"/>
          <w:b/>
          <w:bCs/>
          <w:color w:val="auto"/>
          <w:kern w:val="2"/>
          <w:sz w:val="32"/>
          <w:szCs w:val="32"/>
          <w:shd w:val="clear" w:color="auto" w:fill="FFFFFF"/>
          <w:lang w:val="en-US" w:eastAsia="zh-CN" w:bidi="ar-SA"/>
        </w:rPr>
      </w:pPr>
    </w:p>
    <w:p>
      <w:pPr>
        <w:pStyle w:val="2"/>
        <w:rPr>
          <w:rFonts w:hint="default" w:ascii="Times New Roman" w:hAnsi="Times New Roman" w:eastAsia="仿宋_GB2312" w:cs="仿宋"/>
          <w:b/>
          <w:bCs/>
          <w:color w:val="auto"/>
          <w:kern w:val="2"/>
          <w:sz w:val="32"/>
          <w:szCs w:val="32"/>
          <w:shd w:val="clear" w:color="auto" w:fill="FFFFFF"/>
          <w:lang w:val="en-US" w:eastAsia="zh-CN" w:bidi="ar-SA"/>
        </w:rPr>
      </w:pPr>
    </w:p>
    <w:p>
      <w:pPr>
        <w:rPr>
          <w:rFonts w:hint="default" w:ascii="Times New Roman" w:hAnsi="Times New Roman" w:eastAsia="仿宋_GB2312" w:cs="仿宋"/>
          <w:b/>
          <w:bCs/>
          <w:color w:val="auto"/>
          <w:kern w:val="2"/>
          <w:sz w:val="32"/>
          <w:szCs w:val="32"/>
          <w:shd w:val="clear" w:color="auto" w:fill="FFFFFF"/>
          <w:lang w:val="en-US" w:eastAsia="zh-CN" w:bidi="ar-SA"/>
        </w:rPr>
      </w:pPr>
    </w:p>
    <w:p>
      <w:pPr>
        <w:rPr>
          <w:rFonts w:hint="default"/>
          <w:lang w:val="en-US" w:eastAsia="zh-CN"/>
        </w:rPr>
        <w:sectPr>
          <w:footerReference r:id="rId3" w:type="default"/>
          <w:pgSz w:w="12410" w:h="17180"/>
          <w:pgMar w:top="1460" w:right="1608" w:bottom="1697" w:left="1746" w:header="0" w:footer="1390" w:gutter="0"/>
          <w:pgNumType w:fmt="decimal" w:chapStyle="1"/>
          <w:cols w:space="720" w:num="1"/>
        </w:sectPr>
      </w:pPr>
    </w:p>
    <w:p>
      <w:pPr>
        <w:rPr>
          <w:rFonts w:ascii="黑体" w:hAnsi="黑体" w:eastAsia="黑体" w:cs="黑体"/>
          <w:sz w:val="32"/>
          <w:szCs w:val="32"/>
        </w:rPr>
      </w:pPr>
      <w:r>
        <w:rPr>
          <w:rFonts w:hint="eastAsia" w:ascii="黑体" w:hAnsi="黑体" w:eastAsia="黑体" w:cs="黑体"/>
          <w:sz w:val="32"/>
          <w:szCs w:val="32"/>
        </w:rPr>
        <w:t>附件1</w:t>
      </w:r>
    </w:p>
    <w:p>
      <w:pPr>
        <w:spacing w:before="158" w:beforeLines="50" w:after="158" w:afterLines="50" w:line="640" w:lineRule="exact"/>
        <w:jc w:val="center"/>
        <w:rPr>
          <w:rFonts w:hint="eastAsia" w:ascii="仿宋_GB2312" w:hAnsi="仿宋_GB2312" w:eastAsia="仿宋_GB2312" w:cs="仿宋_GB2312"/>
          <w:sz w:val="24"/>
          <w:szCs w:val="24"/>
        </w:rPr>
      </w:pPr>
      <w:r>
        <w:rPr>
          <w:rFonts w:hint="eastAsia" w:eastAsia="方正小标宋简体"/>
          <w:bCs/>
          <w:sz w:val="44"/>
          <w:szCs w:val="44"/>
          <w:lang w:eastAsia="zh-CN"/>
        </w:rPr>
        <w:t>济宁市</w:t>
      </w:r>
      <w:r>
        <w:rPr>
          <w:rFonts w:eastAsia="方正小标宋简体"/>
          <w:bCs/>
          <w:sz w:val="44"/>
          <w:szCs w:val="44"/>
        </w:rPr>
        <w:t>公立医疗机构部分医疗服务项目价格</w:t>
      </w:r>
    </w:p>
    <w:tbl>
      <w:tblPr>
        <w:tblStyle w:val="6"/>
        <w:tblW w:w="4997" w:type="pct"/>
        <w:tblInd w:w="0" w:type="dxa"/>
        <w:tblLayout w:type="autofit"/>
        <w:tblCellMar>
          <w:top w:w="17" w:type="dxa"/>
          <w:left w:w="57" w:type="dxa"/>
          <w:bottom w:w="17" w:type="dxa"/>
          <w:right w:w="57" w:type="dxa"/>
        </w:tblCellMar>
      </w:tblPr>
      <w:tblGrid>
        <w:gridCol w:w="631"/>
        <w:gridCol w:w="1301"/>
        <w:gridCol w:w="1319"/>
        <w:gridCol w:w="2966"/>
        <w:gridCol w:w="1598"/>
        <w:gridCol w:w="835"/>
        <w:gridCol w:w="906"/>
        <w:gridCol w:w="2343"/>
        <w:gridCol w:w="1394"/>
        <w:gridCol w:w="913"/>
      </w:tblGrid>
      <w:tr>
        <w:tblPrEx>
          <w:tblCellMar>
            <w:top w:w="17" w:type="dxa"/>
            <w:left w:w="57" w:type="dxa"/>
            <w:bottom w:w="17" w:type="dxa"/>
            <w:right w:w="57" w:type="dxa"/>
          </w:tblCellMar>
        </w:tblPrEx>
        <w:trPr>
          <w:trHeight w:val="608" w:hRule="atLeast"/>
          <w:tblHeader/>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b/>
                <w:bCs/>
                <w:color w:val="000000" w:themeColor="text1"/>
                <w:sz w:val="28"/>
                <w:szCs w:val="28"/>
                <w14:textFill>
                  <w14:solidFill>
                    <w14:schemeClr w14:val="tx1"/>
                  </w14:solidFill>
                </w14:textFill>
              </w:rPr>
            </w:pPr>
            <w:r>
              <w:rPr>
                <w:color w:val="000000" w:themeColor="text1"/>
                <w14:textFill>
                  <w14:solidFill>
                    <w14:schemeClr w14:val="tx1"/>
                  </w14:solidFill>
                </w14:textFill>
              </w:rPr>
              <w:br w:type="page"/>
            </w:r>
            <w:r>
              <w:rPr>
                <w:rFonts w:eastAsia="仿宋_GB2312"/>
                <w:b/>
                <w:bCs/>
                <w:color w:val="000000" w:themeColor="text1"/>
                <w:sz w:val="28"/>
                <w:szCs w:val="28"/>
                <w14:textFill>
                  <w14:solidFill>
                    <w14:schemeClr w14:val="tx1"/>
                  </w14:solidFill>
                </w14:textFill>
              </w:rPr>
              <w:t>序号</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b/>
                <w:bCs/>
                <w:color w:val="000000" w:themeColor="text1"/>
                <w:sz w:val="28"/>
                <w:szCs w:val="28"/>
                <w14:textFill>
                  <w14:solidFill>
                    <w14:schemeClr w14:val="tx1"/>
                  </w14:solidFill>
                </w14:textFill>
              </w:rPr>
            </w:pPr>
            <w:r>
              <w:rPr>
                <w:rFonts w:eastAsia="仿宋_GB2312"/>
                <w:b/>
                <w:bCs/>
                <w:color w:val="000000" w:themeColor="text1"/>
                <w:sz w:val="28"/>
                <w:szCs w:val="28"/>
                <w14:textFill>
                  <w14:solidFill>
                    <w14:schemeClr w14:val="tx1"/>
                  </w14:solidFill>
                </w14:textFill>
              </w:rPr>
              <w:t>项目编码</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b/>
                <w:bCs/>
                <w:color w:val="000000" w:themeColor="text1"/>
                <w:sz w:val="28"/>
                <w:szCs w:val="28"/>
                <w14:textFill>
                  <w14:solidFill>
                    <w14:schemeClr w14:val="tx1"/>
                  </w14:solidFill>
                </w14:textFill>
              </w:rPr>
            </w:pPr>
            <w:r>
              <w:rPr>
                <w:rFonts w:eastAsia="仿宋_GB2312"/>
                <w:b/>
                <w:bCs/>
                <w:color w:val="000000" w:themeColor="text1"/>
                <w:sz w:val="28"/>
                <w:szCs w:val="28"/>
                <w14:textFill>
                  <w14:solidFill>
                    <w14:schemeClr w14:val="tx1"/>
                  </w14:solidFill>
                </w14:textFill>
              </w:rPr>
              <w:t>项目名称</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b/>
                <w:bCs/>
                <w:color w:val="000000" w:themeColor="text1"/>
                <w:sz w:val="28"/>
                <w:szCs w:val="28"/>
                <w14:textFill>
                  <w14:solidFill>
                    <w14:schemeClr w14:val="tx1"/>
                  </w14:solidFill>
                </w14:textFill>
              </w:rPr>
            </w:pPr>
            <w:r>
              <w:rPr>
                <w:rFonts w:eastAsia="仿宋_GB2312"/>
                <w:b/>
                <w:bCs/>
                <w:color w:val="000000" w:themeColor="text1"/>
                <w:sz w:val="28"/>
                <w:szCs w:val="28"/>
                <w14:textFill>
                  <w14:solidFill>
                    <w14:schemeClr w14:val="tx1"/>
                  </w14:solidFill>
                </w14:textFill>
              </w:rPr>
              <w:t>项目内涵</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b/>
                <w:bCs/>
                <w:color w:val="000000" w:themeColor="text1"/>
                <w:sz w:val="28"/>
                <w:szCs w:val="28"/>
                <w14:textFill>
                  <w14:solidFill>
                    <w14:schemeClr w14:val="tx1"/>
                  </w14:solidFill>
                </w14:textFill>
              </w:rPr>
            </w:pPr>
            <w:r>
              <w:rPr>
                <w:rFonts w:eastAsia="仿宋_GB2312"/>
                <w:b/>
                <w:bCs/>
                <w:color w:val="000000" w:themeColor="text1"/>
                <w:kern w:val="0"/>
                <w:sz w:val="28"/>
                <w:szCs w:val="28"/>
                <w:lang w:bidi="ar"/>
                <w14:textFill>
                  <w14:solidFill>
                    <w14:schemeClr w14:val="tx1"/>
                  </w14:solidFill>
                </w14:textFill>
              </w:rPr>
              <w:t>除外内容</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b/>
                <w:bCs/>
                <w:color w:val="000000" w:themeColor="text1"/>
                <w:sz w:val="28"/>
                <w:szCs w:val="28"/>
                <w14:textFill>
                  <w14:solidFill>
                    <w14:schemeClr w14:val="tx1"/>
                  </w14:solidFill>
                </w14:textFill>
              </w:rPr>
            </w:pPr>
            <w:r>
              <w:rPr>
                <w:rFonts w:eastAsia="仿宋_GB2312"/>
                <w:b/>
                <w:bCs/>
                <w:color w:val="000000" w:themeColor="text1"/>
                <w:kern w:val="0"/>
                <w:sz w:val="28"/>
                <w:szCs w:val="28"/>
                <w:lang w:bidi="ar"/>
                <w14:textFill>
                  <w14:solidFill>
                    <w14:schemeClr w14:val="tx1"/>
                  </w14:solidFill>
                </w14:textFill>
              </w:rPr>
              <w:t>计价单位</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b/>
                <w:bCs/>
                <w:color w:val="000000" w:themeColor="text1"/>
                <w:sz w:val="28"/>
                <w:szCs w:val="28"/>
                <w14:textFill>
                  <w14:solidFill>
                    <w14:schemeClr w14:val="tx1"/>
                  </w14:solidFill>
                </w14:textFill>
              </w:rPr>
            </w:pPr>
            <w:r>
              <w:rPr>
                <w:rFonts w:eastAsia="仿宋_GB2312"/>
                <w:b/>
                <w:bCs/>
                <w:color w:val="000000" w:themeColor="text1"/>
                <w:sz w:val="28"/>
                <w:szCs w:val="28"/>
                <w14:textFill>
                  <w14:solidFill>
                    <w14:schemeClr w14:val="tx1"/>
                  </w14:solidFill>
                </w14:textFill>
              </w:rPr>
              <w:t>价格</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b/>
                <w:bCs/>
                <w:color w:val="000000" w:themeColor="text1"/>
                <w:sz w:val="28"/>
                <w:szCs w:val="28"/>
                <w14:textFill>
                  <w14:solidFill>
                    <w14:schemeClr w14:val="tx1"/>
                  </w14:solidFill>
                </w14:textFill>
              </w:rPr>
            </w:pPr>
            <w:r>
              <w:rPr>
                <w:rFonts w:eastAsia="仿宋_GB2312"/>
                <w:b/>
                <w:bCs/>
                <w:color w:val="000000" w:themeColor="text1"/>
                <w:sz w:val="28"/>
                <w:szCs w:val="28"/>
                <w14:textFill>
                  <w14:solidFill>
                    <w14:schemeClr w14:val="tx1"/>
                  </w14:solidFill>
                </w14:textFill>
              </w:rPr>
              <w:t>说明</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b/>
                <w:bCs/>
                <w:color w:val="000000" w:themeColor="text1"/>
                <w:sz w:val="28"/>
                <w:szCs w:val="28"/>
                <w14:textFill>
                  <w14:solidFill>
                    <w14:schemeClr w14:val="tx1"/>
                  </w14:solidFill>
                </w14:textFill>
              </w:rPr>
            </w:pPr>
            <w:r>
              <w:rPr>
                <w:rFonts w:eastAsia="仿宋_GB2312"/>
                <w:b/>
                <w:bCs/>
                <w:color w:val="000000" w:themeColor="text1"/>
                <w:sz w:val="28"/>
                <w:szCs w:val="28"/>
                <w14:textFill>
                  <w14:solidFill>
                    <w14:schemeClr w14:val="tx1"/>
                  </w14:solidFill>
                </w14:textFill>
              </w:rPr>
              <w:t>是否医保</w:t>
            </w:r>
          </w:p>
          <w:p>
            <w:pPr>
              <w:jc w:val="center"/>
              <w:rPr>
                <w:rFonts w:eastAsia="仿宋_GB2312"/>
                <w:b/>
                <w:bCs/>
                <w:color w:val="000000" w:themeColor="text1"/>
                <w:sz w:val="28"/>
                <w:szCs w:val="28"/>
                <w14:textFill>
                  <w14:solidFill>
                    <w14:schemeClr w14:val="tx1"/>
                  </w14:solidFill>
                </w14:textFill>
              </w:rPr>
            </w:pPr>
            <w:r>
              <w:rPr>
                <w:rFonts w:eastAsia="仿宋_GB2312"/>
                <w:b/>
                <w:bCs/>
                <w:color w:val="000000" w:themeColor="text1"/>
                <w:sz w:val="28"/>
                <w:szCs w:val="28"/>
                <w14:textFill>
                  <w14:solidFill>
                    <w14:schemeClr w14:val="tx1"/>
                  </w14:solidFill>
                </w14:textFill>
              </w:rPr>
              <w:t>支付</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仿宋_GB2312"/>
                <w:b/>
                <w:bCs/>
                <w:color w:val="000000" w:themeColor="text1"/>
                <w:sz w:val="28"/>
                <w:szCs w:val="28"/>
                <w:lang w:val="en-US" w:eastAsia="zh-CN"/>
                <w14:textFill>
                  <w14:solidFill>
                    <w14:schemeClr w14:val="tx1"/>
                  </w14:solidFill>
                </w14:textFill>
              </w:rPr>
            </w:pPr>
            <w:r>
              <w:rPr>
                <w:rFonts w:hint="eastAsia" w:eastAsia="仿宋_GB2312"/>
                <w:b/>
                <w:bCs/>
                <w:color w:val="000000" w:themeColor="text1"/>
                <w:sz w:val="28"/>
                <w:szCs w:val="28"/>
                <w:lang w:val="en-US" w:eastAsia="zh-CN"/>
                <w14:textFill>
                  <w14:solidFill>
                    <w14:schemeClr w14:val="tx1"/>
                  </w14:solidFill>
                </w14:textFill>
              </w:rPr>
              <w:t>自付</w:t>
            </w:r>
          </w:p>
          <w:p>
            <w:pPr>
              <w:jc w:val="center"/>
              <w:rPr>
                <w:rFonts w:hint="default" w:eastAsia="仿宋_GB2312"/>
                <w:b/>
                <w:bCs/>
                <w:color w:val="000000" w:themeColor="text1"/>
                <w:sz w:val="28"/>
                <w:szCs w:val="28"/>
                <w:lang w:val="en-US" w:eastAsia="zh-CN"/>
                <w14:textFill>
                  <w14:solidFill>
                    <w14:schemeClr w14:val="tx1"/>
                  </w14:solidFill>
                </w14:textFill>
              </w:rPr>
            </w:pPr>
            <w:r>
              <w:rPr>
                <w:rFonts w:hint="eastAsia" w:eastAsia="仿宋_GB2312"/>
                <w:b/>
                <w:bCs/>
                <w:color w:val="000000" w:themeColor="text1"/>
                <w:sz w:val="28"/>
                <w:szCs w:val="28"/>
                <w:lang w:val="en-US" w:eastAsia="zh-CN"/>
                <w14:textFill>
                  <w14:solidFill>
                    <w14:schemeClr w14:val="tx1"/>
                  </w14:solidFill>
                </w14:textFill>
              </w:rPr>
              <w:t>比例</w:t>
            </w:r>
          </w:p>
        </w:tc>
      </w:tr>
      <w:tr>
        <w:tblPrEx>
          <w:tblCellMar>
            <w:top w:w="17" w:type="dxa"/>
            <w:left w:w="57" w:type="dxa"/>
            <w:bottom w:w="17" w:type="dxa"/>
            <w:right w:w="57" w:type="dxa"/>
          </w:tblCellMar>
        </w:tblPrEx>
        <w:trPr>
          <w:trHeight w:val="23"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1</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331306001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取卵术</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通过临床技术操作获得卵母细胞。所定价格涵盖穿刺、取卵、卵泡冲洗、计数、评估过程中的人力资源和基本物质消耗（不包含超声引导）。</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取卵针</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次</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仿宋_GB2312"/>
                <w:color w:val="000000" w:themeColor="text1"/>
                <w:sz w:val="24"/>
                <w:szCs w:val="24"/>
                <w:lang w:val="en-US" w:eastAsia="zh-CN"/>
                <w14:textFill>
                  <w14:solidFill>
                    <w14:schemeClr w14:val="tx1"/>
                  </w14:solidFill>
                </w14:textFill>
              </w:rPr>
            </w:pPr>
            <w:r>
              <w:rPr>
                <w:rFonts w:hint="eastAsia" w:eastAsia="仿宋_GB2312"/>
                <w:color w:val="000000" w:themeColor="text1"/>
                <w:sz w:val="24"/>
                <w:szCs w:val="24"/>
                <w:lang w:val="en-US" w:eastAsia="zh-CN"/>
                <w14:textFill>
                  <w14:solidFill>
                    <w14:schemeClr w14:val="tx1"/>
                  </w14:solidFill>
                </w14:textFill>
              </w:rPr>
              <w:t>1570</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获卵数量超过15个加收20%。（不得与脉冲自动注射促排卵检查、B超下卵巢囊肿穿刺术同时计费）</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是</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仿宋_GB2312"/>
                <w:color w:val="000000" w:themeColor="text1"/>
                <w:kern w:val="0"/>
                <w:sz w:val="24"/>
                <w:szCs w:val="24"/>
                <w:lang w:val="en-US" w:eastAsia="zh-CN" w:bidi="ar"/>
                <w14:textFill>
                  <w14:solidFill>
                    <w14:schemeClr w14:val="tx1"/>
                  </w14:solidFill>
                </w14:textFill>
              </w:rPr>
            </w:pPr>
            <w:r>
              <w:rPr>
                <w:rFonts w:hint="eastAsia" w:eastAsia="仿宋_GB2312"/>
                <w:color w:val="000000" w:themeColor="text1"/>
                <w:kern w:val="0"/>
                <w:sz w:val="24"/>
                <w:szCs w:val="24"/>
                <w:lang w:val="en-US" w:eastAsia="zh-CN" w:bidi="ar"/>
                <w14:textFill>
                  <w14:solidFill>
                    <w14:schemeClr w14:val="tx1"/>
                  </w14:solidFill>
                </w14:textFill>
              </w:rPr>
              <w:t>20%</w:t>
            </w:r>
          </w:p>
        </w:tc>
      </w:tr>
      <w:tr>
        <w:tblPrEx>
          <w:tblCellMar>
            <w:top w:w="17" w:type="dxa"/>
            <w:left w:w="57" w:type="dxa"/>
            <w:bottom w:w="17" w:type="dxa"/>
            <w:right w:w="57" w:type="dxa"/>
          </w:tblCellMar>
        </w:tblPrEx>
        <w:trPr>
          <w:trHeight w:val="23"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2</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311201040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胚胎培养</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在培养箱中将精卵采取体外结合形式进行培养。所定价格涵盖受精、培养、观察、评估等获得胚胎过程中的人力资源和基本物质消耗。</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精子来源</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次</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仿宋_GB2312"/>
                <w:color w:val="000000" w:themeColor="text1"/>
                <w:sz w:val="24"/>
                <w:szCs w:val="24"/>
                <w:lang w:val="en-US" w:eastAsia="zh-CN"/>
                <w14:textFill>
                  <w14:solidFill>
                    <w14:schemeClr w14:val="tx1"/>
                  </w14:solidFill>
                </w14:textFill>
              </w:rPr>
            </w:pPr>
            <w:r>
              <w:rPr>
                <w:rFonts w:hint="eastAsia" w:eastAsia="仿宋_GB2312"/>
                <w:color w:val="000000" w:themeColor="text1"/>
                <w:sz w:val="24"/>
                <w:szCs w:val="24"/>
                <w:lang w:val="en-US" w:eastAsia="zh-CN"/>
                <w14:textFill>
                  <w14:solidFill>
                    <w14:schemeClr w14:val="tx1"/>
                  </w14:solidFill>
                </w14:textFill>
              </w:rPr>
              <w:t>3600</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囊胚培养按50%收费</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是</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hint="eastAsia" w:eastAsia="仿宋_GB2312"/>
                <w:color w:val="000000" w:themeColor="text1"/>
                <w:kern w:val="0"/>
                <w:sz w:val="24"/>
                <w:szCs w:val="24"/>
                <w:lang w:val="en-US" w:eastAsia="zh-CN" w:bidi="ar"/>
                <w14:textFill>
                  <w14:solidFill>
                    <w14:schemeClr w14:val="tx1"/>
                  </w14:solidFill>
                </w14:textFill>
              </w:rPr>
              <w:t>20%</w:t>
            </w:r>
          </w:p>
        </w:tc>
      </w:tr>
      <w:tr>
        <w:tblPrEx>
          <w:tblCellMar>
            <w:top w:w="17" w:type="dxa"/>
            <w:left w:w="57" w:type="dxa"/>
            <w:bottom w:w="17" w:type="dxa"/>
            <w:right w:w="57" w:type="dxa"/>
          </w:tblCellMar>
        </w:tblPrEx>
        <w:trPr>
          <w:trHeight w:val="23"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3</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311201062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组织/体液/细胞冷冻（辅助生殖）</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将辅助生殖相关组织、体液、细胞进行冷冻。所定价格涵盖将辅助生殖相关组织、体液、细胞转移至冷冻载体，冷冻及解冻复苏过程中的人力资源和基本物质消耗。</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000000" w:themeColor="text1"/>
                <w:sz w:val="24"/>
                <w:szCs w:val="24"/>
                <w14:textFill>
                  <w14:solidFill>
                    <w14:schemeClr w14:val="tx1"/>
                  </w14:solidFill>
                </w14:textFill>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管·次</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仿宋_GB2312"/>
                <w:color w:val="000000" w:themeColor="text1"/>
                <w:sz w:val="24"/>
                <w:szCs w:val="24"/>
                <w:lang w:val="en-US" w:eastAsia="zh-CN"/>
                <w14:textFill>
                  <w14:solidFill>
                    <w14:schemeClr w14:val="tx1"/>
                  </w14:solidFill>
                </w14:textFill>
              </w:rPr>
            </w:pPr>
            <w:r>
              <w:rPr>
                <w:rFonts w:hint="eastAsia" w:eastAsia="仿宋_GB2312"/>
                <w:color w:val="000000" w:themeColor="text1"/>
                <w:sz w:val="24"/>
                <w:szCs w:val="24"/>
                <w:lang w:val="en-US" w:eastAsia="zh-CN"/>
                <w14:textFill>
                  <w14:solidFill>
                    <w14:schemeClr w14:val="tx1"/>
                  </w14:solidFill>
                </w14:textFill>
              </w:rPr>
              <w:t>1850</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价格含冷冻当天起保存2个月的费用，不足2月按2月计费。冻存结束前只收取一次。</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是</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hint="eastAsia" w:eastAsia="仿宋_GB2312"/>
                <w:color w:val="000000" w:themeColor="text1"/>
                <w:kern w:val="0"/>
                <w:sz w:val="24"/>
                <w:szCs w:val="24"/>
                <w:lang w:val="en-US" w:eastAsia="zh-CN" w:bidi="ar"/>
                <w14:textFill>
                  <w14:solidFill>
                    <w14:schemeClr w14:val="tx1"/>
                  </w14:solidFill>
                </w14:textFill>
              </w:rPr>
              <w:t>20%</w:t>
            </w:r>
          </w:p>
        </w:tc>
      </w:tr>
      <w:tr>
        <w:tblPrEx>
          <w:tblCellMar>
            <w:top w:w="17" w:type="dxa"/>
            <w:left w:w="57" w:type="dxa"/>
            <w:bottom w:w="17" w:type="dxa"/>
            <w:right w:w="57" w:type="dxa"/>
          </w:tblCellMar>
        </w:tblPrEx>
        <w:trPr>
          <w:trHeight w:val="23"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4</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311201062a</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组织/体液/细胞冷冻续存（辅助生殖）</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将冷冻后的辅助生殖相关组织、体液、细胞持续冻存。所定价格涵盖将冷冻后的辅助生殖相关组织、体液、细胞持续冻存至解冻复苏前或约定截止保存时间，期间的人力资源和基本物质消耗。</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000000" w:themeColor="text1"/>
                <w:sz w:val="24"/>
                <w:szCs w:val="24"/>
                <w14:textFill>
                  <w14:solidFill>
                    <w14:schemeClr w14:val="tx1"/>
                  </w14:solidFill>
                </w14:textFill>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管·月</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spacing w:val="-7"/>
                <w:sz w:val="24"/>
                <w:szCs w:val="24"/>
              </w:rPr>
              <w:t>12</w:t>
            </w:r>
            <w:r>
              <w:rPr>
                <w:rFonts w:hint="eastAsia"/>
                <w:spacing w:val="-7"/>
                <w:sz w:val="24"/>
                <w:szCs w:val="24"/>
                <w:lang w:val="en-US" w:eastAsia="zh-CN"/>
              </w:rPr>
              <w:t>0</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冷冻后保存超过2月的，按每管每月（管·月）收取续存费用，不足1月按1月计费；不得重复收取</w:t>
            </w:r>
            <w:r>
              <w:rPr>
                <w:rFonts w:hint="eastAsia" w:eastAsia="仿宋_GB2312"/>
                <w:color w:val="000000" w:themeColor="text1"/>
                <w:kern w:val="0"/>
                <w:sz w:val="24"/>
                <w:szCs w:val="24"/>
                <w:lang w:bidi="ar"/>
                <w14:textFill>
                  <w14:solidFill>
                    <w14:schemeClr w14:val="tx1"/>
                  </w14:solidFill>
                </w14:textFill>
              </w:rPr>
              <w:t>“</w:t>
            </w:r>
            <w:r>
              <w:rPr>
                <w:rFonts w:eastAsia="仿宋_GB2312"/>
                <w:color w:val="000000" w:themeColor="text1"/>
                <w:kern w:val="0"/>
                <w:sz w:val="24"/>
                <w:szCs w:val="24"/>
                <w:lang w:bidi="ar"/>
                <w14:textFill>
                  <w14:solidFill>
                    <w14:schemeClr w14:val="tx1"/>
                  </w14:solidFill>
                </w14:textFill>
              </w:rPr>
              <w:t>组织/体液/细胞冷冻（辅助生殖）</w:t>
            </w:r>
            <w:r>
              <w:rPr>
                <w:rFonts w:hint="eastAsia" w:eastAsia="仿宋_GB2312"/>
                <w:color w:val="000000" w:themeColor="text1"/>
                <w:kern w:val="0"/>
                <w:sz w:val="24"/>
                <w:szCs w:val="24"/>
                <w:lang w:bidi="ar"/>
                <w14:textFill>
                  <w14:solidFill>
                    <w14:schemeClr w14:val="tx1"/>
                  </w14:solidFill>
                </w14:textFill>
              </w:rPr>
              <w:t>”</w:t>
            </w:r>
            <w:r>
              <w:rPr>
                <w:rFonts w:eastAsia="仿宋_GB2312"/>
                <w:color w:val="000000" w:themeColor="text1"/>
                <w:kern w:val="0"/>
                <w:sz w:val="24"/>
                <w:szCs w:val="24"/>
                <w:lang w:bidi="ar"/>
                <w14:textFill>
                  <w14:solidFill>
                    <w14:schemeClr w14:val="tx1"/>
                  </w14:solidFill>
                </w14:textFill>
              </w:rPr>
              <w:t>费用。</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否</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仿宋_GB2312"/>
                <w:color w:val="000000" w:themeColor="text1"/>
                <w:kern w:val="0"/>
                <w:sz w:val="24"/>
                <w:szCs w:val="24"/>
                <w:lang w:val="en-US" w:eastAsia="zh-CN" w:bidi="ar"/>
                <w14:textFill>
                  <w14:solidFill>
                    <w14:schemeClr w14:val="tx1"/>
                  </w14:solidFill>
                </w14:textFill>
              </w:rPr>
            </w:pPr>
            <w:r>
              <w:rPr>
                <w:rFonts w:hint="eastAsia" w:eastAsia="仿宋_GB2312"/>
                <w:color w:val="000000" w:themeColor="text1"/>
                <w:kern w:val="0"/>
                <w:sz w:val="24"/>
                <w:szCs w:val="24"/>
                <w:lang w:val="en-US" w:eastAsia="zh-CN" w:bidi="ar"/>
                <w14:textFill>
                  <w14:solidFill>
                    <w14:schemeClr w14:val="tx1"/>
                  </w14:solidFill>
                </w14:textFill>
              </w:rPr>
              <w:t>100%</w:t>
            </w:r>
          </w:p>
        </w:tc>
      </w:tr>
      <w:tr>
        <w:tblPrEx>
          <w:tblCellMar>
            <w:top w:w="17" w:type="dxa"/>
            <w:left w:w="57" w:type="dxa"/>
            <w:bottom w:w="17" w:type="dxa"/>
            <w:right w:w="57" w:type="dxa"/>
          </w:tblCellMar>
        </w:tblPrEx>
        <w:trPr>
          <w:trHeight w:val="23"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5</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311201041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胚胎移植</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将胚胎或囊胚移送至患者宫腔内。所定价格涵盖胚胎评估、移送至患者宫腔内过程中所需的人力资源和基本物质消耗。包含胚子移植。</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胚胎移植管</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次</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仿宋_GB2312"/>
                <w:color w:val="000000" w:themeColor="text1"/>
                <w:kern w:val="0"/>
                <w:sz w:val="24"/>
                <w:szCs w:val="24"/>
                <w:lang w:val="en-US" w:eastAsia="zh-CN" w:bidi="ar"/>
                <w14:textFill>
                  <w14:solidFill>
                    <w14:schemeClr w14:val="tx1"/>
                  </w14:solidFill>
                </w14:textFill>
              </w:rPr>
            </w:pPr>
            <w:r>
              <w:rPr>
                <w:rFonts w:hint="eastAsia" w:eastAsia="仿宋_GB2312"/>
                <w:color w:val="000000" w:themeColor="text1"/>
                <w:kern w:val="0"/>
                <w:sz w:val="24"/>
                <w:szCs w:val="24"/>
                <w:lang w:val="en-US" w:eastAsia="zh-CN" w:bidi="ar"/>
                <w14:textFill>
                  <w14:solidFill>
                    <w14:schemeClr w14:val="tx1"/>
                  </w14:solidFill>
                </w14:textFill>
              </w:rPr>
              <w:t>1470</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冻融胚胎（或囊胚）移植加收</w:t>
            </w:r>
            <w:r>
              <w:rPr>
                <w:rFonts w:hint="eastAsia" w:eastAsia="仿宋_GB2312"/>
                <w:color w:val="000000" w:themeColor="text1"/>
                <w:kern w:val="0"/>
                <w:sz w:val="24"/>
                <w:szCs w:val="24"/>
                <w:lang w:val="en-US" w:eastAsia="zh-CN" w:bidi="ar"/>
                <w14:textFill>
                  <w14:solidFill>
                    <w14:schemeClr w14:val="tx1"/>
                  </w14:solidFill>
                </w14:textFill>
              </w:rPr>
              <w:t>850</w:t>
            </w:r>
            <w:r>
              <w:rPr>
                <w:rFonts w:eastAsia="仿宋_GB2312"/>
                <w:color w:val="000000" w:themeColor="text1"/>
                <w:kern w:val="0"/>
                <w:sz w:val="24"/>
                <w:szCs w:val="24"/>
                <w:lang w:bidi="ar"/>
                <w14:textFill>
                  <w14:solidFill>
                    <w14:schemeClr w14:val="tx1"/>
                  </w14:solidFill>
                </w14:textFill>
              </w:rPr>
              <w:t>元。</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是</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仿宋_GB2312"/>
                <w:color w:val="000000" w:themeColor="text1"/>
                <w:kern w:val="0"/>
                <w:sz w:val="24"/>
                <w:szCs w:val="24"/>
                <w:lang w:val="en-US" w:eastAsia="zh-CN" w:bidi="ar"/>
                <w14:textFill>
                  <w14:solidFill>
                    <w14:schemeClr w14:val="tx1"/>
                  </w14:solidFill>
                </w14:textFill>
              </w:rPr>
            </w:pPr>
            <w:r>
              <w:rPr>
                <w:rFonts w:hint="eastAsia" w:eastAsia="仿宋_GB2312"/>
                <w:color w:val="000000" w:themeColor="text1"/>
                <w:kern w:val="0"/>
                <w:sz w:val="24"/>
                <w:szCs w:val="24"/>
                <w:lang w:val="en-US" w:eastAsia="zh-CN" w:bidi="ar"/>
                <w14:textFill>
                  <w14:solidFill>
                    <w14:schemeClr w14:val="tx1"/>
                  </w14:solidFill>
                </w14:textFill>
              </w:rPr>
              <w:t>20%</w:t>
            </w:r>
          </w:p>
        </w:tc>
      </w:tr>
      <w:tr>
        <w:tblPrEx>
          <w:tblCellMar>
            <w:top w:w="17" w:type="dxa"/>
            <w:left w:w="57" w:type="dxa"/>
            <w:bottom w:w="17" w:type="dxa"/>
            <w:right w:w="57" w:type="dxa"/>
          </w:tblCellMar>
        </w:tblPrEx>
        <w:trPr>
          <w:cantSplit/>
          <w:trHeight w:val="23"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6</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311201059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未成熟卵体外成熟培养</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将通过临床操作获取的未成熟卵进行体外培养。所定价格涵盖未成熟卵处理、培养、观察、评估、激活过程中所需的人力资源和基本物质消耗。</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000000" w:themeColor="text1"/>
                <w:sz w:val="24"/>
                <w:szCs w:val="24"/>
                <w14:textFill>
                  <w14:solidFill>
                    <w14:schemeClr w14:val="tx1"/>
                  </w14:solidFill>
                </w14:textFill>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次</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仿宋_GB2312"/>
                <w:color w:val="000000" w:themeColor="text1"/>
                <w:kern w:val="0"/>
                <w:sz w:val="24"/>
                <w:szCs w:val="24"/>
                <w:lang w:val="en-US" w:eastAsia="zh-CN" w:bidi="ar"/>
                <w14:textFill>
                  <w14:solidFill>
                    <w14:schemeClr w14:val="tx1"/>
                  </w14:solidFill>
                </w14:textFill>
              </w:rPr>
            </w:pPr>
            <w:r>
              <w:rPr>
                <w:rFonts w:hint="eastAsia" w:eastAsia="仿宋_GB2312"/>
                <w:color w:val="000000" w:themeColor="text1"/>
                <w:kern w:val="0"/>
                <w:sz w:val="24"/>
                <w:szCs w:val="24"/>
                <w:lang w:val="en-US" w:eastAsia="zh-CN" w:bidi="ar"/>
                <w14:textFill>
                  <w14:solidFill>
                    <w14:schemeClr w14:val="tx1"/>
                  </w14:solidFill>
                </w14:textFill>
              </w:rPr>
              <w:t>1700</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eastAsia="仿宋_GB2312"/>
                <w:color w:val="000000" w:themeColor="text1"/>
                <w:kern w:val="0"/>
                <w:sz w:val="24"/>
                <w:szCs w:val="24"/>
                <w:lang w:bidi="ar"/>
                <w14:textFill>
                  <w14:solidFill>
                    <w14:schemeClr w14:val="tx1"/>
                  </w14:solidFill>
                </w14:textFill>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是</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000000" w:themeColor="text1"/>
                <w:kern w:val="0"/>
                <w:sz w:val="24"/>
                <w:szCs w:val="24"/>
                <w:lang w:bidi="ar"/>
                <w14:textFill>
                  <w14:solidFill>
                    <w14:schemeClr w14:val="tx1"/>
                  </w14:solidFill>
                </w14:textFill>
              </w:rPr>
            </w:pPr>
            <w:r>
              <w:rPr>
                <w:rFonts w:hint="eastAsia" w:eastAsia="仿宋_GB2312"/>
                <w:color w:val="000000" w:themeColor="text1"/>
                <w:kern w:val="0"/>
                <w:sz w:val="24"/>
                <w:szCs w:val="24"/>
                <w:lang w:val="en-US" w:eastAsia="zh-CN" w:bidi="ar"/>
                <w14:textFill>
                  <w14:solidFill>
                    <w14:schemeClr w14:val="tx1"/>
                  </w14:solidFill>
                </w14:textFill>
              </w:rPr>
              <w:t>20%</w:t>
            </w:r>
          </w:p>
        </w:tc>
      </w:tr>
      <w:tr>
        <w:tblPrEx>
          <w:tblCellMar>
            <w:top w:w="17" w:type="dxa"/>
            <w:left w:w="57" w:type="dxa"/>
            <w:bottom w:w="17" w:type="dxa"/>
            <w:right w:w="57" w:type="dxa"/>
          </w:tblCellMar>
        </w:tblPrEx>
        <w:trPr>
          <w:trHeight w:val="23"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7</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311201060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胚胎辅助孵化</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将胚胎通过物理或化学的方法，将透明带制造一处缺损或裂隙，提高着床成功率。所定价格涵盖筛选、调试、透明带处理、记录过程中所需的人力资源和基本物质消耗。</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000000" w:themeColor="text1"/>
                <w:sz w:val="24"/>
                <w:szCs w:val="24"/>
                <w14:textFill>
                  <w14:solidFill>
                    <w14:schemeClr w14:val="tx1"/>
                  </w14:solidFill>
                </w14:textFill>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次</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仿宋_GB2312"/>
                <w:color w:val="000000" w:themeColor="text1"/>
                <w:kern w:val="0"/>
                <w:sz w:val="24"/>
                <w:szCs w:val="24"/>
                <w:lang w:val="en-US" w:eastAsia="zh-CN" w:bidi="ar"/>
                <w14:textFill>
                  <w14:solidFill>
                    <w14:schemeClr w14:val="tx1"/>
                  </w14:solidFill>
                </w14:textFill>
              </w:rPr>
            </w:pPr>
            <w:r>
              <w:rPr>
                <w:rFonts w:hint="eastAsia" w:eastAsia="仿宋_GB2312"/>
                <w:color w:val="000000" w:themeColor="text1"/>
                <w:kern w:val="0"/>
                <w:sz w:val="24"/>
                <w:szCs w:val="24"/>
                <w:lang w:val="en-US" w:eastAsia="zh-CN" w:bidi="ar"/>
                <w14:textFill>
                  <w14:solidFill>
                    <w14:schemeClr w14:val="tx1"/>
                  </w14:solidFill>
                </w14:textFill>
              </w:rPr>
              <w:t>950</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eastAsia="仿宋_GB2312"/>
                <w:color w:val="000000" w:themeColor="text1"/>
                <w:kern w:val="0"/>
                <w:sz w:val="24"/>
                <w:szCs w:val="24"/>
                <w:lang w:bidi="ar"/>
                <w14:textFill>
                  <w14:solidFill>
                    <w14:schemeClr w14:val="tx1"/>
                  </w14:solidFill>
                </w14:textFill>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是</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000000" w:themeColor="text1"/>
                <w:kern w:val="0"/>
                <w:sz w:val="24"/>
                <w:szCs w:val="24"/>
                <w:lang w:bidi="ar"/>
                <w14:textFill>
                  <w14:solidFill>
                    <w14:schemeClr w14:val="tx1"/>
                  </w14:solidFill>
                </w14:textFill>
              </w:rPr>
            </w:pPr>
            <w:r>
              <w:rPr>
                <w:rFonts w:hint="eastAsia" w:eastAsia="仿宋_GB2312"/>
                <w:color w:val="000000" w:themeColor="text1"/>
                <w:kern w:val="0"/>
                <w:sz w:val="24"/>
                <w:szCs w:val="24"/>
                <w:lang w:val="en-US" w:eastAsia="zh-CN" w:bidi="ar"/>
                <w14:textFill>
                  <w14:solidFill>
                    <w14:schemeClr w14:val="tx1"/>
                  </w14:solidFill>
                </w14:textFill>
              </w:rPr>
              <w:t>20%</w:t>
            </w:r>
          </w:p>
        </w:tc>
      </w:tr>
      <w:tr>
        <w:tblPrEx>
          <w:tblCellMar>
            <w:top w:w="17" w:type="dxa"/>
            <w:left w:w="57" w:type="dxa"/>
            <w:bottom w:w="17" w:type="dxa"/>
            <w:right w:w="57" w:type="dxa"/>
          </w:tblCellMar>
        </w:tblPrEx>
        <w:trPr>
          <w:trHeight w:val="23"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8</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311201082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组织、细胞活检（辅助生殖）</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在囊胚/卵裂期胚胎/卵母细胞等辅助生殖相关的组织、细胞上分离出检测标本。所定价格涵盖通过筛选、评估、透明带处理，吸取分离标本过程中所需的人力资源和基本物质消耗。</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000000" w:themeColor="text1"/>
                <w:sz w:val="24"/>
                <w:szCs w:val="24"/>
                <w14:textFill>
                  <w14:solidFill>
                    <w14:schemeClr w14:val="tx1"/>
                  </w14:solidFill>
                </w14:textFill>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每个胚胎（卵）</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spacing w:val="-6"/>
                <w:sz w:val="24"/>
                <w:szCs w:val="24"/>
              </w:rPr>
              <w:t>1</w:t>
            </w:r>
            <w:r>
              <w:rPr>
                <w:rFonts w:hint="eastAsia"/>
                <w:spacing w:val="-6"/>
                <w:sz w:val="24"/>
                <w:szCs w:val="24"/>
                <w:lang w:val="en-US" w:eastAsia="zh-CN"/>
              </w:rPr>
              <w:t>180</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从第3个胚胎(卵)起，每个按50%收费；最高不超过6600元。</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是</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仿宋_GB2312"/>
                <w:color w:val="000000" w:themeColor="text1"/>
                <w:kern w:val="0"/>
                <w:sz w:val="24"/>
                <w:szCs w:val="24"/>
                <w:lang w:val="en-US" w:eastAsia="zh-CN" w:bidi="ar"/>
                <w14:textFill>
                  <w14:solidFill>
                    <w14:schemeClr w14:val="tx1"/>
                  </w14:solidFill>
                </w14:textFill>
              </w:rPr>
            </w:pPr>
            <w:r>
              <w:rPr>
                <w:rFonts w:hint="eastAsia" w:eastAsia="仿宋_GB2312"/>
                <w:color w:val="000000" w:themeColor="text1"/>
                <w:kern w:val="0"/>
                <w:sz w:val="24"/>
                <w:szCs w:val="24"/>
                <w:lang w:val="en-US" w:eastAsia="zh-CN" w:bidi="ar"/>
                <w14:textFill>
                  <w14:solidFill>
                    <w14:schemeClr w14:val="tx1"/>
                  </w14:solidFill>
                </w14:textFill>
              </w:rPr>
              <w:t>20%</w:t>
            </w:r>
          </w:p>
        </w:tc>
      </w:tr>
      <w:tr>
        <w:tblPrEx>
          <w:tblCellMar>
            <w:top w:w="17" w:type="dxa"/>
            <w:left w:w="57" w:type="dxa"/>
            <w:bottom w:w="17" w:type="dxa"/>
            <w:right w:w="57" w:type="dxa"/>
          </w:tblCellMar>
        </w:tblPrEx>
        <w:trPr>
          <w:trHeight w:val="23" w:hRule="atLeast"/>
        </w:trPr>
        <w:tc>
          <w:tcPr>
            <w:tcW w:w="222"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9</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311201045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人工授精</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通过临床操作将精液注入患者宫腔内。所定价格涵盖精液注入、观察等过程中所需的人力资源和基本物质消耗。</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精子来源</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次</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仿宋_GB2312"/>
                <w:color w:val="000000" w:themeColor="text1"/>
                <w:kern w:val="0"/>
                <w:sz w:val="24"/>
                <w:szCs w:val="24"/>
                <w:lang w:val="en-US" w:eastAsia="zh-CN" w:bidi="ar"/>
                <w14:textFill>
                  <w14:solidFill>
                    <w14:schemeClr w14:val="tx1"/>
                  </w14:solidFill>
                </w14:textFill>
              </w:rPr>
            </w:pPr>
            <w:r>
              <w:rPr>
                <w:rFonts w:hint="eastAsia" w:eastAsia="仿宋_GB2312"/>
                <w:color w:val="000000" w:themeColor="text1"/>
                <w:kern w:val="0"/>
                <w:sz w:val="24"/>
                <w:szCs w:val="24"/>
                <w:lang w:val="en-US" w:eastAsia="zh-CN" w:bidi="ar"/>
                <w14:textFill>
                  <w14:solidFill>
                    <w14:schemeClr w14:val="tx1"/>
                  </w14:solidFill>
                </w14:textFill>
              </w:rPr>
              <w:t>670</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eastAsia="仿宋_GB2312"/>
                <w:color w:val="000000" w:themeColor="text1"/>
                <w:kern w:val="0"/>
                <w:sz w:val="24"/>
                <w:szCs w:val="24"/>
                <w:lang w:bidi="ar"/>
                <w14:textFill>
                  <w14:solidFill>
                    <w14:schemeClr w14:val="tx1"/>
                  </w14:solidFill>
                </w14:textFill>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是</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仿宋_GB2312"/>
                <w:color w:val="000000" w:themeColor="text1"/>
                <w:kern w:val="0"/>
                <w:sz w:val="24"/>
                <w:szCs w:val="24"/>
                <w:lang w:val="en-US" w:eastAsia="zh-CN" w:bidi="ar"/>
                <w14:textFill>
                  <w14:solidFill>
                    <w14:schemeClr w14:val="tx1"/>
                  </w14:solidFill>
                </w14:textFill>
              </w:rPr>
            </w:pPr>
            <w:r>
              <w:rPr>
                <w:rFonts w:hint="eastAsia" w:eastAsia="仿宋_GB2312"/>
                <w:color w:val="000000" w:themeColor="text1"/>
                <w:kern w:val="0"/>
                <w:sz w:val="24"/>
                <w:szCs w:val="24"/>
                <w:lang w:val="en-US" w:eastAsia="zh-CN" w:bidi="ar"/>
                <w14:textFill>
                  <w14:solidFill>
                    <w14:schemeClr w14:val="tx1"/>
                  </w14:solidFill>
                </w14:textFill>
              </w:rPr>
              <w:t>20%</w:t>
            </w:r>
          </w:p>
        </w:tc>
      </w:tr>
      <w:tr>
        <w:tblPrEx>
          <w:tblCellMar>
            <w:top w:w="17" w:type="dxa"/>
            <w:left w:w="57" w:type="dxa"/>
            <w:bottom w:w="17" w:type="dxa"/>
            <w:right w:w="57" w:type="dxa"/>
          </w:tblCellMar>
        </w:tblPrEx>
        <w:trPr>
          <w:trHeight w:val="23" w:hRule="atLeast"/>
        </w:trPr>
        <w:tc>
          <w:tcPr>
            <w:tcW w:w="222" w:type="pct"/>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311201045a</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阴道内人工授精</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严格核对夫妻双方相关信息，通过将液化后的新鲜精液（夫源）或复苏后的精液（供精）转移至女性阴道穹窿处。所定价格涵盖精液转移、观察等过程所需的人力资源。不含精液冷冻复苏。</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精子来源</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次</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仿宋_GB2312"/>
                <w:color w:val="000000" w:themeColor="text1"/>
                <w:kern w:val="0"/>
                <w:sz w:val="24"/>
                <w:szCs w:val="24"/>
                <w:lang w:val="en-US" w:eastAsia="zh-CN" w:bidi="ar"/>
                <w14:textFill>
                  <w14:solidFill>
                    <w14:schemeClr w14:val="tx1"/>
                  </w14:solidFill>
                </w14:textFill>
              </w:rPr>
            </w:pPr>
            <w:r>
              <w:rPr>
                <w:rFonts w:hint="eastAsia" w:eastAsia="仿宋_GB2312"/>
                <w:color w:val="000000" w:themeColor="text1"/>
                <w:kern w:val="0"/>
                <w:sz w:val="24"/>
                <w:szCs w:val="24"/>
                <w:lang w:val="en-US" w:eastAsia="zh-CN" w:bidi="ar"/>
                <w14:textFill>
                  <w14:solidFill>
                    <w14:schemeClr w14:val="tx1"/>
                  </w14:solidFill>
                </w14:textFill>
              </w:rPr>
              <w:t>150</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eastAsia="仿宋_GB2312"/>
                <w:color w:val="000000" w:themeColor="text1"/>
                <w:kern w:val="0"/>
                <w:sz w:val="24"/>
                <w:szCs w:val="24"/>
                <w:lang w:bidi="ar"/>
                <w14:textFill>
                  <w14:solidFill>
                    <w14:schemeClr w14:val="tx1"/>
                  </w14:solidFill>
                </w14:textFill>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是</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仿宋_GB2312"/>
                <w:color w:val="000000" w:themeColor="text1"/>
                <w:kern w:val="0"/>
                <w:sz w:val="24"/>
                <w:szCs w:val="24"/>
                <w:lang w:val="en-US" w:eastAsia="zh-CN" w:bidi="ar"/>
                <w14:textFill>
                  <w14:solidFill>
                    <w14:schemeClr w14:val="tx1"/>
                  </w14:solidFill>
                </w14:textFill>
              </w:rPr>
            </w:pPr>
            <w:r>
              <w:rPr>
                <w:rFonts w:hint="eastAsia" w:eastAsia="仿宋_GB2312"/>
                <w:color w:val="000000" w:themeColor="text1"/>
                <w:kern w:val="0"/>
                <w:sz w:val="24"/>
                <w:szCs w:val="24"/>
                <w:lang w:val="en-US" w:eastAsia="zh-CN" w:bidi="ar"/>
                <w14:textFill>
                  <w14:solidFill>
                    <w14:schemeClr w14:val="tx1"/>
                  </w14:solidFill>
                </w14:textFill>
              </w:rPr>
              <w:t>20%</w:t>
            </w:r>
          </w:p>
        </w:tc>
      </w:tr>
      <w:tr>
        <w:tblPrEx>
          <w:tblCellMar>
            <w:top w:w="17" w:type="dxa"/>
            <w:left w:w="57" w:type="dxa"/>
            <w:bottom w:w="17" w:type="dxa"/>
            <w:right w:w="57" w:type="dxa"/>
          </w:tblCellMar>
        </w:tblPrEx>
        <w:trPr>
          <w:trHeight w:val="23"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10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311100019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精子优选处理</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通过实验室手段从精液中筛选优质精子。所定价格涵盖精液采集、分析、处理、筛选、评估过程中所需的人力资源和基本物质消耗。</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000000" w:themeColor="text1"/>
                <w:sz w:val="24"/>
                <w:szCs w:val="24"/>
                <w14:textFill>
                  <w14:solidFill>
                    <w14:schemeClr w14:val="tx1"/>
                  </w14:solidFill>
                </w14:textFill>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次</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仿宋_GB2312"/>
                <w:color w:val="000000" w:themeColor="text1"/>
                <w:kern w:val="0"/>
                <w:sz w:val="24"/>
                <w:szCs w:val="24"/>
                <w:lang w:val="en-US" w:eastAsia="zh-CN" w:bidi="ar"/>
                <w14:textFill>
                  <w14:solidFill>
                    <w14:schemeClr w14:val="tx1"/>
                  </w14:solidFill>
                </w14:textFill>
              </w:rPr>
            </w:pPr>
            <w:r>
              <w:rPr>
                <w:rFonts w:hint="eastAsia" w:eastAsia="仿宋_GB2312"/>
                <w:color w:val="000000" w:themeColor="text1"/>
                <w:kern w:val="0"/>
                <w:sz w:val="24"/>
                <w:szCs w:val="24"/>
                <w:lang w:val="en-US" w:eastAsia="zh-CN" w:bidi="ar"/>
                <w14:textFill>
                  <w14:solidFill>
                    <w14:schemeClr w14:val="tx1"/>
                  </w14:solidFill>
                </w14:textFill>
              </w:rPr>
              <w:t>710</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eastAsia="仿宋_GB2312"/>
                <w:color w:val="000000" w:themeColor="text1"/>
                <w:kern w:val="0"/>
                <w:sz w:val="24"/>
                <w:szCs w:val="24"/>
                <w:lang w:bidi="ar"/>
                <w14:textFill>
                  <w14:solidFill>
                    <w14:schemeClr w14:val="tx1"/>
                  </w14:solidFill>
                </w14:textFill>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是</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仿宋_GB2312"/>
                <w:color w:val="000000" w:themeColor="text1"/>
                <w:kern w:val="0"/>
                <w:sz w:val="24"/>
                <w:szCs w:val="24"/>
                <w:lang w:val="en-US" w:eastAsia="zh-CN" w:bidi="ar"/>
                <w14:textFill>
                  <w14:solidFill>
                    <w14:schemeClr w14:val="tx1"/>
                  </w14:solidFill>
                </w14:textFill>
              </w:rPr>
            </w:pPr>
            <w:r>
              <w:rPr>
                <w:rFonts w:hint="eastAsia" w:eastAsia="仿宋_GB2312"/>
                <w:color w:val="000000" w:themeColor="text1"/>
                <w:kern w:val="0"/>
                <w:sz w:val="24"/>
                <w:szCs w:val="24"/>
                <w:lang w:val="en-US" w:eastAsia="zh-CN" w:bidi="ar"/>
                <w14:textFill>
                  <w14:solidFill>
                    <w14:schemeClr w14:val="tx1"/>
                  </w14:solidFill>
                </w14:textFill>
              </w:rPr>
              <w:t>20%</w:t>
            </w:r>
          </w:p>
        </w:tc>
      </w:tr>
      <w:tr>
        <w:tblPrEx>
          <w:tblCellMar>
            <w:top w:w="17" w:type="dxa"/>
            <w:left w:w="57" w:type="dxa"/>
            <w:bottom w:w="17" w:type="dxa"/>
            <w:right w:w="57" w:type="dxa"/>
          </w:tblCellMar>
        </w:tblPrEx>
        <w:trPr>
          <w:trHeight w:val="23"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11</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311100007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取精术</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通过手术方式获取精子。所定价格涵盖穿刺或切开、分离、获取精子评估过程中的人力资源和基本物质消耗。</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000000" w:themeColor="text1"/>
                <w:sz w:val="24"/>
                <w:szCs w:val="24"/>
                <w14:textFill>
                  <w14:solidFill>
                    <w14:schemeClr w14:val="tx1"/>
                  </w14:solidFill>
                </w14:textFill>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次</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仿宋_GB2312"/>
                <w:color w:val="000000" w:themeColor="text1"/>
                <w:kern w:val="0"/>
                <w:sz w:val="24"/>
                <w:szCs w:val="24"/>
                <w:lang w:val="en-US" w:eastAsia="zh-CN" w:bidi="ar"/>
                <w14:textFill>
                  <w14:solidFill>
                    <w14:schemeClr w14:val="tx1"/>
                  </w14:solidFill>
                </w14:textFill>
              </w:rPr>
            </w:pPr>
            <w:r>
              <w:rPr>
                <w:rFonts w:hint="eastAsia" w:eastAsia="仿宋_GB2312"/>
                <w:color w:val="000000" w:themeColor="text1"/>
                <w:kern w:val="0"/>
                <w:sz w:val="24"/>
                <w:szCs w:val="24"/>
                <w:lang w:val="en-US" w:eastAsia="zh-CN" w:bidi="ar"/>
                <w14:textFill>
                  <w14:solidFill>
                    <w14:schemeClr w14:val="tx1"/>
                  </w14:solidFill>
                </w14:textFill>
              </w:rPr>
              <w:t>730</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显微镜下操作加收</w:t>
            </w:r>
            <w:r>
              <w:rPr>
                <w:sz w:val="24"/>
                <w:szCs w:val="24"/>
              </w:rPr>
              <w:t>2000</w:t>
            </w:r>
            <w:r>
              <w:rPr>
                <w:rFonts w:eastAsia="仿宋_GB2312"/>
                <w:color w:val="000000" w:themeColor="text1"/>
                <w:kern w:val="0"/>
                <w:sz w:val="24"/>
                <w:szCs w:val="24"/>
                <w:lang w:bidi="ar"/>
                <w14:textFill>
                  <w14:solidFill>
                    <w14:schemeClr w14:val="tx1"/>
                  </w14:solidFill>
                </w14:textFill>
              </w:rPr>
              <w:t>元。不得与睾丸阴茎海绵体活检术同时计费。</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是</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仿宋_GB2312"/>
                <w:color w:val="000000" w:themeColor="text1"/>
                <w:kern w:val="0"/>
                <w:sz w:val="24"/>
                <w:szCs w:val="24"/>
                <w:lang w:val="en-US" w:eastAsia="zh-CN" w:bidi="ar"/>
                <w14:textFill>
                  <w14:solidFill>
                    <w14:schemeClr w14:val="tx1"/>
                  </w14:solidFill>
                </w14:textFill>
              </w:rPr>
            </w:pPr>
            <w:r>
              <w:rPr>
                <w:rFonts w:hint="eastAsia" w:eastAsia="仿宋_GB2312"/>
                <w:color w:val="000000" w:themeColor="text1"/>
                <w:kern w:val="0"/>
                <w:sz w:val="24"/>
                <w:szCs w:val="24"/>
                <w:lang w:val="en-US" w:eastAsia="zh-CN" w:bidi="ar"/>
                <w14:textFill>
                  <w14:solidFill>
                    <w14:schemeClr w14:val="tx1"/>
                  </w14:solidFill>
                </w14:textFill>
              </w:rPr>
              <w:t>20%</w:t>
            </w:r>
          </w:p>
        </w:tc>
      </w:tr>
      <w:tr>
        <w:tblPrEx>
          <w:tblCellMar>
            <w:top w:w="17" w:type="dxa"/>
            <w:left w:w="57" w:type="dxa"/>
            <w:bottom w:w="17" w:type="dxa"/>
            <w:right w:w="57" w:type="dxa"/>
          </w:tblCellMar>
        </w:tblPrEx>
        <w:trPr>
          <w:trHeight w:val="23"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12</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311201042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单精子注射</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将优选处理后精子注射进卵母细胞，促进形成胚胎。所定价格涵盖将精子制动、吸入，注入卵母细胞胞浆等过程中的人力资源和基本物质资源消耗。</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000000" w:themeColor="text1"/>
                <w:sz w:val="24"/>
                <w:szCs w:val="24"/>
                <w14:textFill>
                  <w14:solidFill>
                    <w14:schemeClr w14:val="tx1"/>
                  </w14:solidFill>
                </w14:textFill>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次</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spacing w:val="-3"/>
                <w:sz w:val="25"/>
                <w:szCs w:val="25"/>
              </w:rPr>
              <w:t>2</w:t>
            </w:r>
            <w:r>
              <w:rPr>
                <w:rFonts w:hint="eastAsia"/>
                <w:spacing w:val="-3"/>
                <w:sz w:val="25"/>
                <w:szCs w:val="25"/>
                <w:lang w:val="en-US" w:eastAsia="zh-CN"/>
              </w:rPr>
              <w:t>650</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宋体"/>
                <w:sz w:val="24"/>
                <w:szCs w:val="24"/>
              </w:rPr>
            </w:pPr>
            <w:r>
              <w:rPr>
                <w:rFonts w:hint="eastAsia" w:ascii="仿宋_GB2312" w:hAnsi="仿宋_GB2312" w:eastAsia="仿宋_GB2312" w:cs="仿宋_GB2312"/>
                <w:sz w:val="24"/>
                <w:szCs w:val="24"/>
              </w:rPr>
              <w:t>卵子激活加收</w:t>
            </w:r>
            <w:r>
              <w:rPr>
                <w:rFonts w:hint="eastAsia" w:ascii="仿宋_GB2312" w:hAnsi="仿宋_GB2312" w:eastAsia="仿宋_GB2312" w:cs="仿宋_GB2312"/>
                <w:sz w:val="24"/>
                <w:szCs w:val="24"/>
                <w:lang w:val="en-US" w:eastAsia="zh-CN"/>
              </w:rPr>
              <w:t>750</w:t>
            </w:r>
            <w:r>
              <w:rPr>
                <w:rFonts w:hint="eastAsia" w:ascii="仿宋_GB2312" w:hAnsi="仿宋_GB2312" w:eastAsia="仿宋_GB2312" w:cs="仿宋_GB2312"/>
                <w:sz w:val="24"/>
                <w:szCs w:val="24"/>
              </w:rPr>
              <w:t>元。注射卵子数量大于20枚的，加收20%</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szCs w:val="24"/>
                <w:lang w:bidi="ar"/>
                <w14:textFill>
                  <w14:solidFill>
                    <w14:schemeClr w14:val="tx1"/>
                  </w14:solidFill>
                </w14:textFill>
              </w:rPr>
            </w:pPr>
            <w:r>
              <w:rPr>
                <w:rFonts w:eastAsia="仿宋_GB2312"/>
                <w:color w:val="000000" w:themeColor="text1"/>
                <w:kern w:val="0"/>
                <w:sz w:val="24"/>
                <w:szCs w:val="24"/>
                <w:lang w:bidi="ar"/>
                <w14:textFill>
                  <w14:solidFill>
                    <w14:schemeClr w14:val="tx1"/>
                  </w14:solidFill>
                </w14:textFill>
              </w:rPr>
              <w:t>是</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仿宋_GB2312"/>
                <w:color w:val="000000" w:themeColor="text1"/>
                <w:kern w:val="0"/>
                <w:sz w:val="24"/>
                <w:szCs w:val="24"/>
                <w:lang w:val="en-US" w:eastAsia="zh-CN" w:bidi="ar"/>
                <w14:textFill>
                  <w14:solidFill>
                    <w14:schemeClr w14:val="tx1"/>
                  </w14:solidFill>
                </w14:textFill>
              </w:rPr>
            </w:pPr>
            <w:r>
              <w:rPr>
                <w:rFonts w:hint="eastAsia" w:eastAsia="仿宋_GB2312"/>
                <w:color w:val="000000" w:themeColor="text1"/>
                <w:kern w:val="0"/>
                <w:sz w:val="24"/>
                <w:szCs w:val="24"/>
                <w:lang w:val="en-US" w:eastAsia="zh-CN" w:bidi="ar"/>
                <w14:textFill>
                  <w14:solidFill>
                    <w14:schemeClr w14:val="tx1"/>
                  </w14:solidFill>
                </w14:textFill>
              </w:rPr>
              <w:t>20%</w:t>
            </w:r>
          </w:p>
        </w:tc>
      </w:tr>
    </w:tbl>
    <w:p>
      <w:pPr>
        <w:spacing w:line="293" w:lineRule="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仿宋_GB2312"/>
          <w:sz w:val="24"/>
          <w:szCs w:val="32"/>
        </w:rPr>
      </w:pPr>
      <w:r>
        <w:rPr>
          <w:rFonts w:eastAsia="仿宋_GB2312"/>
          <w:sz w:val="24"/>
          <w:szCs w:val="32"/>
        </w:rPr>
        <w:t>说明：</w:t>
      </w:r>
      <w:r>
        <w:rPr>
          <w:rFonts w:eastAsia="仿宋_GB2312"/>
          <w:sz w:val="24"/>
          <w:szCs w:val="32"/>
        </w:rPr>
        <w:cr/>
      </w:r>
      <w:r>
        <w:rPr>
          <w:rFonts w:eastAsia="仿宋_GB2312"/>
          <w:sz w:val="24"/>
          <w:szCs w:val="32"/>
        </w:rPr>
        <w:t>1.本表所指组织/体液/细胞，主要指卵母细胞（极体）、胚胎、囊胚、精液、精子等与辅助生殖相关。</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仿宋_GB2312"/>
          <w:sz w:val="24"/>
          <w:szCs w:val="32"/>
        </w:rPr>
      </w:pPr>
      <w:r>
        <w:rPr>
          <w:rFonts w:eastAsia="仿宋_GB2312"/>
          <w:sz w:val="24"/>
          <w:szCs w:val="32"/>
        </w:rPr>
        <w:t>2.本表所称</w:t>
      </w:r>
      <w:r>
        <w:rPr>
          <w:rFonts w:hint="eastAsia" w:eastAsia="仿宋_GB2312"/>
          <w:sz w:val="24"/>
          <w:szCs w:val="32"/>
        </w:rPr>
        <w:t>“</w:t>
      </w:r>
      <w:r>
        <w:rPr>
          <w:rFonts w:eastAsia="仿宋_GB2312"/>
          <w:sz w:val="24"/>
          <w:szCs w:val="32"/>
        </w:rPr>
        <w:t>项目内涵</w:t>
      </w:r>
      <w:r>
        <w:rPr>
          <w:rFonts w:hint="eastAsia" w:eastAsia="仿宋_GB2312"/>
          <w:sz w:val="24"/>
          <w:szCs w:val="32"/>
        </w:rPr>
        <w:t>”</w:t>
      </w:r>
      <w:r>
        <w:rPr>
          <w:rFonts w:eastAsia="仿宋_GB2312"/>
          <w:sz w:val="24"/>
          <w:szCs w:val="32"/>
        </w:rPr>
        <w:t>，指医疗机构提供医疗服务时，用于确定计价单元的边界，不应作为临床技术标准理解，不是手术实际操作方式、路径、步骤、程序的强制性要求。</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仿宋_GB2312"/>
          <w:sz w:val="24"/>
          <w:szCs w:val="32"/>
        </w:rPr>
      </w:pPr>
      <w:r>
        <w:rPr>
          <w:rFonts w:eastAsia="仿宋_GB2312"/>
          <w:sz w:val="24"/>
          <w:szCs w:val="32"/>
        </w:rPr>
        <w:t>3.本表项目内涵中所称</w:t>
      </w:r>
      <w:r>
        <w:rPr>
          <w:rFonts w:hint="eastAsia" w:eastAsia="仿宋_GB2312"/>
          <w:sz w:val="24"/>
          <w:szCs w:val="32"/>
        </w:rPr>
        <w:t>“</w:t>
      </w:r>
      <w:r>
        <w:rPr>
          <w:rFonts w:eastAsia="仿宋_GB2312"/>
          <w:sz w:val="24"/>
          <w:szCs w:val="32"/>
        </w:rPr>
        <w:t>基本物耗</w:t>
      </w:r>
      <w:r>
        <w:rPr>
          <w:rFonts w:hint="eastAsia" w:eastAsia="仿宋_GB2312"/>
          <w:sz w:val="24"/>
          <w:szCs w:val="32"/>
        </w:rPr>
        <w:t>”</w:t>
      </w:r>
      <w:r>
        <w:rPr>
          <w:rFonts w:eastAsia="仿宋_GB2312"/>
          <w:sz w:val="24"/>
          <w:szCs w:val="32"/>
        </w:rPr>
        <w:t>指原则上限于不应或不必要与医疗服务项目分割的易耗品，包括但不限于各类消杀用品、储存用品、清洁用品、个人防护用品、垃圾处理用品、培养液、冷冻保护液、冷冻液、解冻液、辅助生殖用液、试管、载杆载体辅助生殖器皿及装置、冲洗液、润滑剂、灌洗液、棉球、棉签、纱布（垫）、护垫、衬垫、手术巾（单）、治疗巾（单）、治疗护理盘(包）、注射器、滑石粉、防渗漏垫、标签、可复用的操作器具、冲洗工具。基本物耗成本计入项目价格，不另行收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仿宋_GB2312"/>
          <w:sz w:val="24"/>
          <w:szCs w:val="32"/>
        </w:rPr>
      </w:pPr>
      <w:r>
        <w:rPr>
          <w:rFonts w:eastAsia="仿宋_GB2312"/>
          <w:sz w:val="24"/>
          <w:szCs w:val="32"/>
        </w:rPr>
        <w:t>4.本表内</w:t>
      </w:r>
      <w:r>
        <w:rPr>
          <w:rFonts w:hint="eastAsia" w:eastAsia="仿宋_GB2312"/>
          <w:sz w:val="24"/>
          <w:szCs w:val="32"/>
        </w:rPr>
        <w:t>“</w:t>
      </w:r>
      <w:r>
        <w:rPr>
          <w:rFonts w:eastAsia="仿宋_GB2312"/>
          <w:sz w:val="24"/>
          <w:szCs w:val="32"/>
        </w:rPr>
        <w:t>组织/体液/细胞冷冻（或冷冻续存）</w:t>
      </w:r>
      <w:r>
        <w:rPr>
          <w:rFonts w:hint="eastAsia" w:eastAsia="仿宋_GB2312"/>
          <w:sz w:val="24"/>
          <w:szCs w:val="32"/>
        </w:rPr>
        <w:t>”</w:t>
      </w:r>
      <w:r>
        <w:rPr>
          <w:rFonts w:eastAsia="仿宋_GB2312"/>
          <w:sz w:val="24"/>
          <w:szCs w:val="32"/>
        </w:rPr>
        <w:t>项目中，</w:t>
      </w:r>
      <w:r>
        <w:rPr>
          <w:rFonts w:hint="eastAsia" w:eastAsia="仿宋_GB2312"/>
          <w:sz w:val="24"/>
          <w:szCs w:val="32"/>
        </w:rPr>
        <w:t>“</w:t>
      </w:r>
      <w:r>
        <w:rPr>
          <w:rFonts w:eastAsia="仿宋_GB2312"/>
          <w:sz w:val="24"/>
          <w:szCs w:val="32"/>
        </w:rPr>
        <w:t>解冻复苏</w:t>
      </w:r>
      <w:r>
        <w:rPr>
          <w:rFonts w:hint="eastAsia" w:eastAsia="仿宋_GB2312"/>
          <w:sz w:val="24"/>
          <w:szCs w:val="32"/>
        </w:rPr>
        <w:t>”</w:t>
      </w:r>
      <w:r>
        <w:rPr>
          <w:rFonts w:eastAsia="仿宋_GB2312"/>
          <w:sz w:val="24"/>
          <w:szCs w:val="32"/>
        </w:rPr>
        <w:t>指卵母细胞（极体）、精液、精子等与辅助生殖相关的解冻复苏，不包含胚胎、囊胚的解冻操作；</w:t>
      </w:r>
      <w:r>
        <w:rPr>
          <w:rFonts w:hint="eastAsia" w:eastAsia="仿宋_GB2312"/>
          <w:sz w:val="24"/>
          <w:szCs w:val="32"/>
        </w:rPr>
        <w:t>“</w:t>
      </w:r>
      <w:r>
        <w:rPr>
          <w:rFonts w:eastAsia="仿宋_GB2312"/>
          <w:sz w:val="24"/>
          <w:szCs w:val="32"/>
        </w:rPr>
        <w:t>管</w:t>
      </w:r>
      <w:r>
        <w:rPr>
          <w:rFonts w:hint="eastAsia" w:eastAsia="仿宋_GB2312"/>
          <w:sz w:val="24"/>
          <w:szCs w:val="32"/>
        </w:rPr>
        <w:t>”</w:t>
      </w:r>
      <w:r>
        <w:rPr>
          <w:rFonts w:eastAsia="仿宋_GB2312"/>
          <w:sz w:val="24"/>
          <w:szCs w:val="32"/>
        </w:rPr>
        <w:t>指包括但不限于用于装载辅助生殖组织、体液或细胞所需的试管、载杆等载体。</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仿宋_GB2312"/>
          <w:sz w:val="24"/>
          <w:szCs w:val="32"/>
        </w:rPr>
      </w:pPr>
      <w:r>
        <w:rPr>
          <w:rFonts w:eastAsia="仿宋_GB2312"/>
          <w:sz w:val="24"/>
          <w:szCs w:val="32"/>
        </w:rPr>
        <w:t>5.本表所列</w:t>
      </w:r>
      <w:r>
        <w:rPr>
          <w:rFonts w:hint="eastAsia" w:eastAsia="仿宋_GB2312"/>
          <w:sz w:val="24"/>
          <w:szCs w:val="32"/>
        </w:rPr>
        <w:t>“</w:t>
      </w:r>
      <w:r>
        <w:rPr>
          <w:rFonts w:eastAsia="仿宋_GB2312"/>
          <w:sz w:val="24"/>
          <w:szCs w:val="32"/>
        </w:rPr>
        <w:t>取精术</w:t>
      </w:r>
      <w:r>
        <w:rPr>
          <w:rFonts w:hint="eastAsia" w:eastAsia="仿宋_GB2312"/>
          <w:sz w:val="24"/>
          <w:szCs w:val="32"/>
        </w:rPr>
        <w:t>”</w:t>
      </w:r>
      <w:r>
        <w:rPr>
          <w:rFonts w:eastAsia="仿宋_GB2312"/>
          <w:sz w:val="24"/>
          <w:szCs w:val="32"/>
        </w:rPr>
        <w:t>加收项</w:t>
      </w:r>
      <w:r>
        <w:rPr>
          <w:rFonts w:hint="eastAsia" w:eastAsia="仿宋_GB2312"/>
          <w:sz w:val="24"/>
          <w:szCs w:val="32"/>
        </w:rPr>
        <w:t>“</w:t>
      </w:r>
      <w:r>
        <w:rPr>
          <w:rFonts w:eastAsia="仿宋_GB2312"/>
          <w:sz w:val="24"/>
          <w:szCs w:val="32"/>
        </w:rPr>
        <w:t>显微镜下操作</w:t>
      </w:r>
      <w:r>
        <w:rPr>
          <w:rFonts w:hint="eastAsia" w:eastAsia="仿宋_GB2312"/>
          <w:sz w:val="24"/>
          <w:szCs w:val="32"/>
        </w:rPr>
        <w:t>”</w:t>
      </w:r>
      <w:r>
        <w:rPr>
          <w:rFonts w:eastAsia="仿宋_GB2312"/>
          <w:sz w:val="24"/>
          <w:szCs w:val="32"/>
        </w:rPr>
        <w:t>指在显微镜下完成切开睾丸/附睾获取精子的操作过程。</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仿宋_GB2312"/>
          <w:sz w:val="24"/>
          <w:szCs w:val="32"/>
        </w:rPr>
      </w:pPr>
      <w:r>
        <w:rPr>
          <w:rFonts w:eastAsia="仿宋_GB2312"/>
          <w:sz w:val="24"/>
          <w:szCs w:val="32"/>
        </w:rPr>
        <w:t>6.项目内涵中所列</w:t>
      </w:r>
      <w:r>
        <w:rPr>
          <w:rFonts w:hint="eastAsia" w:eastAsia="仿宋_GB2312"/>
          <w:sz w:val="24"/>
          <w:szCs w:val="32"/>
        </w:rPr>
        <w:t>“</w:t>
      </w:r>
      <w:r>
        <w:rPr>
          <w:rFonts w:eastAsia="仿宋_GB2312"/>
          <w:sz w:val="24"/>
          <w:szCs w:val="32"/>
        </w:rPr>
        <w:t>穿刺</w:t>
      </w:r>
      <w:r>
        <w:rPr>
          <w:rFonts w:hint="eastAsia" w:eastAsia="仿宋_GB2312"/>
          <w:sz w:val="24"/>
          <w:szCs w:val="32"/>
        </w:rPr>
        <w:t>”</w:t>
      </w:r>
      <w:r>
        <w:rPr>
          <w:rFonts w:eastAsia="仿宋_GB2312"/>
          <w:sz w:val="24"/>
          <w:szCs w:val="32"/>
        </w:rPr>
        <w:t>为主项操作涉及的必要穿刺技术。</w:t>
      </w:r>
    </w:p>
    <w:p>
      <w:r>
        <w:rPr>
          <w:rFonts w:eastAsia="仿宋_GB2312"/>
          <w:sz w:val="24"/>
          <w:szCs w:val="32"/>
        </w:rPr>
        <w:t>7.项目编码已经存在的现有项目，按本表内容执行。</w:t>
      </w:r>
    </w:p>
    <w:p>
      <w:pPr>
        <w:spacing w:before="65"/>
        <w:rPr>
          <w:rFonts w:hint="eastAsia" w:ascii="仿宋_GB2312" w:hAnsi="仿宋_GB2312" w:eastAsia="仿宋_GB2312" w:cs="仿宋_GB2312"/>
          <w:sz w:val="24"/>
          <w:szCs w:val="24"/>
        </w:rPr>
      </w:pPr>
    </w:p>
    <w:p>
      <w:pPr>
        <w:spacing w:before="65"/>
        <w:rPr>
          <w:rFonts w:hint="eastAsia" w:ascii="仿宋_GB2312" w:hAnsi="仿宋_GB2312" w:eastAsia="仿宋_GB2312" w:cs="仿宋_GB2312"/>
          <w:sz w:val="24"/>
          <w:szCs w:val="24"/>
        </w:rPr>
      </w:pPr>
    </w:p>
    <w:p>
      <w:pPr>
        <w:rPr>
          <w:rFonts w:ascii="Arial" w:hAnsi="Arial" w:eastAsia="Arial" w:cs="Arial"/>
          <w:sz w:val="21"/>
          <w:szCs w:val="21"/>
        </w:rPr>
        <w:sectPr>
          <w:footerReference r:id="rId4" w:type="default"/>
          <w:pgSz w:w="16990" w:h="12130"/>
          <w:pgMar w:top="1031" w:right="1314" w:bottom="1322" w:left="1575" w:header="0" w:footer="1007" w:gutter="0"/>
          <w:pgNumType w:fmt="decimal" w:chapStyle="1"/>
          <w:cols w:space="720" w:num="1"/>
        </w:sectPr>
      </w:pPr>
    </w:p>
    <w:p>
      <w:pPr>
        <w:rPr>
          <w:rFonts w:hint="eastAsia" w:ascii="黑体" w:hAnsi="黑体" w:eastAsia="黑体" w:cs="黑体"/>
          <w:sz w:val="32"/>
          <w:szCs w:val="32"/>
        </w:rPr>
      </w:pPr>
      <w:r>
        <w:rPr>
          <w:rFonts w:hint="eastAsia" w:ascii="黑体" w:hAnsi="黑体" w:eastAsia="黑体" w:cs="黑体"/>
          <w:sz w:val="32"/>
          <w:szCs w:val="32"/>
        </w:rPr>
        <w:t>附件2</w:t>
      </w:r>
    </w:p>
    <w:p>
      <w:pPr>
        <w:spacing w:line="336" w:lineRule="auto"/>
        <w:rPr>
          <w:rFonts w:ascii="Arial"/>
          <w:sz w:val="21"/>
        </w:rPr>
      </w:pPr>
    </w:p>
    <w:p>
      <w:pPr>
        <w:spacing w:before="158" w:beforeLines="50" w:after="158" w:afterLines="50" w:line="640" w:lineRule="exact"/>
        <w:jc w:val="center"/>
        <w:rPr>
          <w:rFonts w:eastAsia="方正小标宋简体"/>
          <w:bCs/>
          <w:sz w:val="44"/>
          <w:szCs w:val="44"/>
        </w:rPr>
      </w:pPr>
      <w:r>
        <w:rPr>
          <w:rFonts w:hint="eastAsia" w:eastAsia="方正小标宋简体"/>
          <w:bCs/>
          <w:sz w:val="44"/>
          <w:szCs w:val="44"/>
          <w:lang w:eastAsia="zh-CN"/>
        </w:rPr>
        <w:t>济宁市</w:t>
      </w:r>
      <w:r>
        <w:rPr>
          <w:rFonts w:eastAsia="方正小标宋简体"/>
          <w:bCs/>
          <w:sz w:val="44"/>
          <w:szCs w:val="44"/>
        </w:rPr>
        <w:t>公立医疗机构部分医疗服务项目价格修订表</w:t>
      </w:r>
    </w:p>
    <w:p>
      <w:pPr>
        <w:spacing w:before="32"/>
      </w:pPr>
    </w:p>
    <w:p>
      <w:pPr>
        <w:spacing w:before="32"/>
      </w:pPr>
    </w:p>
    <w:tbl>
      <w:tblPr>
        <w:tblStyle w:val="10"/>
        <w:tblW w:w="14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1579"/>
        <w:gridCol w:w="2748"/>
        <w:gridCol w:w="1719"/>
        <w:gridCol w:w="1399"/>
        <w:gridCol w:w="1369"/>
        <w:gridCol w:w="1958"/>
        <w:gridCol w:w="2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04" w:type="dxa"/>
            <w:vAlign w:val="top"/>
          </w:tcPr>
          <w:p>
            <w:pPr>
              <w:pStyle w:val="9"/>
              <w:spacing w:before="203" w:line="221" w:lineRule="auto"/>
              <w:ind w:left="128"/>
              <w:rPr>
                <w:rFonts w:ascii="Times New Roman" w:hAnsi="Times New Roman" w:eastAsia="仿宋_GB2312" w:cs="Times New Roman"/>
                <w:b/>
                <w:bCs/>
                <w:color w:val="000000" w:themeColor="text1"/>
                <w:kern w:val="2"/>
                <w:sz w:val="28"/>
                <w:szCs w:val="28"/>
                <w:lang w:val="en-US" w:eastAsia="zh-CN" w:bidi="ar-SA"/>
                <w14:textFill>
                  <w14:solidFill>
                    <w14:schemeClr w14:val="tx1"/>
                  </w14:solidFill>
                </w14:textFill>
              </w:rPr>
            </w:pPr>
            <w:r>
              <w:rPr>
                <w:rFonts w:ascii="Times New Roman" w:hAnsi="Times New Roman" w:eastAsia="仿宋_GB2312" w:cs="Times New Roman"/>
                <w:b/>
                <w:bCs/>
                <w:color w:val="000000" w:themeColor="text1"/>
                <w:kern w:val="2"/>
                <w:sz w:val="28"/>
                <w:szCs w:val="28"/>
                <w:lang w:val="en-US" w:eastAsia="zh-CN" w:bidi="ar-SA"/>
                <w14:textFill>
                  <w14:solidFill>
                    <w14:schemeClr w14:val="tx1"/>
                  </w14:solidFill>
                </w14:textFill>
              </w:rPr>
              <w:t>序号</w:t>
            </w:r>
          </w:p>
        </w:tc>
        <w:tc>
          <w:tcPr>
            <w:tcW w:w="1579" w:type="dxa"/>
            <w:vAlign w:val="top"/>
          </w:tcPr>
          <w:p>
            <w:pPr>
              <w:pStyle w:val="9"/>
              <w:spacing w:before="202" w:line="219" w:lineRule="auto"/>
              <w:ind w:left="244"/>
              <w:rPr>
                <w:rFonts w:ascii="Times New Roman" w:hAnsi="Times New Roman" w:eastAsia="仿宋_GB2312" w:cs="Times New Roman"/>
                <w:b/>
                <w:bCs/>
                <w:color w:val="000000" w:themeColor="text1"/>
                <w:kern w:val="2"/>
                <w:sz w:val="28"/>
                <w:szCs w:val="28"/>
                <w:lang w:val="en-US" w:eastAsia="zh-CN" w:bidi="ar-SA"/>
                <w14:textFill>
                  <w14:solidFill>
                    <w14:schemeClr w14:val="tx1"/>
                  </w14:solidFill>
                </w14:textFill>
              </w:rPr>
            </w:pPr>
            <w:r>
              <w:rPr>
                <w:rFonts w:ascii="Times New Roman" w:hAnsi="Times New Roman" w:eastAsia="仿宋_GB2312" w:cs="Times New Roman"/>
                <w:b/>
                <w:bCs/>
                <w:color w:val="000000" w:themeColor="text1"/>
                <w:kern w:val="2"/>
                <w:sz w:val="28"/>
                <w:szCs w:val="28"/>
                <w:lang w:val="en-US" w:eastAsia="zh-CN" w:bidi="ar-SA"/>
                <w14:textFill>
                  <w14:solidFill>
                    <w14:schemeClr w14:val="tx1"/>
                  </w14:solidFill>
                </w14:textFill>
              </w:rPr>
              <w:t>项目编码</w:t>
            </w:r>
          </w:p>
        </w:tc>
        <w:tc>
          <w:tcPr>
            <w:tcW w:w="2748" w:type="dxa"/>
            <w:vAlign w:val="top"/>
          </w:tcPr>
          <w:p>
            <w:pPr>
              <w:pStyle w:val="9"/>
              <w:spacing w:before="203" w:line="220" w:lineRule="auto"/>
              <w:ind w:left="785"/>
              <w:rPr>
                <w:rFonts w:ascii="Times New Roman" w:hAnsi="Times New Roman" w:eastAsia="仿宋_GB2312" w:cs="Times New Roman"/>
                <w:b/>
                <w:bCs/>
                <w:color w:val="000000" w:themeColor="text1"/>
                <w:kern w:val="2"/>
                <w:sz w:val="28"/>
                <w:szCs w:val="28"/>
                <w:lang w:val="en-US" w:eastAsia="zh-CN" w:bidi="ar-SA"/>
                <w14:textFill>
                  <w14:solidFill>
                    <w14:schemeClr w14:val="tx1"/>
                  </w14:solidFill>
                </w14:textFill>
              </w:rPr>
            </w:pPr>
            <w:r>
              <w:rPr>
                <w:rFonts w:ascii="Times New Roman" w:hAnsi="Times New Roman" w:eastAsia="仿宋_GB2312" w:cs="Times New Roman"/>
                <w:b/>
                <w:bCs/>
                <w:color w:val="000000" w:themeColor="text1"/>
                <w:kern w:val="2"/>
                <w:sz w:val="28"/>
                <w:szCs w:val="28"/>
                <w:lang w:val="en-US" w:eastAsia="zh-CN" w:bidi="ar-SA"/>
                <w14:textFill>
                  <w14:solidFill>
                    <w14:schemeClr w14:val="tx1"/>
                  </w14:solidFill>
                </w14:textFill>
              </w:rPr>
              <w:t>项目名称</w:t>
            </w:r>
          </w:p>
        </w:tc>
        <w:tc>
          <w:tcPr>
            <w:tcW w:w="1719" w:type="dxa"/>
            <w:vAlign w:val="top"/>
          </w:tcPr>
          <w:p>
            <w:pPr>
              <w:pStyle w:val="9"/>
              <w:spacing w:before="202" w:line="219" w:lineRule="auto"/>
              <w:ind w:left="357"/>
              <w:rPr>
                <w:rFonts w:ascii="Times New Roman" w:hAnsi="Times New Roman" w:eastAsia="仿宋_GB2312" w:cs="Times New Roman"/>
                <w:b/>
                <w:bCs/>
                <w:color w:val="000000" w:themeColor="text1"/>
                <w:kern w:val="2"/>
                <w:sz w:val="28"/>
                <w:szCs w:val="28"/>
                <w:lang w:val="en-US" w:eastAsia="zh-CN" w:bidi="ar-SA"/>
                <w14:textFill>
                  <w14:solidFill>
                    <w14:schemeClr w14:val="tx1"/>
                  </w14:solidFill>
                </w14:textFill>
              </w:rPr>
            </w:pPr>
            <w:r>
              <w:rPr>
                <w:rFonts w:ascii="Times New Roman" w:hAnsi="Times New Roman" w:eastAsia="仿宋_GB2312" w:cs="Times New Roman"/>
                <w:b/>
                <w:bCs/>
                <w:color w:val="000000" w:themeColor="text1"/>
                <w:kern w:val="2"/>
                <w:sz w:val="28"/>
                <w:szCs w:val="28"/>
                <w:lang w:val="en-US" w:eastAsia="zh-CN" w:bidi="ar-SA"/>
                <w14:textFill>
                  <w14:solidFill>
                    <w14:schemeClr w14:val="tx1"/>
                  </w14:solidFill>
                </w14:textFill>
              </w:rPr>
              <w:t>项目内涵</w:t>
            </w:r>
          </w:p>
        </w:tc>
        <w:tc>
          <w:tcPr>
            <w:tcW w:w="1399" w:type="dxa"/>
            <w:vAlign w:val="top"/>
          </w:tcPr>
          <w:p>
            <w:pPr>
              <w:pStyle w:val="9"/>
              <w:spacing w:before="202" w:line="219" w:lineRule="auto"/>
              <w:ind w:left="148"/>
              <w:rPr>
                <w:rFonts w:ascii="Times New Roman" w:hAnsi="Times New Roman" w:eastAsia="仿宋_GB2312" w:cs="Times New Roman"/>
                <w:b/>
                <w:bCs/>
                <w:color w:val="000000" w:themeColor="text1"/>
                <w:kern w:val="2"/>
                <w:sz w:val="28"/>
                <w:szCs w:val="28"/>
                <w:lang w:val="en-US" w:eastAsia="zh-CN" w:bidi="ar-SA"/>
                <w14:textFill>
                  <w14:solidFill>
                    <w14:schemeClr w14:val="tx1"/>
                  </w14:solidFill>
                </w14:textFill>
              </w:rPr>
            </w:pPr>
            <w:r>
              <w:rPr>
                <w:rFonts w:ascii="Times New Roman" w:hAnsi="Times New Roman" w:eastAsia="仿宋_GB2312" w:cs="Times New Roman"/>
                <w:b/>
                <w:bCs/>
                <w:color w:val="000000" w:themeColor="text1"/>
                <w:kern w:val="2"/>
                <w:sz w:val="28"/>
                <w:szCs w:val="28"/>
                <w:lang w:val="en-US" w:eastAsia="zh-CN" w:bidi="ar-SA"/>
                <w14:textFill>
                  <w14:solidFill>
                    <w14:schemeClr w14:val="tx1"/>
                  </w14:solidFill>
                </w14:textFill>
              </w:rPr>
              <w:t>除外内容</w:t>
            </w:r>
          </w:p>
        </w:tc>
        <w:tc>
          <w:tcPr>
            <w:tcW w:w="1369" w:type="dxa"/>
            <w:vAlign w:val="top"/>
          </w:tcPr>
          <w:p>
            <w:pPr>
              <w:pStyle w:val="9"/>
              <w:spacing w:before="199" w:line="218" w:lineRule="auto"/>
              <w:ind w:left="139"/>
              <w:rPr>
                <w:rFonts w:ascii="Times New Roman" w:hAnsi="Times New Roman" w:eastAsia="仿宋_GB2312" w:cs="Times New Roman"/>
                <w:b/>
                <w:bCs/>
                <w:color w:val="000000" w:themeColor="text1"/>
                <w:kern w:val="2"/>
                <w:sz w:val="28"/>
                <w:szCs w:val="28"/>
                <w:lang w:val="en-US" w:eastAsia="zh-CN" w:bidi="ar-SA"/>
                <w14:textFill>
                  <w14:solidFill>
                    <w14:schemeClr w14:val="tx1"/>
                  </w14:solidFill>
                </w14:textFill>
              </w:rPr>
            </w:pPr>
            <w:r>
              <w:rPr>
                <w:rFonts w:ascii="Times New Roman" w:hAnsi="Times New Roman" w:eastAsia="仿宋_GB2312" w:cs="Times New Roman"/>
                <w:b/>
                <w:bCs/>
                <w:color w:val="000000" w:themeColor="text1"/>
                <w:kern w:val="2"/>
                <w:sz w:val="28"/>
                <w:szCs w:val="28"/>
                <w:lang w:val="en-US" w:eastAsia="zh-CN" w:bidi="ar-SA"/>
                <w14:textFill>
                  <w14:solidFill>
                    <w14:schemeClr w14:val="tx1"/>
                  </w14:solidFill>
                </w14:textFill>
              </w:rPr>
              <w:t>计价单位</w:t>
            </w:r>
          </w:p>
        </w:tc>
        <w:tc>
          <w:tcPr>
            <w:tcW w:w="1958" w:type="dxa"/>
            <w:vAlign w:val="top"/>
          </w:tcPr>
          <w:p>
            <w:pPr>
              <w:pStyle w:val="9"/>
              <w:spacing w:before="199" w:line="218" w:lineRule="auto"/>
              <w:ind w:left="710"/>
              <w:rPr>
                <w:rFonts w:ascii="Times New Roman" w:hAnsi="Times New Roman" w:eastAsia="仿宋_GB2312" w:cs="Times New Roman"/>
                <w:b/>
                <w:bCs/>
                <w:color w:val="000000" w:themeColor="text1"/>
                <w:kern w:val="2"/>
                <w:sz w:val="28"/>
                <w:szCs w:val="28"/>
                <w:lang w:val="en-US" w:eastAsia="zh-CN" w:bidi="ar-SA"/>
                <w14:textFill>
                  <w14:solidFill>
                    <w14:schemeClr w14:val="tx1"/>
                  </w14:solidFill>
                </w14:textFill>
              </w:rPr>
            </w:pPr>
            <w:r>
              <w:rPr>
                <w:rFonts w:ascii="Times New Roman" w:hAnsi="Times New Roman" w:eastAsia="仿宋_GB2312" w:cs="Times New Roman"/>
                <w:b/>
                <w:bCs/>
                <w:color w:val="000000" w:themeColor="text1"/>
                <w:kern w:val="2"/>
                <w:sz w:val="28"/>
                <w:szCs w:val="28"/>
                <w:lang w:val="en-US" w:eastAsia="zh-CN" w:bidi="ar-SA"/>
                <w14:textFill>
                  <w14:solidFill>
                    <w14:schemeClr w14:val="tx1"/>
                  </w14:solidFill>
                </w14:textFill>
              </w:rPr>
              <w:t>价格</w:t>
            </w:r>
          </w:p>
        </w:tc>
        <w:tc>
          <w:tcPr>
            <w:tcW w:w="2463" w:type="dxa"/>
            <w:vAlign w:val="top"/>
          </w:tcPr>
          <w:p>
            <w:pPr>
              <w:pStyle w:val="9"/>
              <w:spacing w:before="202" w:line="219" w:lineRule="auto"/>
              <w:ind w:left="952"/>
              <w:rPr>
                <w:rFonts w:ascii="Times New Roman" w:hAnsi="Times New Roman" w:eastAsia="仿宋_GB2312" w:cs="Times New Roman"/>
                <w:b/>
                <w:bCs/>
                <w:color w:val="000000" w:themeColor="text1"/>
                <w:kern w:val="2"/>
                <w:sz w:val="28"/>
                <w:szCs w:val="28"/>
                <w:lang w:val="en-US" w:eastAsia="zh-CN" w:bidi="ar-SA"/>
                <w14:textFill>
                  <w14:solidFill>
                    <w14:schemeClr w14:val="tx1"/>
                  </w14:solidFill>
                </w14:textFill>
              </w:rPr>
            </w:pPr>
            <w:r>
              <w:rPr>
                <w:rFonts w:ascii="Times New Roman" w:hAnsi="Times New Roman" w:eastAsia="仿宋_GB2312" w:cs="Times New Roman"/>
                <w:b/>
                <w:bCs/>
                <w:color w:val="000000" w:themeColor="text1"/>
                <w:kern w:val="2"/>
                <w:sz w:val="28"/>
                <w:szCs w:val="28"/>
                <w:lang w:val="en-US" w:eastAsia="zh-CN" w:bidi="ar-SA"/>
                <w14:textFill>
                  <w14:solidFill>
                    <w14:schemeClr w14:val="tx1"/>
                  </w14:solidFill>
                </w14:textFill>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04" w:type="dxa"/>
            <w:vAlign w:val="top"/>
          </w:tcPr>
          <w:p>
            <w:pPr>
              <w:pStyle w:val="9"/>
              <w:spacing w:before="274" w:line="184" w:lineRule="auto"/>
              <w:ind w:left="328"/>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3"/>
                <w:sz w:val="24"/>
                <w:szCs w:val="24"/>
              </w:rPr>
              <w:t>1</w:t>
            </w:r>
          </w:p>
        </w:tc>
        <w:tc>
          <w:tcPr>
            <w:tcW w:w="1579" w:type="dxa"/>
            <w:vAlign w:val="top"/>
          </w:tcPr>
          <w:p>
            <w:pPr>
              <w:pStyle w:val="9"/>
              <w:spacing w:before="272" w:line="184" w:lineRule="auto"/>
              <w:ind w:left="174"/>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5"/>
                <w:sz w:val="24"/>
                <w:szCs w:val="24"/>
              </w:rPr>
              <w:t>311100006</w:t>
            </w:r>
          </w:p>
        </w:tc>
        <w:tc>
          <w:tcPr>
            <w:tcW w:w="2748" w:type="dxa"/>
            <w:vAlign w:val="top"/>
          </w:tcPr>
          <w:p>
            <w:pPr>
              <w:pStyle w:val="9"/>
              <w:spacing w:before="202" w:line="219"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9"/>
                <w:sz w:val="24"/>
                <w:szCs w:val="24"/>
              </w:rPr>
              <w:t>睾丸阴茎海绵体活检术</w:t>
            </w:r>
          </w:p>
        </w:tc>
        <w:tc>
          <w:tcPr>
            <w:tcW w:w="1719" w:type="dxa"/>
            <w:vAlign w:val="top"/>
          </w:tcPr>
          <w:p>
            <w:pPr>
              <w:pStyle w:val="9"/>
              <w:spacing w:before="202" w:line="219"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22"/>
                <w:sz w:val="24"/>
                <w:szCs w:val="24"/>
              </w:rPr>
              <w:t>包括</w:t>
            </w:r>
            <w:r>
              <w:rPr>
                <w:rFonts w:hint="eastAsia" w:ascii="仿宋_GB2312" w:hAnsi="仿宋_GB2312" w:eastAsia="仿宋_GB2312" w:cs="仿宋_GB2312"/>
                <w:b w:val="0"/>
                <w:bCs w:val="0"/>
                <w:spacing w:val="-21"/>
                <w:sz w:val="24"/>
                <w:szCs w:val="24"/>
              </w:rPr>
              <w:t>穿刺、切</w:t>
            </w:r>
            <w:r>
              <w:rPr>
                <w:rFonts w:hint="eastAsia" w:ascii="仿宋_GB2312" w:hAnsi="仿宋_GB2312" w:eastAsia="仿宋_GB2312" w:cs="仿宋_GB2312"/>
                <w:b w:val="0"/>
                <w:bCs w:val="0"/>
                <w:spacing w:val="-12"/>
                <w:sz w:val="24"/>
                <w:szCs w:val="24"/>
              </w:rPr>
              <w:t>开</w:t>
            </w:r>
          </w:p>
        </w:tc>
        <w:tc>
          <w:tcPr>
            <w:tcW w:w="1399" w:type="dxa"/>
            <w:vAlign w:val="top"/>
          </w:tcPr>
          <w:p>
            <w:pPr>
              <w:rPr>
                <w:rFonts w:hint="eastAsia" w:ascii="仿宋_GB2312" w:hAnsi="仿宋_GB2312" w:eastAsia="仿宋_GB2312" w:cs="仿宋_GB2312"/>
                <w:b w:val="0"/>
                <w:bCs w:val="0"/>
                <w:sz w:val="24"/>
                <w:szCs w:val="24"/>
              </w:rPr>
            </w:pPr>
          </w:p>
        </w:tc>
        <w:tc>
          <w:tcPr>
            <w:tcW w:w="1369" w:type="dxa"/>
            <w:vAlign w:val="top"/>
          </w:tcPr>
          <w:p>
            <w:pPr>
              <w:pStyle w:val="9"/>
              <w:spacing w:before="202" w:line="219" w:lineRule="auto"/>
              <w:ind w:left="549"/>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3"/>
                <w:sz w:val="24"/>
                <w:szCs w:val="24"/>
              </w:rPr>
              <w:t>次</w:t>
            </w:r>
          </w:p>
        </w:tc>
        <w:tc>
          <w:tcPr>
            <w:tcW w:w="1958" w:type="dxa"/>
            <w:vAlign w:val="top"/>
          </w:tcPr>
          <w:p>
            <w:pPr>
              <w:pStyle w:val="9"/>
              <w:spacing w:before="272" w:line="184" w:lineRule="auto"/>
              <w:ind w:left="77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pacing w:val="-10"/>
                <w:sz w:val="24"/>
                <w:szCs w:val="24"/>
              </w:rPr>
              <w:t>1</w:t>
            </w:r>
            <w:r>
              <w:rPr>
                <w:rFonts w:hint="eastAsia" w:ascii="仿宋_GB2312" w:hAnsi="仿宋_GB2312" w:eastAsia="仿宋_GB2312" w:cs="仿宋_GB2312"/>
                <w:b w:val="0"/>
                <w:bCs w:val="0"/>
                <w:spacing w:val="-10"/>
                <w:sz w:val="24"/>
                <w:szCs w:val="24"/>
                <w:lang w:val="en-US" w:eastAsia="zh-CN"/>
              </w:rPr>
              <w:t>40</w:t>
            </w:r>
          </w:p>
        </w:tc>
        <w:tc>
          <w:tcPr>
            <w:tcW w:w="2463" w:type="dxa"/>
            <w:vAlign w:val="top"/>
          </w:tcPr>
          <w:p>
            <w:pPr>
              <w:rPr>
                <w:rFonts w:hint="eastAsia" w:ascii="仿宋_GB2312" w:hAnsi="仿宋_GB2312" w:eastAsia="仿宋_GB2312" w:cs="仿宋_GB2312"/>
                <w:b w:val="0"/>
                <w:bCs w:val="0"/>
                <w:sz w:val="28"/>
                <w:szCs w:val="28"/>
              </w:rPr>
            </w:pPr>
          </w:p>
        </w:tc>
      </w:tr>
    </w:tbl>
    <w:p>
      <w:pPr>
        <w:rPr>
          <w:rFonts w:hint="eastAsia" w:ascii="仿宋_GB2312" w:hAnsi="仿宋_GB2312" w:eastAsia="仿宋_GB2312" w:cs="仿宋_GB2312"/>
          <w:sz w:val="28"/>
          <w:szCs w:val="28"/>
        </w:rPr>
      </w:pPr>
    </w:p>
    <w:p>
      <w:pPr>
        <w:rPr>
          <w:rFonts w:ascii="Arial" w:hAnsi="Arial" w:eastAsia="Arial" w:cs="Arial"/>
          <w:sz w:val="21"/>
          <w:szCs w:val="21"/>
        </w:rPr>
        <w:sectPr>
          <w:footerReference r:id="rId5" w:type="default"/>
          <w:pgSz w:w="16830" w:h="11900"/>
          <w:pgMar w:top="1011" w:right="1305" w:bottom="1217" w:left="1475" w:header="0" w:footer="909" w:gutter="0"/>
          <w:pgNumType w:fmt="decimal" w:chapStyle="1"/>
          <w:cols w:space="720" w:num="1"/>
        </w:sectPr>
      </w:pPr>
    </w:p>
    <w:p>
      <w:pPr>
        <w:rPr>
          <w:rFonts w:hint="eastAsia" w:ascii="黑体" w:hAnsi="黑体" w:eastAsia="黑体" w:cs="黑体"/>
          <w:sz w:val="32"/>
          <w:szCs w:val="32"/>
        </w:rPr>
      </w:pPr>
      <w:r>
        <w:rPr>
          <w:rFonts w:hint="eastAsia" w:ascii="黑体" w:hAnsi="黑体" w:eastAsia="黑体" w:cs="黑体"/>
          <w:sz w:val="32"/>
          <w:szCs w:val="32"/>
        </w:rPr>
        <w:t>附件3</w:t>
      </w:r>
    </w:p>
    <w:p>
      <w:pPr>
        <w:spacing w:line="323" w:lineRule="auto"/>
        <w:rPr>
          <w:rFonts w:ascii="Arial"/>
          <w:sz w:val="21"/>
        </w:rPr>
      </w:pPr>
    </w:p>
    <w:p>
      <w:pPr>
        <w:spacing w:before="158" w:beforeLines="50" w:after="158" w:afterLines="50" w:line="640" w:lineRule="exact"/>
        <w:jc w:val="center"/>
        <w:rPr>
          <w:rFonts w:eastAsia="方正小标宋简体"/>
          <w:bCs/>
          <w:sz w:val="44"/>
          <w:szCs w:val="44"/>
        </w:rPr>
      </w:pPr>
      <w:r>
        <w:rPr>
          <w:rFonts w:hint="eastAsia" w:eastAsia="方正小标宋简体"/>
          <w:bCs/>
          <w:sz w:val="44"/>
          <w:szCs w:val="44"/>
          <w:lang w:eastAsia="zh-CN"/>
        </w:rPr>
        <w:t>济宁市</w:t>
      </w:r>
      <w:r>
        <w:rPr>
          <w:rFonts w:eastAsia="方正小标宋简体"/>
          <w:bCs/>
          <w:sz w:val="44"/>
          <w:szCs w:val="44"/>
        </w:rPr>
        <w:t>停用部分医疗服务价格项目</w:t>
      </w:r>
    </w:p>
    <w:p>
      <w:pPr>
        <w:spacing w:before="38"/>
      </w:pPr>
    </w:p>
    <w:p>
      <w:pPr>
        <w:spacing w:before="38"/>
      </w:pPr>
    </w:p>
    <w:tbl>
      <w:tblPr>
        <w:tblStyle w:val="10"/>
        <w:tblW w:w="88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508"/>
        <w:gridCol w:w="3616"/>
        <w:gridCol w:w="1398"/>
        <w:gridCol w:w="15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794" w:type="dxa"/>
            <w:vAlign w:val="top"/>
          </w:tcPr>
          <w:p>
            <w:pPr>
              <w:pStyle w:val="9"/>
              <w:spacing w:before="239" w:line="221" w:lineRule="auto"/>
              <w:ind w:left="74"/>
              <w:rPr>
                <w:rFonts w:hint="eastAsia" w:ascii="仿宋" w:hAnsi="仿宋" w:eastAsia="仿宋" w:cs="仿宋"/>
                <w:b/>
                <w:bCs/>
                <w:sz w:val="30"/>
                <w:szCs w:val="30"/>
              </w:rPr>
            </w:pPr>
            <w:r>
              <w:rPr>
                <w:rFonts w:hint="eastAsia" w:ascii="仿宋" w:hAnsi="仿宋" w:eastAsia="仿宋" w:cs="仿宋"/>
                <w:b/>
                <w:bCs/>
                <w:spacing w:val="9"/>
                <w:sz w:val="30"/>
                <w:szCs w:val="30"/>
              </w:rPr>
              <w:t>序号</w:t>
            </w:r>
          </w:p>
        </w:tc>
        <w:tc>
          <w:tcPr>
            <w:tcW w:w="1508" w:type="dxa"/>
            <w:vAlign w:val="top"/>
          </w:tcPr>
          <w:p>
            <w:pPr>
              <w:pStyle w:val="9"/>
              <w:spacing w:before="243" w:line="219" w:lineRule="auto"/>
              <w:ind w:left="145"/>
              <w:rPr>
                <w:rFonts w:hint="eastAsia" w:ascii="仿宋" w:hAnsi="仿宋" w:eastAsia="仿宋" w:cs="仿宋"/>
                <w:b/>
                <w:bCs/>
                <w:sz w:val="30"/>
                <w:szCs w:val="30"/>
              </w:rPr>
            </w:pPr>
            <w:r>
              <w:rPr>
                <w:rFonts w:hint="eastAsia" w:ascii="仿宋" w:hAnsi="仿宋" w:eastAsia="仿宋" w:cs="仿宋"/>
                <w:b/>
                <w:bCs/>
                <w:spacing w:val="-2"/>
                <w:sz w:val="30"/>
                <w:szCs w:val="30"/>
              </w:rPr>
              <w:t>项目编码</w:t>
            </w:r>
          </w:p>
        </w:tc>
        <w:tc>
          <w:tcPr>
            <w:tcW w:w="3616" w:type="dxa"/>
            <w:vAlign w:val="top"/>
          </w:tcPr>
          <w:p>
            <w:pPr>
              <w:pStyle w:val="9"/>
              <w:spacing w:before="248" w:line="220" w:lineRule="auto"/>
              <w:ind w:left="1262"/>
              <w:rPr>
                <w:rFonts w:hint="eastAsia" w:ascii="仿宋" w:hAnsi="仿宋" w:eastAsia="仿宋" w:cs="仿宋"/>
                <w:b/>
                <w:bCs/>
                <w:sz w:val="30"/>
                <w:szCs w:val="30"/>
              </w:rPr>
            </w:pPr>
            <w:r>
              <w:rPr>
                <w:rFonts w:hint="eastAsia" w:ascii="仿宋" w:hAnsi="仿宋" w:eastAsia="仿宋" w:cs="仿宋"/>
                <w:b/>
                <w:bCs/>
                <w:spacing w:val="3"/>
                <w:sz w:val="30"/>
                <w:szCs w:val="30"/>
              </w:rPr>
              <w:t>项目名称</w:t>
            </w:r>
          </w:p>
        </w:tc>
        <w:tc>
          <w:tcPr>
            <w:tcW w:w="1398" w:type="dxa"/>
            <w:vAlign w:val="top"/>
          </w:tcPr>
          <w:p>
            <w:pPr>
              <w:pStyle w:val="9"/>
              <w:spacing w:before="272" w:line="218" w:lineRule="auto"/>
              <w:jc w:val="center"/>
              <w:rPr>
                <w:rFonts w:hint="eastAsia" w:ascii="仿宋" w:hAnsi="仿宋" w:eastAsia="仿宋" w:cs="仿宋"/>
                <w:b/>
                <w:bCs/>
                <w:sz w:val="30"/>
                <w:szCs w:val="30"/>
              </w:rPr>
            </w:pPr>
            <w:r>
              <w:rPr>
                <w:rFonts w:hint="eastAsia" w:ascii="仿宋" w:hAnsi="仿宋" w:eastAsia="仿宋" w:cs="仿宋"/>
                <w:b/>
                <w:bCs/>
                <w:spacing w:val="-2"/>
                <w:sz w:val="30"/>
                <w:szCs w:val="30"/>
              </w:rPr>
              <w:t>计价单位</w:t>
            </w:r>
          </w:p>
        </w:tc>
        <w:tc>
          <w:tcPr>
            <w:tcW w:w="1583" w:type="dxa"/>
            <w:vAlign w:val="top"/>
          </w:tcPr>
          <w:p>
            <w:pPr>
              <w:pStyle w:val="9"/>
              <w:spacing w:before="243" w:line="219" w:lineRule="auto"/>
              <w:ind w:left="533"/>
              <w:rPr>
                <w:rFonts w:hint="eastAsia" w:ascii="仿宋" w:hAnsi="仿宋" w:eastAsia="仿宋" w:cs="仿宋"/>
                <w:b/>
                <w:bCs/>
                <w:sz w:val="30"/>
                <w:szCs w:val="30"/>
              </w:rPr>
            </w:pPr>
            <w:r>
              <w:rPr>
                <w:rFonts w:hint="eastAsia" w:ascii="仿宋" w:hAnsi="仿宋" w:eastAsia="仿宋" w:cs="仿宋"/>
                <w:b/>
                <w:bCs/>
                <w:spacing w:val="8"/>
                <w:sz w:val="30"/>
                <w:szCs w:val="30"/>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94" w:type="dxa"/>
            <w:vAlign w:val="top"/>
          </w:tcPr>
          <w:p>
            <w:pPr>
              <w:pStyle w:val="9"/>
              <w:spacing w:before="282" w:line="184" w:lineRule="auto"/>
              <w:ind w:left="32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508" w:type="dxa"/>
            <w:vAlign w:val="top"/>
          </w:tcPr>
          <w:p>
            <w:pPr>
              <w:pStyle w:val="9"/>
              <w:spacing w:before="282" w:line="184" w:lineRule="auto"/>
              <w:ind w:left="20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311201037</w:t>
            </w:r>
          </w:p>
        </w:tc>
        <w:tc>
          <w:tcPr>
            <w:tcW w:w="3616" w:type="dxa"/>
            <w:vAlign w:val="top"/>
          </w:tcPr>
          <w:p>
            <w:pPr>
              <w:pStyle w:val="9"/>
              <w:spacing w:before="220" w:line="219" w:lineRule="auto"/>
              <w:ind w:left="52"/>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B超下采卵术</w:t>
            </w:r>
          </w:p>
        </w:tc>
        <w:tc>
          <w:tcPr>
            <w:tcW w:w="1398" w:type="dxa"/>
            <w:vAlign w:val="top"/>
          </w:tcPr>
          <w:p>
            <w:pPr>
              <w:pStyle w:val="9"/>
              <w:spacing w:before="221" w:line="219" w:lineRule="auto"/>
              <w:ind w:left="57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次</w:t>
            </w:r>
          </w:p>
        </w:tc>
        <w:tc>
          <w:tcPr>
            <w:tcW w:w="15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94" w:type="dxa"/>
            <w:vAlign w:val="top"/>
          </w:tcPr>
          <w:p>
            <w:pPr>
              <w:pStyle w:val="9"/>
              <w:spacing w:before="284" w:line="183" w:lineRule="auto"/>
              <w:ind w:left="32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508" w:type="dxa"/>
            <w:vAlign w:val="top"/>
          </w:tcPr>
          <w:p>
            <w:pPr>
              <w:pStyle w:val="9"/>
              <w:spacing w:before="283" w:line="184" w:lineRule="auto"/>
              <w:ind w:left="20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311201043</w:t>
            </w:r>
          </w:p>
        </w:tc>
        <w:tc>
          <w:tcPr>
            <w:tcW w:w="3616" w:type="dxa"/>
            <w:vAlign w:val="top"/>
          </w:tcPr>
          <w:p>
            <w:pPr>
              <w:pStyle w:val="9"/>
              <w:spacing w:before="221" w:line="219" w:lineRule="auto"/>
              <w:ind w:left="5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单精子显微镜下卵细胞内授精术</w:t>
            </w:r>
          </w:p>
        </w:tc>
        <w:tc>
          <w:tcPr>
            <w:tcW w:w="1398" w:type="dxa"/>
            <w:vAlign w:val="top"/>
          </w:tcPr>
          <w:p>
            <w:pPr>
              <w:pStyle w:val="9"/>
              <w:spacing w:before="223" w:line="219" w:lineRule="auto"/>
              <w:ind w:left="57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次</w:t>
            </w:r>
          </w:p>
        </w:tc>
        <w:tc>
          <w:tcPr>
            <w:tcW w:w="15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94" w:type="dxa"/>
            <w:vAlign w:val="top"/>
          </w:tcPr>
          <w:p>
            <w:pPr>
              <w:pStyle w:val="9"/>
              <w:spacing w:before="285" w:line="183" w:lineRule="auto"/>
              <w:ind w:left="32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508" w:type="dxa"/>
            <w:vAlign w:val="top"/>
          </w:tcPr>
          <w:p>
            <w:pPr>
              <w:pStyle w:val="9"/>
              <w:spacing w:before="284" w:line="184" w:lineRule="auto"/>
              <w:ind w:left="20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311201044</w:t>
            </w:r>
          </w:p>
        </w:tc>
        <w:tc>
          <w:tcPr>
            <w:tcW w:w="3616" w:type="dxa"/>
            <w:vAlign w:val="top"/>
          </w:tcPr>
          <w:p>
            <w:pPr>
              <w:pStyle w:val="9"/>
              <w:spacing w:before="224" w:line="219" w:lineRule="auto"/>
              <w:ind w:left="52"/>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输卵管内胚子移植术</w:t>
            </w:r>
          </w:p>
        </w:tc>
        <w:tc>
          <w:tcPr>
            <w:tcW w:w="1398" w:type="dxa"/>
            <w:vAlign w:val="top"/>
          </w:tcPr>
          <w:p>
            <w:pPr>
              <w:pStyle w:val="9"/>
              <w:spacing w:before="224" w:line="219" w:lineRule="auto"/>
              <w:ind w:left="57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次</w:t>
            </w:r>
          </w:p>
        </w:tc>
        <w:tc>
          <w:tcPr>
            <w:tcW w:w="15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94" w:type="dxa"/>
            <w:vAlign w:val="top"/>
          </w:tcPr>
          <w:p>
            <w:pPr>
              <w:pStyle w:val="9"/>
              <w:spacing w:before="286" w:line="183" w:lineRule="auto"/>
              <w:ind w:left="32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508" w:type="dxa"/>
            <w:vAlign w:val="top"/>
          </w:tcPr>
          <w:p>
            <w:pPr>
              <w:pStyle w:val="9"/>
              <w:spacing w:before="285" w:line="184" w:lineRule="auto"/>
              <w:ind w:left="14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311201045a</w:t>
            </w:r>
          </w:p>
        </w:tc>
        <w:tc>
          <w:tcPr>
            <w:tcW w:w="3616" w:type="dxa"/>
            <w:vAlign w:val="top"/>
          </w:tcPr>
          <w:p>
            <w:pPr>
              <w:pStyle w:val="9"/>
              <w:spacing w:before="223" w:line="219" w:lineRule="auto"/>
              <w:ind w:left="52"/>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宫腔内人工授精术(上游法)</w:t>
            </w:r>
          </w:p>
        </w:tc>
        <w:tc>
          <w:tcPr>
            <w:tcW w:w="1398" w:type="dxa"/>
            <w:vAlign w:val="top"/>
          </w:tcPr>
          <w:p>
            <w:pPr>
              <w:pStyle w:val="9"/>
              <w:spacing w:before="224" w:line="219" w:lineRule="auto"/>
              <w:ind w:left="57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次</w:t>
            </w:r>
          </w:p>
        </w:tc>
        <w:tc>
          <w:tcPr>
            <w:tcW w:w="15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794" w:type="dxa"/>
            <w:vAlign w:val="top"/>
          </w:tcPr>
          <w:p>
            <w:pPr>
              <w:pStyle w:val="9"/>
              <w:spacing w:before="289" w:line="182" w:lineRule="auto"/>
              <w:ind w:left="32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508" w:type="dxa"/>
            <w:vAlign w:val="top"/>
          </w:tcPr>
          <w:p>
            <w:pPr>
              <w:pStyle w:val="9"/>
              <w:spacing w:before="249"/>
              <w:ind w:left="14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311201045b</w:t>
            </w:r>
          </w:p>
        </w:tc>
        <w:tc>
          <w:tcPr>
            <w:tcW w:w="3616" w:type="dxa"/>
            <w:vAlign w:val="top"/>
          </w:tcPr>
          <w:p>
            <w:pPr>
              <w:pStyle w:val="9"/>
              <w:spacing w:before="224" w:line="219" w:lineRule="auto"/>
              <w:ind w:left="52"/>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宫腔内人工授精术(梯度分离法)</w:t>
            </w:r>
          </w:p>
        </w:tc>
        <w:tc>
          <w:tcPr>
            <w:tcW w:w="1398" w:type="dxa"/>
            <w:vAlign w:val="top"/>
          </w:tcPr>
          <w:p>
            <w:pPr>
              <w:pStyle w:val="9"/>
              <w:spacing w:before="226" w:line="219" w:lineRule="auto"/>
              <w:ind w:left="57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次</w:t>
            </w:r>
          </w:p>
        </w:tc>
        <w:tc>
          <w:tcPr>
            <w:tcW w:w="15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94" w:type="dxa"/>
            <w:vAlign w:val="top"/>
          </w:tcPr>
          <w:p>
            <w:pPr>
              <w:pStyle w:val="9"/>
              <w:spacing w:before="288" w:line="183" w:lineRule="auto"/>
              <w:ind w:left="32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508" w:type="dxa"/>
            <w:vAlign w:val="top"/>
          </w:tcPr>
          <w:p>
            <w:pPr>
              <w:pStyle w:val="9"/>
              <w:spacing w:before="287" w:line="184" w:lineRule="auto"/>
              <w:ind w:left="20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311201061</w:t>
            </w:r>
          </w:p>
        </w:tc>
        <w:tc>
          <w:tcPr>
            <w:tcW w:w="3616" w:type="dxa"/>
            <w:vAlign w:val="top"/>
          </w:tcPr>
          <w:p>
            <w:pPr>
              <w:pStyle w:val="9"/>
              <w:spacing w:before="226" w:line="219" w:lineRule="auto"/>
              <w:ind w:left="52"/>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囊胚培养</w:t>
            </w:r>
          </w:p>
        </w:tc>
        <w:tc>
          <w:tcPr>
            <w:tcW w:w="1398" w:type="dxa"/>
            <w:vAlign w:val="top"/>
          </w:tcPr>
          <w:p>
            <w:pPr>
              <w:pStyle w:val="9"/>
              <w:spacing w:before="226" w:line="219" w:lineRule="auto"/>
              <w:ind w:left="57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次</w:t>
            </w:r>
          </w:p>
        </w:tc>
        <w:tc>
          <w:tcPr>
            <w:tcW w:w="15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94" w:type="dxa"/>
            <w:vAlign w:val="top"/>
          </w:tcPr>
          <w:p>
            <w:pPr>
              <w:pStyle w:val="9"/>
              <w:spacing w:before="291" w:line="182" w:lineRule="auto"/>
              <w:ind w:left="32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508" w:type="dxa"/>
            <w:vAlign w:val="top"/>
          </w:tcPr>
          <w:p>
            <w:pPr>
              <w:pStyle w:val="9"/>
              <w:spacing w:before="288" w:line="184" w:lineRule="auto"/>
              <w:ind w:left="20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311201046</w:t>
            </w:r>
          </w:p>
        </w:tc>
        <w:tc>
          <w:tcPr>
            <w:tcW w:w="3616" w:type="dxa"/>
            <w:vAlign w:val="top"/>
          </w:tcPr>
          <w:p>
            <w:pPr>
              <w:pStyle w:val="9"/>
              <w:spacing w:before="226" w:line="219" w:lineRule="auto"/>
              <w:ind w:left="52"/>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阴道内人工授精术</w:t>
            </w:r>
          </w:p>
        </w:tc>
        <w:tc>
          <w:tcPr>
            <w:tcW w:w="1398" w:type="dxa"/>
            <w:vAlign w:val="top"/>
          </w:tcPr>
          <w:p>
            <w:pPr>
              <w:pStyle w:val="9"/>
              <w:spacing w:before="228" w:line="219" w:lineRule="auto"/>
              <w:ind w:left="57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次</w:t>
            </w:r>
          </w:p>
        </w:tc>
        <w:tc>
          <w:tcPr>
            <w:tcW w:w="15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94" w:type="dxa"/>
            <w:vAlign w:val="top"/>
          </w:tcPr>
          <w:p>
            <w:pPr>
              <w:pStyle w:val="9"/>
              <w:spacing w:before="290" w:line="183" w:lineRule="auto"/>
              <w:ind w:left="32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508" w:type="dxa"/>
            <w:vAlign w:val="top"/>
          </w:tcPr>
          <w:p>
            <w:pPr>
              <w:pStyle w:val="9"/>
              <w:spacing w:before="289" w:line="184" w:lineRule="auto"/>
              <w:ind w:left="20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311201063</w:t>
            </w:r>
          </w:p>
        </w:tc>
        <w:tc>
          <w:tcPr>
            <w:tcW w:w="3616" w:type="dxa"/>
            <w:vAlign w:val="top"/>
          </w:tcPr>
          <w:p>
            <w:pPr>
              <w:pStyle w:val="9"/>
              <w:spacing w:before="229" w:line="219" w:lineRule="auto"/>
              <w:ind w:left="52"/>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冷冻胚胎复苏</w:t>
            </w:r>
          </w:p>
        </w:tc>
        <w:tc>
          <w:tcPr>
            <w:tcW w:w="1398" w:type="dxa"/>
            <w:vAlign w:val="top"/>
          </w:tcPr>
          <w:p>
            <w:pPr>
              <w:pStyle w:val="9"/>
              <w:spacing w:before="229" w:line="219" w:lineRule="auto"/>
              <w:ind w:left="57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次</w:t>
            </w:r>
          </w:p>
        </w:tc>
        <w:tc>
          <w:tcPr>
            <w:tcW w:w="158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6" w:type="default"/>
          <w:pgSz w:w="12340" w:h="17140"/>
          <w:pgMar w:top="1456" w:right="1644" w:bottom="1648" w:left="1785" w:header="0" w:footer="1339" w:gutter="0"/>
          <w:pgNumType w:fmt="decimal" w:chapStyle="1"/>
          <w:cols w:space="720" w:num="1"/>
        </w:sectPr>
      </w:pPr>
    </w:p>
    <w:p>
      <w:pPr>
        <w:rPr>
          <w:rFonts w:hint="eastAsia" w:ascii="黑体" w:hAnsi="黑体" w:eastAsia="黑体" w:cs="黑体"/>
          <w:sz w:val="32"/>
          <w:szCs w:val="32"/>
        </w:rPr>
      </w:pPr>
      <w:r>
        <w:rPr>
          <w:rFonts w:hint="eastAsia" w:ascii="黑体" w:hAnsi="黑体" w:eastAsia="黑体" w:cs="黑体"/>
          <w:sz w:val="32"/>
          <w:szCs w:val="32"/>
        </w:rPr>
        <w:t>附件4</w:t>
      </w:r>
    </w:p>
    <w:p>
      <w:pPr>
        <w:spacing w:line="260" w:lineRule="auto"/>
        <w:rPr>
          <w:rFonts w:ascii="Times New Roman" w:hAnsi="Times New Roman" w:eastAsia="仿宋_GB2312" w:cs="Times New Roman"/>
          <w:b/>
          <w:bCs/>
          <w:color w:val="000000" w:themeColor="text1"/>
          <w:kern w:val="2"/>
          <w:sz w:val="28"/>
          <w:szCs w:val="28"/>
          <w:lang w:val="en-US" w:eastAsia="zh-CN" w:bidi="ar-SA"/>
          <w14:textFill>
            <w14:solidFill>
              <w14:schemeClr w14:val="tx1"/>
            </w14:solidFill>
          </w14:textFill>
        </w:rPr>
      </w:pPr>
    </w:p>
    <w:p>
      <w:pPr>
        <w:spacing w:before="158" w:beforeLines="50" w:after="158" w:afterLines="50" w:line="640" w:lineRule="exact"/>
        <w:jc w:val="center"/>
        <w:rPr>
          <w:rFonts w:hint="eastAsia" w:eastAsia="方正小标宋简体"/>
          <w:bCs/>
          <w:sz w:val="44"/>
          <w:szCs w:val="44"/>
          <w:lang w:eastAsia="zh-CN"/>
        </w:rPr>
      </w:pPr>
      <w:r>
        <w:rPr>
          <w:rFonts w:hint="eastAsia" w:eastAsia="方正小标宋简体"/>
          <w:bCs/>
          <w:sz w:val="44"/>
          <w:szCs w:val="44"/>
          <w:lang w:eastAsia="zh-CN"/>
        </w:rPr>
        <w:t>不孕不育门诊部分技术治疗认定标准</w:t>
      </w:r>
    </w:p>
    <w:p>
      <w:pPr>
        <w:spacing w:before="74"/>
      </w:pPr>
    </w:p>
    <w:p>
      <w:pPr>
        <w:spacing w:before="73"/>
      </w:pPr>
    </w:p>
    <w:p>
      <w:pPr>
        <w:rPr>
          <w:rFonts w:ascii="Arial"/>
          <w:sz w:val="21"/>
        </w:rPr>
      </w:pPr>
    </w:p>
    <w:tbl>
      <w:tblPr>
        <w:tblStyle w:val="7"/>
        <w:tblW w:w="13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5"/>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5" w:type="dxa"/>
          </w:tcPr>
          <w:p>
            <w:pPr>
              <w:jc w:val="center"/>
              <w:rPr>
                <w:rFonts w:ascii="黑体" w:hAnsi="黑体" w:eastAsia="黑体" w:cs="黑体"/>
                <w:sz w:val="30"/>
                <w:szCs w:val="30"/>
              </w:rPr>
            </w:pPr>
            <w:r>
              <w:rPr>
                <w:rFonts w:hint="eastAsia" w:ascii="黑体" w:hAnsi="黑体" w:eastAsia="黑体" w:cs="黑体"/>
                <w:sz w:val="30"/>
                <w:szCs w:val="30"/>
              </w:rPr>
              <w:t>病种名称</w:t>
            </w:r>
          </w:p>
        </w:tc>
        <w:tc>
          <w:tcPr>
            <w:tcW w:w="8760" w:type="dxa"/>
          </w:tcPr>
          <w:p>
            <w:pPr>
              <w:jc w:val="center"/>
              <w:rPr>
                <w:rFonts w:ascii="黑体" w:hAnsi="黑体" w:eastAsia="黑体" w:cs="黑体"/>
                <w:sz w:val="30"/>
                <w:szCs w:val="30"/>
              </w:rPr>
            </w:pPr>
            <w:r>
              <w:rPr>
                <w:rFonts w:hint="eastAsia" w:ascii="黑体" w:hAnsi="黑体" w:eastAsia="黑体" w:cs="黑体"/>
                <w:sz w:val="30"/>
                <w:szCs w:val="30"/>
              </w:rPr>
              <w:t>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4725" w:type="dxa"/>
          </w:tcPr>
          <w:p>
            <w:pPr>
              <w:jc w:val="cente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不孕不育门诊辅助生殖技术治疗</w:t>
            </w:r>
          </w:p>
        </w:tc>
        <w:tc>
          <w:tcPr>
            <w:tcW w:w="876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需同时符合以下条件：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1.经二级及以上定点医疗机构诊断为不孕不育症</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2.在经卫生健康部门批准开展人类辅助生殖技术的定点医疗机构开展辅助生殖治疗</w:t>
            </w:r>
          </w:p>
        </w:tc>
      </w:tr>
    </w:tbl>
    <w:p>
      <w:pPr>
        <w:rPr>
          <w:rFonts w:ascii="Arial" w:hAnsi="Arial" w:eastAsia="Arial" w:cs="Arial"/>
          <w:sz w:val="21"/>
          <w:szCs w:val="21"/>
        </w:rPr>
        <w:sectPr>
          <w:footerReference r:id="rId7" w:type="default"/>
          <w:pgSz w:w="16830" w:h="11900"/>
          <w:pgMar w:top="1011" w:right="1864" w:bottom="1211" w:left="1495" w:header="0" w:footer="912" w:gutter="0"/>
          <w:pgNumType w:fmt="decimal" w:chapStyle="1"/>
          <w:cols w:space="720" w:num="1"/>
        </w:sectPr>
      </w:pP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eastAsia" w:ascii="仿宋" w:hAnsi="仿宋" w:eastAsia="仿宋" w:cs="仿宋"/>
          <w:b w:val="0"/>
          <w:bCs w:val="0"/>
          <w:color w:val="auto"/>
          <w:sz w:val="28"/>
          <w:szCs w:val="28"/>
          <w:lang w:val="en-US" w:eastAsia="zh-CN"/>
        </w:rPr>
      </w:pPr>
    </w:p>
    <w:p>
      <w:pPr>
        <w:pStyle w:val="2"/>
        <w:rPr>
          <w:rFonts w:hint="eastAsia" w:ascii="仿宋" w:hAnsi="仿宋" w:eastAsia="仿宋" w:cs="仿宋"/>
          <w:b w:val="0"/>
          <w:bCs w:val="0"/>
          <w:color w:val="auto"/>
          <w:sz w:val="28"/>
          <w:szCs w:val="28"/>
          <w:lang w:val="en-US" w:eastAsia="zh-CN"/>
        </w:rPr>
      </w:pPr>
    </w:p>
    <w:p>
      <w:pPr>
        <w:rPr>
          <w:rFonts w:hint="eastAsia" w:ascii="仿宋" w:hAnsi="仿宋" w:eastAsia="仿宋" w:cs="仿宋"/>
          <w:b w:val="0"/>
          <w:bCs w:val="0"/>
          <w:color w:val="auto"/>
          <w:sz w:val="28"/>
          <w:szCs w:val="28"/>
          <w:lang w:val="en-US" w:eastAsia="zh-CN"/>
        </w:rPr>
      </w:pPr>
    </w:p>
    <w:p>
      <w:pPr>
        <w:pStyle w:val="2"/>
        <w:rPr>
          <w:rFonts w:hint="eastAsia" w:ascii="仿宋" w:hAnsi="仿宋" w:eastAsia="仿宋" w:cs="仿宋"/>
          <w:b w:val="0"/>
          <w:bCs w:val="0"/>
          <w:color w:val="auto"/>
          <w:sz w:val="28"/>
          <w:szCs w:val="28"/>
          <w:lang w:val="en-US" w:eastAsia="zh-CN"/>
        </w:rPr>
      </w:pPr>
    </w:p>
    <w:p>
      <w:pPr>
        <w:rPr>
          <w:rFonts w:hint="eastAsia" w:ascii="仿宋" w:hAnsi="仿宋" w:eastAsia="仿宋" w:cs="仿宋"/>
          <w:b w:val="0"/>
          <w:bCs w:val="0"/>
          <w:color w:val="auto"/>
          <w:sz w:val="28"/>
          <w:szCs w:val="28"/>
          <w:lang w:val="en-US" w:eastAsia="zh-CN"/>
        </w:rPr>
      </w:pPr>
    </w:p>
    <w:p>
      <w:pPr>
        <w:pStyle w:val="2"/>
        <w:rPr>
          <w:rFonts w:hint="eastAsia" w:ascii="仿宋" w:hAnsi="仿宋" w:eastAsia="仿宋" w:cs="仿宋"/>
          <w:b w:val="0"/>
          <w:bCs w:val="0"/>
          <w:color w:val="auto"/>
          <w:sz w:val="28"/>
          <w:szCs w:val="28"/>
          <w:lang w:val="en-US" w:eastAsia="zh-CN"/>
        </w:rPr>
      </w:pPr>
    </w:p>
    <w:p>
      <w:pPr>
        <w:rPr>
          <w:rFonts w:hint="eastAsia" w:ascii="仿宋" w:hAnsi="仿宋" w:eastAsia="仿宋" w:cs="仿宋"/>
          <w:b w:val="0"/>
          <w:bCs w:val="0"/>
          <w:color w:val="auto"/>
          <w:sz w:val="28"/>
          <w:szCs w:val="28"/>
          <w:lang w:val="en-US" w:eastAsia="zh-CN"/>
        </w:rPr>
      </w:pPr>
    </w:p>
    <w:p>
      <w:pPr>
        <w:pStyle w:val="2"/>
        <w:rPr>
          <w:rFonts w:hint="eastAsia" w:ascii="仿宋" w:hAnsi="仿宋" w:eastAsia="仿宋" w:cs="仿宋"/>
          <w:b w:val="0"/>
          <w:bCs w:val="0"/>
          <w:color w:val="auto"/>
          <w:sz w:val="28"/>
          <w:szCs w:val="28"/>
          <w:lang w:val="en-US" w:eastAsia="zh-CN"/>
        </w:rPr>
      </w:pPr>
    </w:p>
    <w:p>
      <w:pPr>
        <w:rPr>
          <w:rFonts w:hint="eastAsia" w:ascii="仿宋" w:hAnsi="仿宋" w:eastAsia="仿宋" w:cs="仿宋"/>
          <w:b w:val="0"/>
          <w:bCs w:val="0"/>
          <w:color w:val="auto"/>
          <w:sz w:val="28"/>
          <w:szCs w:val="28"/>
          <w:lang w:val="en-US" w:eastAsia="zh-CN"/>
        </w:rPr>
      </w:pPr>
    </w:p>
    <w:p>
      <w:pPr>
        <w:pStyle w:val="2"/>
        <w:rPr>
          <w:rFonts w:hint="eastAsia" w:ascii="仿宋" w:hAnsi="仿宋" w:eastAsia="仿宋" w:cs="仿宋"/>
          <w:b w:val="0"/>
          <w:bCs w:val="0"/>
          <w:color w:val="auto"/>
          <w:sz w:val="28"/>
          <w:szCs w:val="28"/>
          <w:lang w:val="en-US" w:eastAsia="zh-CN"/>
        </w:rPr>
      </w:pPr>
    </w:p>
    <w:p>
      <w:pPr>
        <w:rPr>
          <w:rFonts w:hint="eastAsia" w:ascii="仿宋" w:hAnsi="仿宋" w:eastAsia="仿宋" w:cs="仿宋"/>
          <w:b w:val="0"/>
          <w:bCs w:val="0"/>
          <w:color w:val="auto"/>
          <w:sz w:val="28"/>
          <w:szCs w:val="28"/>
          <w:lang w:val="en-US" w:eastAsia="zh-CN"/>
        </w:rPr>
      </w:pPr>
    </w:p>
    <w:p>
      <w:pPr>
        <w:pStyle w:val="2"/>
        <w:rPr>
          <w:rFonts w:hint="eastAsia" w:ascii="仿宋" w:hAnsi="仿宋" w:eastAsia="仿宋" w:cs="仿宋"/>
          <w:b w:val="0"/>
          <w:bCs w:val="0"/>
          <w:color w:val="auto"/>
          <w:sz w:val="28"/>
          <w:szCs w:val="28"/>
          <w:lang w:val="en-US" w:eastAsia="zh-CN"/>
        </w:rPr>
      </w:pPr>
    </w:p>
    <w:p>
      <w:pPr>
        <w:rPr>
          <w:rFonts w:hint="eastAsia" w:ascii="仿宋" w:hAnsi="仿宋" w:eastAsia="仿宋" w:cs="仿宋"/>
          <w:b w:val="0"/>
          <w:bCs w:val="0"/>
          <w:color w:val="auto"/>
          <w:sz w:val="28"/>
          <w:szCs w:val="28"/>
          <w:lang w:val="en-US" w:eastAsia="zh-CN"/>
        </w:rPr>
      </w:pPr>
    </w:p>
    <w:p>
      <w:pPr>
        <w:pStyle w:val="2"/>
        <w:rPr>
          <w:rFonts w:hint="eastAsia" w:ascii="仿宋" w:hAnsi="仿宋" w:eastAsia="仿宋" w:cs="仿宋"/>
          <w:b w:val="0"/>
          <w:bCs w:val="0"/>
          <w:color w:val="auto"/>
          <w:sz w:val="28"/>
          <w:szCs w:val="28"/>
          <w:lang w:val="en-US" w:eastAsia="zh-CN"/>
        </w:rPr>
      </w:pPr>
    </w:p>
    <w:p>
      <w:pPr>
        <w:rPr>
          <w:rFonts w:hint="eastAsia" w:ascii="仿宋" w:hAnsi="仿宋" w:eastAsia="仿宋" w:cs="仿宋"/>
          <w:b w:val="0"/>
          <w:bCs w:val="0"/>
          <w:color w:val="auto"/>
          <w:sz w:val="28"/>
          <w:szCs w:val="28"/>
          <w:lang w:val="en-US" w:eastAsia="zh-CN"/>
        </w:rPr>
      </w:pPr>
    </w:p>
    <w:p>
      <w:pPr>
        <w:pStyle w:val="2"/>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 </w:t>
      </w:r>
    </w:p>
    <w:tbl>
      <w:tblPr>
        <w:tblStyle w:val="10"/>
        <w:tblpPr w:leftFromText="180" w:rightFromText="180" w:vertAnchor="text" w:horzAnchor="page" w:tblpX="1679" w:tblpY="1964"/>
        <w:tblOverlap w:val="never"/>
        <w:tblW w:w="882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82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6" w:hRule="atLeast"/>
        </w:trPr>
        <w:tc>
          <w:tcPr>
            <w:tcW w:w="8820" w:type="dxa"/>
            <w:tcBorders>
              <w:top w:val="single" w:color="000000" w:sz="4" w:space="0"/>
              <w:bottom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281" w:firstLineChars="100"/>
              <w:textAlignment w:val="auto"/>
              <w:rPr>
                <w:rFonts w:hint="eastAsia" w:ascii="Times New Roman" w:hAnsi="Times New Roman" w:eastAsia="仿宋_GB2312" w:cs="仿宋"/>
                <w:b/>
                <w:bCs/>
                <w:color w:val="auto"/>
                <w:kern w:val="2"/>
                <w:sz w:val="28"/>
                <w:szCs w:val="28"/>
                <w:shd w:val="clear" w:color="auto" w:fill="FFFFFF"/>
                <w:lang w:val="en-US" w:eastAsia="zh-CN" w:bidi="ar-SA"/>
              </w:rPr>
            </w:pPr>
            <w:r>
              <w:rPr>
                <w:rFonts w:hint="eastAsia" w:ascii="Times New Roman" w:hAnsi="Times New Roman" w:eastAsia="仿宋_GB2312" w:cs="仿宋"/>
                <w:b/>
                <w:bCs/>
                <w:color w:val="auto"/>
                <w:kern w:val="2"/>
                <w:sz w:val="28"/>
                <w:szCs w:val="28"/>
                <w:shd w:val="clear" w:color="auto" w:fill="FFFFFF"/>
                <w:lang w:val="en-US" w:eastAsia="zh-CN" w:bidi="ar-SA"/>
              </w:rPr>
              <w:t>抄送：省医疗保障局，市卫生健康委、市市场监管局。</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28" w:hRule="atLeast"/>
        </w:trPr>
        <w:tc>
          <w:tcPr>
            <w:tcW w:w="8820" w:type="dxa"/>
            <w:tcBorders>
              <w:top w:val="single" w:color="000000" w:sz="4" w:space="0"/>
              <w:bottom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281" w:firstLineChars="100"/>
              <w:textAlignment w:val="auto"/>
              <w:rPr>
                <w:rFonts w:hint="eastAsia" w:ascii="Times New Roman" w:hAnsi="Times New Roman" w:eastAsia="仿宋_GB2312" w:cs="仿宋"/>
                <w:b/>
                <w:bCs/>
                <w:color w:val="auto"/>
                <w:kern w:val="2"/>
                <w:sz w:val="28"/>
                <w:szCs w:val="28"/>
                <w:shd w:val="clear" w:color="auto" w:fill="FFFFFF"/>
                <w:lang w:val="en-US" w:eastAsia="zh-CN" w:bidi="ar-SA"/>
              </w:rPr>
            </w:pPr>
            <w:r>
              <w:rPr>
                <w:rFonts w:hint="eastAsia" w:ascii="Times New Roman" w:hAnsi="Times New Roman" w:eastAsia="仿宋_GB2312" w:cs="仿宋"/>
                <w:b/>
                <w:bCs/>
                <w:color w:val="auto"/>
                <w:kern w:val="2"/>
                <w:sz w:val="28"/>
                <w:szCs w:val="28"/>
                <w:shd w:val="clear" w:color="auto" w:fill="FFFFFF"/>
                <w:lang w:val="en-US" w:eastAsia="zh-CN" w:bidi="ar-SA"/>
              </w:rPr>
              <w:t xml:space="preserve">济宁市医疗保障局办公室      </w:t>
            </w:r>
            <w:r>
              <w:rPr>
                <w:rFonts w:hint="eastAsia" w:eastAsia="仿宋_GB2312" w:cs="仿宋"/>
                <w:b/>
                <w:bCs/>
                <w:color w:val="auto"/>
                <w:kern w:val="2"/>
                <w:sz w:val="28"/>
                <w:szCs w:val="28"/>
                <w:shd w:val="clear" w:color="auto" w:fill="FFFFFF"/>
                <w:lang w:val="en-US" w:eastAsia="zh-CN" w:bidi="ar-SA"/>
              </w:rPr>
              <w:t xml:space="preserve">          </w:t>
            </w:r>
            <w:r>
              <w:rPr>
                <w:rFonts w:hint="eastAsia" w:ascii="Times New Roman" w:hAnsi="Times New Roman" w:eastAsia="仿宋_GB2312" w:cs="仿宋"/>
                <w:b/>
                <w:bCs/>
                <w:color w:val="auto"/>
                <w:kern w:val="2"/>
                <w:sz w:val="28"/>
                <w:szCs w:val="28"/>
                <w:shd w:val="clear" w:color="auto" w:fill="FFFFFF"/>
                <w:lang w:val="en-US" w:eastAsia="zh-CN" w:bidi="ar-SA"/>
              </w:rPr>
              <w:t xml:space="preserve">  2024年3月</w:t>
            </w:r>
            <w:r>
              <w:rPr>
                <w:rFonts w:hint="eastAsia" w:eastAsia="仿宋_GB2312" w:cs="仿宋"/>
                <w:b/>
                <w:bCs/>
                <w:color w:val="auto"/>
                <w:kern w:val="2"/>
                <w:sz w:val="28"/>
                <w:szCs w:val="28"/>
                <w:shd w:val="clear" w:color="auto" w:fill="FFFFFF"/>
                <w:lang w:val="en-US" w:eastAsia="zh-CN" w:bidi="ar-SA"/>
              </w:rPr>
              <w:t>29</w:t>
            </w:r>
            <w:r>
              <w:rPr>
                <w:rFonts w:hint="eastAsia" w:ascii="Times New Roman" w:hAnsi="Times New Roman" w:eastAsia="仿宋_GB2312" w:cs="仿宋"/>
                <w:b/>
                <w:bCs/>
                <w:color w:val="auto"/>
                <w:kern w:val="2"/>
                <w:sz w:val="28"/>
                <w:szCs w:val="28"/>
                <w:shd w:val="clear" w:color="auto" w:fill="FFFFFF"/>
                <w:lang w:val="en-US" w:eastAsia="zh-CN" w:bidi="ar-SA"/>
              </w:rPr>
              <w:t>日印发</w:t>
            </w:r>
          </w:p>
        </w:tc>
      </w:tr>
    </w:tbl>
    <w:p>
      <w:pPr>
        <w:rPr>
          <w:rFonts w:hint="eastAsia"/>
          <w:lang w:val="en-US" w:eastAsia="zh-CN"/>
        </w:rPr>
        <w:sectPr>
          <w:footerReference r:id="rId8" w:type="default"/>
          <w:pgSz w:w="11906" w:h="16838"/>
          <w:pgMar w:top="1440" w:right="1800" w:bottom="1440" w:left="1800" w:header="851" w:footer="992" w:gutter="0"/>
          <w:pgNumType w:fmt="decimal" w:chapStyle="1"/>
          <w:cols w:space="425" w:num="1"/>
          <w:docGrid w:type="lines" w:linePitch="312" w:charSpace="0"/>
        </w:sectPr>
      </w:pPr>
    </w:p>
    <w:p>
      <w:pPr>
        <w:pStyle w:val="2"/>
        <w:ind w:left="0" w:leftChars="0" w:firstLine="0" w:firstLineChars="0"/>
      </w:pPr>
    </w:p>
    <w:sectPr>
      <w:footerReference r:id="rId9" w:type="default"/>
      <w:pgSz w:w="16838" w:h="11906" w:orient="landscape"/>
      <w:pgMar w:top="1800" w:right="1440" w:bottom="1800" w:left="1440" w:header="851" w:footer="992" w:gutter="0"/>
      <w:pgNumType w:fmt="decimal"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427"/>
      </w:tabs>
      <w:spacing w:line="177" w:lineRule="auto"/>
      <w:ind w:left="12864"/>
      <w:rPr>
        <w:rFonts w:ascii="宋体" w:hAnsi="宋体" w:eastAsia="宋体" w:cs="宋体"/>
        <w:sz w:val="31"/>
        <w:szCs w:val="31"/>
      </w:rPr>
    </w:pPr>
    <w:r>
      <w:rPr>
        <w:sz w:val="3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209550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5pt;height:144pt;width:144pt;mso-position-horizontal:outside;mso-position-horizontal-relative:margin;mso-wrap-style:none;z-index:251660288;mso-width-relative:page;mso-height-relative:page;" filled="f" stroked="f" coordsize="21600,21600" o:gfxdata="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rjilZ1AAAAAcBAAAPAAAAAAAAAAEAIAAAACIAAABkcnMvZG93bnJldi54bWxQSwEC&#10;FAAUAAAACACHTuJAx5e1zjECAABhBAAADgAAAAAAAAABACAAAAAjAQAAZHJzL2Uyb0RvYy54bWxQ&#10;SwUGAAAAAAYABgBZAQAAxgU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p>
                </w:txbxContent>
              </v:textbox>
            </v:shape>
          </w:pict>
        </mc:Fallback>
      </mc:AlternateContent>
    </w:r>
    <w:r>
      <w:rPr>
        <w:rFonts w:hint="eastAsia" w:ascii="宋体" w:hAnsi="宋体" w:cs="宋体"/>
        <w:sz w:val="31"/>
        <w:szCs w:val="31"/>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12824"/>
      <w:rPr>
        <w:rFonts w:ascii="宋体" w:hAnsi="宋体" w:eastAsia="宋体" w:cs="宋体"/>
        <w:sz w:val="32"/>
        <w:szCs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209550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8</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5pt;height:144pt;width:144pt;mso-position-horizontal:outside;mso-position-horizontal-relative:margin;mso-wrap-style:none;z-index:251661312;mso-width-relative:page;mso-height-relative:page;" filled="f" stroked="f" coordsize="21600,21600" o:gfxdata="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rjilZ1AAAAAcBAAAPAAAAAAAAAAEAIAAAACIAAABkcnMvZG93bnJldi54bWxQSwEC&#10;FAAUAAAACACHTuJAqaivlTECAABjBAAADgAAAAAAAAABACAAAAAjAQAAZHJzL2Uyb0RvYy54bWxQ&#10;SwUGAAAAAAYABgBZAQAAxgU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8</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864"/>
      <w:rPr>
        <w:rFonts w:ascii="宋体" w:hAnsi="宋体" w:eastAsia="宋体" w:cs="宋体"/>
        <w:sz w:val="31"/>
        <w:szCs w:val="31"/>
      </w:rPr>
    </w:pPr>
    <w:r>
      <w:rPr>
        <w:sz w:val="3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209550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9</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5pt;height:144pt;width:144pt;mso-position-horizontal:outside;mso-position-horizontal-relative:margin;mso-wrap-style:none;z-index:251662336;mso-width-relative:page;mso-height-relative:page;" filled="f" stroked="f" coordsize="21600,21600" o:gfxdata="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rjilZ1AAAAAcBAAAPAAAAAAAAAAEAIAAAACIAAABkcnMvZG93bnJldi54bWxQSwEC&#10;FAAUAAAACACHTuJA6wA4ejECAABjBAAADgAAAAAAAAABACAAAAAjAQAAZHJzL2Uyb0RvYy54bWxQ&#10;SwUGAAAAAAYABgBZAQAAxgU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9</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94"/>
      <w:rPr>
        <w:rFonts w:ascii="宋体" w:hAnsi="宋体" w:eastAsia="宋体" w:cs="宋体"/>
        <w:sz w:val="31"/>
        <w:szCs w:val="31"/>
      </w:rPr>
    </w:pPr>
    <w:r>
      <w:rPr>
        <w:sz w:val="31"/>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209550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10</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5pt;height:144pt;width:144pt;mso-position-horizontal:outside;mso-position-horizontal-relative:margin;mso-wrap-style:none;z-index:251663360;mso-width-relative:page;mso-height-relative:page;" filled="f" stroked="f" coordsize="21600,21600" o:gfxdata="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rjilZ1AAAAAcBAAAPAAAAAAAAAAEAIAAAACIAAABkcnMvZG93bnJldi54bWxQSwEC&#10;FAAUAAAACACHTuJAbP7xkTECAABjBAAADgAAAAAAAAABACAAAAAjAQAAZHJzL2Uyb0RvYy54bWxQ&#10;SwUGAAAAAAYABgBZAQAAxgU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10</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104"/>
      <w:rPr>
        <w:rFonts w:ascii="宋体" w:hAnsi="宋体" w:eastAsia="宋体" w:cs="宋体"/>
        <w:sz w:val="30"/>
        <w:szCs w:val="30"/>
      </w:rPr>
    </w:pPr>
    <w:r>
      <w:rPr>
        <w:sz w:val="30"/>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209550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5pt;height:144pt;width:144pt;mso-position-horizontal:outside;mso-position-horizontal-relative:margin;mso-wrap-style:none;z-index:251664384;mso-width-relative:page;mso-height-relative:page;" filled="f" stroked="f" coordsize="21600,21600" o:gfxdata="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44pWdQAAAAHAQAADwAAAAAAAAABACAAAAAiAAAAZHJzL2Rvd25yZXYueG1sUEsB&#10;AhQAFAAAAAgAh07iQC5WZn4yAgAAYwQAAA4AAAAAAAAAAQAgAAAAIwEAAGRycy9lMm9Eb2MueG1s&#10;UEsFBgAAAAAGAAYAWQEAAMcFA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104"/>
      <w:rPr>
        <w:rFonts w:ascii="宋体" w:hAnsi="宋体" w:eastAsia="宋体" w:cs="宋体"/>
        <w:sz w:val="30"/>
        <w:szCs w:val="3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104"/>
      <w:rPr>
        <w:rFonts w:ascii="宋体" w:hAnsi="宋体" w:eastAsia="宋体" w:cs="宋体"/>
        <w:sz w:val="30"/>
        <w:szCs w:val="30"/>
      </w:rPr>
    </w:pPr>
    <w:r>
      <w:rPr>
        <w:sz w:val="30"/>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209550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5pt;height:144pt;width:144pt;mso-position-horizontal:outside;mso-position-horizontal-relative:margin;mso-wrap-style:none;z-index:251665408;mso-width-relative:page;mso-height-relative:page;" filled="f" stroked="f" coordsize="21600,21600" o:gfxdata="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uOKVnUAAAABwEAAA8AAAAAAAAAAQAgAAAAIgAAAGRycy9kb3ducmV2LnhtbFBL&#10;AQIUABQAAAAIAIdO4kBhrYRyMwIAAGMEAAAOAAAAAAAAAAEAIAAAACMBAABkcnMvZTJvRG9jLnht&#10;bFBLBQYAAAAABgAGAFkBAADIBQ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zYjUyZGIyZDI3YjQ3MzVhYTc4N2VkNTAwOThmMDcifQ=="/>
    <w:docVar w:name="KSO_WPS_MARK_KEY" w:val="a37541c6-d971-4ab1-b702-6898306c15e5"/>
  </w:docVars>
  <w:rsids>
    <w:rsidRoot w:val="210D6CF7"/>
    <w:rsid w:val="00771B68"/>
    <w:rsid w:val="03E477C9"/>
    <w:rsid w:val="04213FAB"/>
    <w:rsid w:val="0B640F3B"/>
    <w:rsid w:val="10C94194"/>
    <w:rsid w:val="14CA39EC"/>
    <w:rsid w:val="18385227"/>
    <w:rsid w:val="18811394"/>
    <w:rsid w:val="18DC2C0D"/>
    <w:rsid w:val="1980590A"/>
    <w:rsid w:val="19A219BE"/>
    <w:rsid w:val="1B206AFF"/>
    <w:rsid w:val="1BCA303C"/>
    <w:rsid w:val="1C1B0031"/>
    <w:rsid w:val="1D840FC9"/>
    <w:rsid w:val="210D6CF7"/>
    <w:rsid w:val="215676F1"/>
    <w:rsid w:val="23763D00"/>
    <w:rsid w:val="240E5F29"/>
    <w:rsid w:val="280D678A"/>
    <w:rsid w:val="294B5B30"/>
    <w:rsid w:val="29DF0136"/>
    <w:rsid w:val="2B543CDE"/>
    <w:rsid w:val="2FA75F07"/>
    <w:rsid w:val="305A62E5"/>
    <w:rsid w:val="30A54F0D"/>
    <w:rsid w:val="317B4712"/>
    <w:rsid w:val="3245770C"/>
    <w:rsid w:val="36B67FED"/>
    <w:rsid w:val="375F1C25"/>
    <w:rsid w:val="3A3519D1"/>
    <w:rsid w:val="3B6A9F78"/>
    <w:rsid w:val="405D3B07"/>
    <w:rsid w:val="42304C9D"/>
    <w:rsid w:val="46123DE7"/>
    <w:rsid w:val="47C65743"/>
    <w:rsid w:val="47E20BBF"/>
    <w:rsid w:val="4E68049E"/>
    <w:rsid w:val="4E7E2355"/>
    <w:rsid w:val="520A007D"/>
    <w:rsid w:val="53552A46"/>
    <w:rsid w:val="540D34EB"/>
    <w:rsid w:val="572529A2"/>
    <w:rsid w:val="58A663F9"/>
    <w:rsid w:val="59352B9C"/>
    <w:rsid w:val="5C967DF5"/>
    <w:rsid w:val="5CE14F93"/>
    <w:rsid w:val="5EB9271D"/>
    <w:rsid w:val="605E571B"/>
    <w:rsid w:val="64587746"/>
    <w:rsid w:val="66A02823"/>
    <w:rsid w:val="673372DA"/>
    <w:rsid w:val="67356E3D"/>
    <w:rsid w:val="6744501E"/>
    <w:rsid w:val="6DAA44F4"/>
    <w:rsid w:val="70CB04E6"/>
    <w:rsid w:val="753D0260"/>
    <w:rsid w:val="77854F30"/>
    <w:rsid w:val="7B520D13"/>
    <w:rsid w:val="7B8E679A"/>
    <w:rsid w:val="7C0A65D2"/>
    <w:rsid w:val="B5B54023"/>
    <w:rsid w:val="CEEFA3B4"/>
    <w:rsid w:val="EEB6D831"/>
    <w:rsid w:val="F7FF8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napToGrid w:val="0"/>
      <w:spacing w:line="640" w:lineRule="exact"/>
      <w:ind w:firstLine="705"/>
    </w:pPr>
    <w:rPr>
      <w:rFonts w:ascii="仿宋_GB2312" w:hAnsi="Times New Roman" w:eastAsia="仿宋_GB2312" w:cs="仿宋_GB2312"/>
      <w:color w:val="000000"/>
      <w:sz w:val="36"/>
      <w:szCs w:val="36"/>
    </w:rPr>
  </w:style>
  <w:style w:type="paragraph" w:styleId="3">
    <w:name w:val="Body Text"/>
    <w:basedOn w:val="1"/>
    <w:semiHidden/>
    <w:qFormat/>
    <w:uiPriority w:val="0"/>
    <w:rPr>
      <w:rFonts w:ascii="仿宋" w:hAnsi="仿宋" w:eastAsia="仿宋" w:cs="仿宋"/>
      <w:sz w:val="35"/>
      <w:szCs w:val="35"/>
      <w:lang w:val="en-US" w:eastAsia="en-US" w:bidi="ar-SA"/>
    </w:r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Text"/>
    <w:basedOn w:val="1"/>
    <w:semiHidden/>
    <w:qFormat/>
    <w:uiPriority w:val="0"/>
    <w:rPr>
      <w:rFonts w:ascii="宋体" w:hAnsi="宋体" w:eastAsia="宋体" w:cs="宋体"/>
      <w:sz w:val="23"/>
      <w:szCs w:val="23"/>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3812</Words>
  <Characters>4147</Characters>
  <Lines>0</Lines>
  <Paragraphs>0</Paragraphs>
  <TotalTime>5</TotalTime>
  <ScaleCrop>false</ScaleCrop>
  <LinksUpToDate>false</LinksUpToDate>
  <CharactersWithSpaces>4174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2024-03-23T00:20:00Z</dcterms:created>
  <dc:creator>吴静</dc:creator>
  <cp:lastModifiedBy>Administrator</cp:lastModifiedBy>
  <cp:lastPrinted>2024-03-29T15:44:00Z</cp:lastPrinted>
  <dcterms:modified xsi:type="dcterms:W3CDTF">2024-04-03T02:37:59Z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3C583F27B5BF49959C616212D4E4014F</vt:lpwstr>
  </property>
</Properties>
</file>