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1FA" w:rsidRDefault="004521FA" w:rsidP="004521FA">
      <w:pPr>
        <w:adjustRightInd w:val="0"/>
        <w:snapToGrid w:val="0"/>
        <w:spacing w:line="600" w:lineRule="exact"/>
        <w:jc w:val="left"/>
        <w:rPr>
          <w:rFonts w:ascii="黑体" w:eastAsia="黑体" w:hAnsi="黑体" w:cs="黑体" w:hint="eastAsia"/>
          <w:w w:val="95"/>
          <w:sz w:val="32"/>
          <w:szCs w:val="32"/>
        </w:rPr>
      </w:pPr>
      <w:r>
        <w:rPr>
          <w:rFonts w:ascii="黑体" w:eastAsia="黑体" w:hAnsi="黑体" w:cs="黑体" w:hint="eastAsia"/>
          <w:w w:val="95"/>
          <w:sz w:val="32"/>
          <w:szCs w:val="32"/>
        </w:rPr>
        <w:t>附件2</w:t>
      </w:r>
    </w:p>
    <w:tbl>
      <w:tblPr>
        <w:tblW w:w="13125" w:type="dxa"/>
        <w:tblInd w:w="29" w:type="dxa"/>
        <w:tblLayout w:type="fixed"/>
        <w:tblCellMar>
          <w:left w:w="0" w:type="dxa"/>
          <w:right w:w="0" w:type="dxa"/>
        </w:tblCellMar>
        <w:tblLook w:val="0000" w:firstRow="0" w:lastRow="0" w:firstColumn="0" w:lastColumn="0" w:noHBand="0" w:noVBand="0"/>
      </w:tblPr>
      <w:tblGrid>
        <w:gridCol w:w="1440"/>
        <w:gridCol w:w="1560"/>
        <w:gridCol w:w="4839"/>
        <w:gridCol w:w="4401"/>
        <w:gridCol w:w="885"/>
      </w:tblGrid>
      <w:tr w:rsidR="004521FA" w:rsidTr="00651A61">
        <w:trPr>
          <w:trHeight w:val="942"/>
        </w:trPr>
        <w:tc>
          <w:tcPr>
            <w:tcW w:w="13125" w:type="dxa"/>
            <w:gridSpan w:val="5"/>
            <w:tcBorders>
              <w:top w:val="nil"/>
              <w:left w:val="nil"/>
              <w:bottom w:val="nil"/>
              <w:right w:val="nil"/>
            </w:tcBorders>
            <w:noWrap/>
            <w:tcMar>
              <w:top w:w="12" w:type="dxa"/>
              <w:left w:w="12" w:type="dxa"/>
              <w:right w:w="12" w:type="dxa"/>
            </w:tcMar>
            <w:vAlign w:val="center"/>
          </w:tcPr>
          <w:p w:rsidR="004521FA" w:rsidRDefault="004521FA" w:rsidP="00651A61">
            <w:pPr>
              <w:widowControl/>
              <w:jc w:val="center"/>
              <w:textAlignment w:val="center"/>
              <w:rPr>
                <w:rFonts w:ascii="方正小标宋简体" w:eastAsia="方正小标宋简体" w:hAnsi="方正小标宋简体" w:cs="方正小标宋简体"/>
                <w:sz w:val="40"/>
                <w:szCs w:val="40"/>
              </w:rPr>
            </w:pPr>
            <w:bookmarkStart w:id="0" w:name="_GoBack"/>
            <w:r>
              <w:rPr>
                <w:rFonts w:ascii="方正小标宋简体" w:eastAsia="方正小标宋简体" w:hAnsi="方正小标宋简体" w:cs="方正小标宋简体" w:hint="eastAsia"/>
                <w:kern w:val="0"/>
                <w:sz w:val="40"/>
                <w:szCs w:val="40"/>
              </w:rPr>
              <w:t>自治区老年友善三级医疗机构建设评价标准</w:t>
            </w:r>
            <w:bookmarkEnd w:id="0"/>
          </w:p>
        </w:tc>
      </w:tr>
      <w:tr w:rsidR="004521FA" w:rsidTr="00651A61">
        <w:trPr>
          <w:trHeight w:val="499"/>
        </w:trPr>
        <w:tc>
          <w:tcPr>
            <w:tcW w:w="14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center"/>
              <w:textAlignment w:val="center"/>
              <w:rPr>
                <w:rFonts w:ascii="黑体" w:eastAsia="黑体" w:hAnsi="宋体" w:cs="黑体"/>
                <w:sz w:val="24"/>
              </w:rPr>
            </w:pPr>
            <w:r>
              <w:rPr>
                <w:rFonts w:ascii="黑体" w:eastAsia="黑体" w:hAnsi="宋体" w:cs="黑体" w:hint="eastAsia"/>
                <w:kern w:val="0"/>
                <w:sz w:val="24"/>
              </w:rPr>
              <w:t>评价项目</w:t>
            </w:r>
          </w:p>
        </w:tc>
        <w:tc>
          <w:tcPr>
            <w:tcW w:w="15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center"/>
              <w:textAlignment w:val="center"/>
              <w:rPr>
                <w:rFonts w:ascii="黑体" w:eastAsia="黑体" w:hAnsi="宋体" w:cs="黑体"/>
                <w:sz w:val="24"/>
              </w:rPr>
            </w:pPr>
            <w:r>
              <w:rPr>
                <w:rFonts w:ascii="黑体" w:eastAsia="黑体" w:hAnsi="宋体" w:cs="黑体" w:hint="eastAsia"/>
                <w:kern w:val="0"/>
                <w:sz w:val="24"/>
              </w:rPr>
              <w:t>评价内容</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center"/>
              <w:textAlignment w:val="center"/>
              <w:rPr>
                <w:rFonts w:ascii="黑体" w:eastAsia="黑体" w:hAnsi="宋体" w:cs="黑体"/>
                <w:sz w:val="24"/>
              </w:rPr>
            </w:pPr>
            <w:r>
              <w:rPr>
                <w:rFonts w:ascii="黑体" w:eastAsia="黑体" w:hAnsi="宋体" w:cs="黑体" w:hint="eastAsia"/>
                <w:kern w:val="0"/>
                <w:sz w:val="24"/>
              </w:rPr>
              <w:t>评价要点及评分标准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center"/>
              <w:textAlignment w:val="center"/>
              <w:rPr>
                <w:rFonts w:ascii="黑体" w:eastAsia="黑体" w:hAnsi="宋体" w:cs="黑体"/>
                <w:sz w:val="24"/>
              </w:rPr>
            </w:pPr>
            <w:r>
              <w:rPr>
                <w:rFonts w:ascii="黑体" w:eastAsia="黑体" w:hAnsi="宋体" w:cs="黑体" w:hint="eastAsia"/>
                <w:kern w:val="0"/>
                <w:sz w:val="24"/>
              </w:rPr>
              <w:t>评价方法</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center"/>
              <w:textAlignment w:val="center"/>
              <w:rPr>
                <w:rFonts w:ascii="黑体" w:eastAsia="黑体" w:hAnsi="宋体" w:cs="黑体"/>
                <w:sz w:val="24"/>
              </w:rPr>
            </w:pPr>
            <w:r>
              <w:rPr>
                <w:rFonts w:ascii="黑体" w:eastAsia="黑体" w:hAnsi="宋体" w:cs="黑体" w:hint="eastAsia"/>
                <w:kern w:val="0"/>
                <w:sz w:val="24"/>
              </w:rPr>
              <w:t>得分</w:t>
            </w:r>
          </w:p>
        </w:tc>
      </w:tr>
      <w:tr w:rsidR="004521FA" w:rsidTr="00651A61">
        <w:trPr>
          <w:trHeight w:val="499"/>
        </w:trPr>
        <w:tc>
          <w:tcPr>
            <w:tcW w:w="14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center"/>
              <w:textAlignment w:val="center"/>
              <w:rPr>
                <w:rFonts w:ascii="宋体" w:hAnsi="宋体" w:cs="宋体"/>
                <w:sz w:val="20"/>
                <w:szCs w:val="20"/>
              </w:rPr>
            </w:pPr>
            <w:r>
              <w:rPr>
                <w:rFonts w:ascii="宋体" w:hAnsi="宋体" w:cs="宋体" w:hint="eastAsia"/>
                <w:kern w:val="0"/>
                <w:sz w:val="20"/>
                <w:szCs w:val="20"/>
              </w:rPr>
              <w:t>一、老年友善文化（10分）</w:t>
            </w: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left"/>
              <w:textAlignment w:val="center"/>
              <w:rPr>
                <w:rFonts w:ascii="宋体" w:hAnsi="宋体" w:cs="宋体"/>
                <w:sz w:val="20"/>
                <w:szCs w:val="20"/>
              </w:rPr>
            </w:pPr>
            <w:r>
              <w:rPr>
                <w:rFonts w:ascii="宋体" w:hAnsi="宋体" w:cs="宋体" w:hint="eastAsia"/>
                <w:kern w:val="0"/>
                <w:sz w:val="20"/>
                <w:szCs w:val="20"/>
              </w:rPr>
              <w:t>1.文化建设（3分）</w:t>
            </w:r>
          </w:p>
        </w:tc>
        <w:tc>
          <w:tcPr>
            <w:tcW w:w="483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 xml:space="preserve">1.1  </w:t>
            </w:r>
            <w:proofErr w:type="gramStart"/>
            <w:r>
              <w:rPr>
                <w:rFonts w:ascii="宋体" w:hAnsi="宋体" w:cs="宋体" w:hint="eastAsia"/>
                <w:w w:val="80"/>
                <w:kern w:val="0"/>
                <w:sz w:val="20"/>
                <w:szCs w:val="20"/>
              </w:rPr>
              <w:t>医院愿景或</w:t>
            </w:r>
            <w:proofErr w:type="gramEnd"/>
            <w:r>
              <w:rPr>
                <w:rFonts w:ascii="宋体" w:hAnsi="宋体" w:cs="宋体" w:hint="eastAsia"/>
                <w:w w:val="80"/>
                <w:kern w:val="0"/>
                <w:sz w:val="20"/>
                <w:szCs w:val="20"/>
              </w:rPr>
              <w:t>文化中有关爱</w:t>
            </w:r>
            <w:r>
              <w:rPr>
                <w:rStyle w:val="font21"/>
                <w:rFonts w:hint="default"/>
                <w:w w:val="80"/>
              </w:rPr>
              <w:t>老年人，致力于提升老年人健康、尊严等的内容</w:t>
            </w:r>
            <w:r>
              <w:rPr>
                <w:rStyle w:val="font21"/>
                <w:w w:val="80"/>
              </w:rPr>
              <w:t>。</w:t>
            </w:r>
            <w:r>
              <w:rPr>
                <w:rStyle w:val="font21"/>
                <w:rFonts w:hint="default"/>
                <w:w w:val="80"/>
              </w:rPr>
              <w:t>（2分）</w:t>
            </w:r>
          </w:p>
        </w:tc>
        <w:tc>
          <w:tcPr>
            <w:tcW w:w="440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left"/>
              <w:textAlignment w:val="center"/>
              <w:rPr>
                <w:rFonts w:ascii="宋体" w:hAnsi="宋体" w:cs="宋体"/>
                <w:w w:val="80"/>
                <w:sz w:val="20"/>
                <w:szCs w:val="20"/>
              </w:rPr>
            </w:pPr>
            <w:r>
              <w:rPr>
                <w:rFonts w:ascii="宋体" w:hAnsi="宋体" w:cs="宋体" w:hint="eastAsia"/>
                <w:w w:val="80"/>
                <w:kern w:val="0"/>
                <w:sz w:val="20"/>
                <w:szCs w:val="20"/>
              </w:rPr>
              <w:t>查看医院网站、</w:t>
            </w:r>
            <w:proofErr w:type="gramStart"/>
            <w:r>
              <w:rPr>
                <w:rFonts w:ascii="宋体" w:hAnsi="宋体" w:cs="宋体" w:hint="eastAsia"/>
                <w:w w:val="80"/>
                <w:kern w:val="0"/>
                <w:sz w:val="20"/>
                <w:szCs w:val="20"/>
              </w:rPr>
              <w:t>微信公众号</w:t>
            </w:r>
            <w:proofErr w:type="gramEnd"/>
            <w:r>
              <w:rPr>
                <w:rFonts w:ascii="宋体" w:hAnsi="宋体" w:cs="宋体" w:hint="eastAsia"/>
                <w:w w:val="80"/>
                <w:kern w:val="0"/>
                <w:sz w:val="20"/>
                <w:szCs w:val="20"/>
              </w:rPr>
              <w:t>、局域网络电视的医院文化板块；查阅医院宣传资料、院徽、</w:t>
            </w:r>
            <w:proofErr w:type="gramStart"/>
            <w:r>
              <w:rPr>
                <w:rFonts w:ascii="宋体" w:hAnsi="宋体" w:cs="宋体" w:hint="eastAsia"/>
                <w:w w:val="80"/>
                <w:kern w:val="0"/>
                <w:sz w:val="20"/>
                <w:szCs w:val="20"/>
              </w:rPr>
              <w:t>院标等上</w:t>
            </w:r>
            <w:proofErr w:type="gramEnd"/>
            <w:r>
              <w:rPr>
                <w:rFonts w:ascii="宋体" w:hAnsi="宋体" w:cs="宋体" w:hint="eastAsia"/>
                <w:w w:val="80"/>
                <w:kern w:val="0"/>
                <w:sz w:val="20"/>
                <w:szCs w:val="20"/>
              </w:rPr>
              <w:t>有无体现尊老、爱老的文化内容。</w:t>
            </w:r>
          </w:p>
        </w:tc>
        <w:tc>
          <w:tcPr>
            <w:tcW w:w="88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49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left"/>
              <w:rPr>
                <w:rFonts w:ascii="宋体" w:hAnsi="宋体" w:cs="宋体"/>
                <w:sz w:val="20"/>
                <w:szCs w:val="20"/>
              </w:rPr>
            </w:pPr>
          </w:p>
        </w:tc>
        <w:tc>
          <w:tcPr>
            <w:tcW w:w="483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w w:val="80"/>
                <w:sz w:val="20"/>
                <w:szCs w:val="20"/>
              </w:rPr>
            </w:pPr>
          </w:p>
        </w:tc>
        <w:tc>
          <w:tcPr>
            <w:tcW w:w="44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left"/>
              <w:rPr>
                <w:rFonts w:ascii="宋体" w:hAnsi="宋体" w:cs="宋体"/>
                <w:w w:val="80"/>
                <w:sz w:val="20"/>
                <w:szCs w:val="20"/>
              </w:rPr>
            </w:pPr>
          </w:p>
        </w:tc>
        <w:tc>
          <w:tcPr>
            <w:tcW w:w="88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61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left"/>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1.2  职工手册、行为守则等规范中有对老年人态度、行为、礼貌用语等的要求。（1</w:t>
            </w:r>
            <w:r>
              <w:rPr>
                <w:rStyle w:val="font21"/>
                <w:rFonts w:hint="default"/>
                <w:w w:val="8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查看医院职工手册、宣传材料等上有无相关内容。</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102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left"/>
              <w:textAlignment w:val="center"/>
              <w:rPr>
                <w:rFonts w:ascii="宋体" w:hAnsi="宋体" w:cs="宋体"/>
                <w:sz w:val="20"/>
                <w:szCs w:val="20"/>
              </w:rPr>
            </w:pPr>
            <w:r>
              <w:rPr>
                <w:rFonts w:ascii="宋体" w:hAnsi="宋体" w:cs="宋体" w:hint="eastAsia"/>
                <w:kern w:val="0"/>
                <w:sz w:val="20"/>
                <w:szCs w:val="20"/>
              </w:rPr>
              <w:t>2.友善氛围（3分）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2.1 在院内开展尊老、助老、护老等活动，老年人就医受到尊重；有投诉管理机制。（2分）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现场观察医疗机构工作人员与老年患者的沟通方式（态度、语言、文字、图片等），实地巡查门、急诊引导老人就诊、检查、取药等情况。现场随机调研病人及家属的满意度。</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70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left"/>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2.2  在院外定期</w:t>
            </w:r>
            <w:r>
              <w:rPr>
                <w:rStyle w:val="font21"/>
                <w:rFonts w:hint="default"/>
                <w:w w:val="80"/>
              </w:rPr>
              <w:t>开展尊老、爱老、孝</w:t>
            </w:r>
            <w:proofErr w:type="gramStart"/>
            <w:r>
              <w:rPr>
                <w:rStyle w:val="font21"/>
                <w:rFonts w:hint="default"/>
                <w:w w:val="80"/>
              </w:rPr>
              <w:t>老相关</w:t>
            </w:r>
            <w:proofErr w:type="gramEnd"/>
            <w:r>
              <w:rPr>
                <w:rStyle w:val="font21"/>
                <w:rFonts w:hint="default"/>
                <w:w w:val="80"/>
              </w:rPr>
              <w:t>宣传、义诊等公益活动</w:t>
            </w:r>
            <w:r>
              <w:rPr>
                <w:rStyle w:val="font21"/>
                <w:w w:val="80"/>
              </w:rPr>
              <w:t>。</w:t>
            </w:r>
            <w:r>
              <w:rPr>
                <w:rStyle w:val="font21"/>
                <w:rFonts w:hint="default"/>
                <w:w w:val="80"/>
              </w:rPr>
              <w:t>（1分）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查阅义诊活动的记录、图片和宣传报道。</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82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left"/>
              <w:textAlignment w:val="center"/>
              <w:rPr>
                <w:rFonts w:ascii="宋体" w:hAnsi="宋体" w:cs="宋体"/>
                <w:sz w:val="20"/>
                <w:szCs w:val="20"/>
              </w:rPr>
            </w:pPr>
            <w:r>
              <w:rPr>
                <w:rFonts w:ascii="宋体" w:hAnsi="宋体" w:cs="宋体" w:hint="eastAsia"/>
                <w:kern w:val="0"/>
                <w:sz w:val="20"/>
                <w:szCs w:val="20"/>
              </w:rPr>
              <w:t>3.健康宣教（2分）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3.1  有针对老年人的健康教育制度及向老年人定期提供健康宣教服务、中医养生保健的宣教服务。（1分）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查看机构健康宣教制度、老年人就诊区域有无针对老年人的健康宣教手册、展板</w:t>
            </w:r>
            <w:r>
              <w:rPr>
                <w:rStyle w:val="font21"/>
                <w:rFonts w:hint="default"/>
                <w:w w:val="80"/>
              </w:rPr>
              <w:t>。</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97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left"/>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3.2  以方便老年人阅览</w:t>
            </w:r>
            <w:r>
              <w:rPr>
                <w:rStyle w:val="font21"/>
                <w:rFonts w:hint="default"/>
                <w:w w:val="80"/>
              </w:rPr>
              <w:t>的方式向老年人公示各类便民服务信息，包括但不限于服务时间、收费标准和服务流程等</w:t>
            </w:r>
            <w:r>
              <w:rPr>
                <w:rStyle w:val="font21"/>
                <w:w w:val="80"/>
              </w:rPr>
              <w:t>。</w:t>
            </w:r>
            <w:r>
              <w:rPr>
                <w:rStyle w:val="font21"/>
                <w:rFonts w:hint="default"/>
                <w:w w:val="80"/>
              </w:rPr>
              <w:t>（</w:t>
            </w:r>
            <w:r>
              <w:rPr>
                <w:rFonts w:ascii="宋体" w:hAnsi="宋体" w:cs="宋体" w:hint="eastAsia"/>
                <w:w w:val="80"/>
                <w:kern w:val="0"/>
                <w:sz w:val="20"/>
                <w:szCs w:val="20"/>
              </w:rPr>
              <w:t>1</w:t>
            </w:r>
            <w:r>
              <w:rPr>
                <w:rStyle w:val="font21"/>
                <w:rFonts w:hint="default"/>
                <w:w w:val="8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查看门诊触摸屏、专家介绍、服务流程和物价公示等。</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82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sz w:val="20"/>
                <w:szCs w:val="20"/>
              </w:rPr>
            </w:pPr>
            <w:r>
              <w:rPr>
                <w:rFonts w:ascii="宋体" w:hAnsi="宋体" w:cs="宋体" w:hint="eastAsia"/>
                <w:kern w:val="0"/>
                <w:sz w:val="20"/>
                <w:szCs w:val="20"/>
              </w:rPr>
              <w:t>4.社会工作与志愿者服务</w:t>
            </w:r>
            <w:r>
              <w:rPr>
                <w:rStyle w:val="font21"/>
                <w:rFonts w:hint="default"/>
              </w:rPr>
              <w:t>（2分）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4.1  有关于社会工作与志愿者为老年人开展服务的相关规章制度，并为老年人提供服务。（1分）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查看相关的组织机构、制度职责和记录。</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114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4.2  有关于志愿者或志愿服务的管理制度；有为老年人提供导</w:t>
            </w:r>
            <w:proofErr w:type="gramStart"/>
            <w:r>
              <w:rPr>
                <w:rFonts w:ascii="宋体" w:hAnsi="宋体" w:cs="宋体" w:hint="eastAsia"/>
                <w:w w:val="80"/>
                <w:kern w:val="0"/>
                <w:sz w:val="20"/>
                <w:szCs w:val="20"/>
              </w:rPr>
              <w:t>医</w:t>
            </w:r>
            <w:proofErr w:type="gramEnd"/>
            <w:r>
              <w:rPr>
                <w:rFonts w:ascii="宋体" w:hAnsi="宋体" w:cs="宋体" w:hint="eastAsia"/>
                <w:w w:val="80"/>
                <w:kern w:val="0"/>
                <w:sz w:val="20"/>
                <w:szCs w:val="20"/>
              </w:rPr>
              <w:t>、陪伴等志愿服务；有老年志愿者、离退休医务人员等的积极参与。（1分 ）</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w:t>
            </w:r>
            <w:r>
              <w:rPr>
                <w:rStyle w:val="font21"/>
                <w:rFonts w:hint="default"/>
                <w:w w:val="80"/>
              </w:rPr>
              <w:t>看导诊台、自助挂号机、服务台等处自愿者的服务情况，查看招募志愿者或离退休人员的信息资料</w:t>
            </w:r>
            <w:r>
              <w:rPr>
                <w:rStyle w:val="font21"/>
                <w:w w:val="80"/>
              </w:rPr>
              <w:t>。</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919"/>
        </w:trPr>
        <w:tc>
          <w:tcPr>
            <w:tcW w:w="14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center"/>
              <w:textAlignment w:val="center"/>
              <w:rPr>
                <w:rFonts w:ascii="宋体" w:hAnsi="宋体" w:cs="宋体"/>
                <w:sz w:val="20"/>
                <w:szCs w:val="20"/>
              </w:rPr>
            </w:pPr>
            <w:r>
              <w:rPr>
                <w:rFonts w:ascii="宋体" w:hAnsi="宋体" w:cs="宋体" w:hint="eastAsia"/>
                <w:kern w:val="0"/>
                <w:sz w:val="20"/>
                <w:szCs w:val="20"/>
              </w:rPr>
              <w:t>二、老年友善管理（15分）</w:t>
            </w: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left"/>
              <w:textAlignment w:val="center"/>
              <w:rPr>
                <w:rFonts w:ascii="宋体" w:hAnsi="宋体" w:cs="宋体"/>
                <w:sz w:val="20"/>
                <w:szCs w:val="20"/>
              </w:rPr>
            </w:pPr>
            <w:r>
              <w:rPr>
                <w:rFonts w:ascii="宋体" w:hAnsi="宋体" w:cs="宋体" w:hint="eastAsia"/>
                <w:kern w:val="0"/>
                <w:sz w:val="20"/>
                <w:szCs w:val="20"/>
              </w:rPr>
              <w:t>5.保障机制（3分）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5.1  有老年友善管理相关规章制度和组织领导架构，并将老年友善医疗机构建设纳入医疗机构评价体系。（1分）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查看规章制度、评价体系等相关文件。</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72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left"/>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5.2  有老年友善医疗机构建设的年度工作计划、总结、督导检查记录和整改措施。（1分）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查看相关计划及工作记录。</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49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left"/>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5.3  有落实老年友善医疗机构建设的经费。（1分）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查看相关经费预算、相关支出凭证。</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49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center"/>
              <w:textAlignment w:val="center"/>
              <w:rPr>
                <w:rFonts w:ascii="宋体" w:hAnsi="宋体" w:cs="宋体"/>
                <w:sz w:val="20"/>
                <w:szCs w:val="20"/>
              </w:rPr>
            </w:pPr>
            <w:r>
              <w:rPr>
                <w:rFonts w:ascii="宋体" w:hAnsi="宋体" w:cs="宋体" w:hint="eastAsia"/>
                <w:kern w:val="0"/>
                <w:sz w:val="20"/>
                <w:szCs w:val="20"/>
              </w:rPr>
              <w:t>6.老年医学管理与培训 （8分）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6.1  建立涉老科研项目的医学伦理审查制度，并具体实施。（1分）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查看受试者老人的知情同意书和相关记录。</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138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6.2  建立具有老年医学特点的管理制度及服务模式，并具体实施，其中应包括老年综合评估、老年病多学科综合诊疗模式（MDT）、老年综合征的干预和老年照护问题的管理等。（2分）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查看医务部（科）、护理部等职能部门的相关制度、文件等及工作记录；</w:t>
            </w:r>
            <w:r>
              <w:rPr>
                <w:rStyle w:val="font101"/>
                <w:rFonts w:hint="default"/>
                <w:w w:val="80"/>
              </w:rPr>
              <w:t>对于二级专科康复医院、中医院及</w:t>
            </w:r>
            <w:proofErr w:type="gramStart"/>
            <w:r>
              <w:rPr>
                <w:rStyle w:val="font101"/>
                <w:rFonts w:hint="default"/>
                <w:w w:val="80"/>
              </w:rPr>
              <w:t>医</w:t>
            </w:r>
            <w:proofErr w:type="gramEnd"/>
            <w:r>
              <w:rPr>
                <w:rStyle w:val="font101"/>
                <w:rFonts w:hint="default"/>
                <w:w w:val="80"/>
              </w:rPr>
              <w:t>养结合医院，可对有适应症的患者开展老年综合评估，鼓励针对有干预价值的患者进行早期评估及干预治疗。</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70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6.3 机构人员有参加国家级</w:t>
            </w:r>
            <w:r>
              <w:rPr>
                <w:rStyle w:val="font101"/>
                <w:rFonts w:hint="default"/>
                <w:w w:val="80"/>
              </w:rPr>
              <w:t>或自治区级</w:t>
            </w:r>
            <w:r>
              <w:rPr>
                <w:rFonts w:ascii="宋体" w:hAnsi="宋体" w:cs="宋体" w:hint="eastAsia"/>
                <w:w w:val="80"/>
                <w:kern w:val="0"/>
                <w:sz w:val="20"/>
                <w:szCs w:val="20"/>
              </w:rPr>
              <w:t>老年医学科医师及护理培训班并取得证书或学分证明。（1分）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查看机构被培训人员的培训证书或学分证明；</w:t>
            </w:r>
            <w:r>
              <w:rPr>
                <w:rStyle w:val="font101"/>
                <w:rFonts w:hint="default"/>
                <w:w w:val="80"/>
              </w:rPr>
              <w:t>具有培训资质的三级医疗机构，每年面向全疆提供不少于1次的老年专科培训</w:t>
            </w:r>
            <w:r>
              <w:rPr>
                <w:rStyle w:val="font101"/>
                <w:w w:val="80"/>
              </w:rPr>
              <w:t>。</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114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6.4 有健全的老年医学相关培训制度并定期开展老年医学专业知识和技能培训，包括老年心理学、社会学、与老年人沟通交流技巧等内容的培训。（2分）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查看相关的培训计划、课程表、培训课件、宣传报道、签到表及其他工作记录；访谈1-2名医生的培训情况，在门、急诊观察医护人员与老年患者交流的情况。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49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6.5  定期开展老年护理、康复护理技能培训。</w:t>
            </w:r>
            <w:r>
              <w:rPr>
                <w:rStyle w:val="font21"/>
                <w:rFonts w:hint="default"/>
                <w:w w:val="80"/>
              </w:rPr>
              <w:t>（2分）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查看相关的培训计划、课程表、培训课件和签到表等，访谈1-2名护士的培训情况。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73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center"/>
              <w:textAlignment w:val="center"/>
              <w:rPr>
                <w:rFonts w:ascii="宋体" w:hAnsi="宋体" w:cs="宋体"/>
                <w:sz w:val="20"/>
                <w:szCs w:val="20"/>
              </w:rPr>
            </w:pPr>
            <w:r>
              <w:rPr>
                <w:rFonts w:ascii="宋体" w:hAnsi="宋体" w:cs="宋体" w:hint="eastAsia"/>
                <w:kern w:val="0"/>
                <w:sz w:val="20"/>
                <w:szCs w:val="20"/>
              </w:rPr>
              <w:t>7.分级诊疗（4分）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7.1  有负责老年患者转诊管理的部门</w:t>
            </w:r>
            <w:r>
              <w:rPr>
                <w:rStyle w:val="font21"/>
                <w:rFonts w:hint="default"/>
                <w:w w:val="80"/>
              </w:rPr>
              <w:t>和相关规章制度，并有相关实施记录</w:t>
            </w:r>
            <w:r>
              <w:rPr>
                <w:rStyle w:val="font21"/>
                <w:w w:val="80"/>
              </w:rPr>
              <w:t>。</w:t>
            </w:r>
            <w:r>
              <w:rPr>
                <w:rStyle w:val="font21"/>
                <w:rFonts w:hint="default"/>
                <w:w w:val="80"/>
              </w:rPr>
              <w:t>（1分）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查看转诊管理部门的制度、职责和服务流程。</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61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7.2  参与区域</w:t>
            </w:r>
            <w:proofErr w:type="gramStart"/>
            <w:r>
              <w:rPr>
                <w:rFonts w:ascii="宋体" w:hAnsi="宋体" w:cs="宋体" w:hint="eastAsia"/>
                <w:w w:val="80"/>
                <w:kern w:val="0"/>
                <w:sz w:val="20"/>
                <w:szCs w:val="20"/>
              </w:rPr>
              <w:t>医</w:t>
            </w:r>
            <w:proofErr w:type="gramEnd"/>
            <w:r>
              <w:rPr>
                <w:rFonts w:ascii="宋体" w:hAnsi="宋体" w:cs="宋体" w:hint="eastAsia"/>
                <w:w w:val="80"/>
                <w:kern w:val="0"/>
                <w:sz w:val="20"/>
                <w:szCs w:val="20"/>
              </w:rPr>
              <w:t>联体、</w:t>
            </w:r>
            <w:proofErr w:type="gramStart"/>
            <w:r>
              <w:rPr>
                <w:rFonts w:ascii="宋体" w:hAnsi="宋体" w:cs="宋体" w:hint="eastAsia"/>
                <w:w w:val="80"/>
                <w:kern w:val="0"/>
                <w:sz w:val="20"/>
                <w:szCs w:val="20"/>
              </w:rPr>
              <w:t>医</w:t>
            </w:r>
            <w:proofErr w:type="gramEnd"/>
            <w:r>
              <w:rPr>
                <w:rFonts w:ascii="宋体" w:hAnsi="宋体" w:cs="宋体" w:hint="eastAsia"/>
                <w:w w:val="80"/>
                <w:kern w:val="0"/>
                <w:sz w:val="20"/>
                <w:szCs w:val="20"/>
              </w:rPr>
              <w:t>养联合体、医疗集团点建设。（2分）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查看相关文件，巡查和分析医院各病区的管理模式。</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109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7.3  建立双向转诊的流程及规范，签订合作协议，并按协议提供服务。（1分）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查看相关的合作协议和协作记录。</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720"/>
        </w:trPr>
        <w:tc>
          <w:tcPr>
            <w:tcW w:w="14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center"/>
              <w:textAlignment w:val="center"/>
              <w:rPr>
                <w:rFonts w:ascii="宋体" w:hAnsi="宋体" w:cs="宋体"/>
                <w:sz w:val="20"/>
                <w:szCs w:val="20"/>
              </w:rPr>
            </w:pPr>
            <w:r>
              <w:rPr>
                <w:rFonts w:ascii="宋体" w:hAnsi="宋体" w:cs="宋体" w:hint="eastAsia"/>
                <w:kern w:val="0"/>
                <w:sz w:val="20"/>
                <w:szCs w:val="20"/>
              </w:rPr>
              <w:t>三、老年友善服务（50分）</w:t>
            </w: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center"/>
              <w:textAlignment w:val="center"/>
              <w:rPr>
                <w:rFonts w:ascii="宋体" w:hAnsi="宋体" w:cs="宋体"/>
                <w:sz w:val="20"/>
                <w:szCs w:val="20"/>
              </w:rPr>
            </w:pPr>
            <w:r>
              <w:rPr>
                <w:rFonts w:ascii="宋体" w:hAnsi="宋体" w:cs="宋体" w:hint="eastAsia"/>
                <w:kern w:val="0"/>
                <w:sz w:val="20"/>
                <w:szCs w:val="20"/>
              </w:rPr>
              <w:t>8.老年专科服务（11分）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8.1  设置有老年医学科的门诊（1分）</w:t>
            </w:r>
            <w:r>
              <w:rPr>
                <w:rStyle w:val="font21"/>
                <w:rFonts w:hint="default"/>
                <w:w w:val="80"/>
              </w:rPr>
              <w:t>、病房和综合评估室</w:t>
            </w:r>
            <w:r>
              <w:rPr>
                <w:rFonts w:ascii="宋体" w:hAnsi="宋体" w:cs="宋体" w:hint="eastAsia"/>
                <w:w w:val="80"/>
                <w:kern w:val="0"/>
                <w:sz w:val="20"/>
                <w:szCs w:val="20"/>
              </w:rPr>
              <w:t>（1分）</w:t>
            </w:r>
            <w:r>
              <w:rPr>
                <w:rStyle w:val="font21"/>
                <w:rFonts w:hint="default"/>
                <w:w w:val="80"/>
              </w:rPr>
              <w:t>、护理门诊</w:t>
            </w:r>
            <w:r>
              <w:rPr>
                <w:rStyle w:val="font21"/>
                <w:w w:val="80"/>
              </w:rPr>
              <w:t>。</w:t>
            </w:r>
            <w:r>
              <w:rPr>
                <w:rFonts w:ascii="宋体" w:hAnsi="宋体" w:cs="宋体" w:hint="eastAsia"/>
                <w:w w:val="80"/>
                <w:kern w:val="0"/>
                <w:sz w:val="20"/>
                <w:szCs w:val="20"/>
              </w:rPr>
              <w:t>（1分，如无则扣除）</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查看相关制度和组织结构，提取相关统计数据比对，实地察看老年医学科门诊、病房和老年综合评估室。</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79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8.2  开设老年特色</w:t>
            </w:r>
            <w:r>
              <w:rPr>
                <w:rStyle w:val="font21"/>
                <w:rFonts w:hint="default"/>
                <w:w w:val="80"/>
              </w:rPr>
              <w:t>康复医学科、</w:t>
            </w:r>
            <w:r>
              <w:rPr>
                <w:rStyle w:val="font101"/>
                <w:rFonts w:hint="default"/>
                <w:w w:val="80"/>
              </w:rPr>
              <w:t>康复技能培训</w:t>
            </w:r>
            <w:r>
              <w:rPr>
                <w:rStyle w:val="font21"/>
                <w:rFonts w:hint="default"/>
                <w:w w:val="80"/>
              </w:rPr>
              <w:t>、</w:t>
            </w:r>
            <w:r>
              <w:rPr>
                <w:rFonts w:ascii="宋体" w:hAnsi="宋体" w:cs="宋体" w:hint="eastAsia"/>
                <w:w w:val="80"/>
                <w:kern w:val="0"/>
                <w:sz w:val="20"/>
                <w:szCs w:val="20"/>
              </w:rPr>
              <w:t>中医科</w:t>
            </w:r>
            <w:r>
              <w:rPr>
                <w:rStyle w:val="font21"/>
                <w:rFonts w:hint="default"/>
                <w:w w:val="80"/>
              </w:rPr>
              <w:t>门诊，提供住院康复和日间康复等服务</w:t>
            </w:r>
            <w:r>
              <w:rPr>
                <w:rStyle w:val="font21"/>
                <w:w w:val="80"/>
              </w:rPr>
              <w:t>。</w:t>
            </w:r>
            <w:r>
              <w:rPr>
                <w:rStyle w:val="font21"/>
                <w:rFonts w:hint="default"/>
                <w:w w:val="80"/>
              </w:rPr>
              <w:t>（3分）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实地查看康复科、中医科</w:t>
            </w:r>
            <w:r>
              <w:rPr>
                <w:rStyle w:val="font21"/>
                <w:rFonts w:hint="default"/>
                <w:w w:val="80"/>
              </w:rPr>
              <w:t>门诊；实地考察中期照护病房（康复病房）、日间康复病房，了解中期照护服务情况；</w:t>
            </w:r>
            <w:r>
              <w:rPr>
                <w:rFonts w:ascii="宋体" w:hAnsi="宋体" w:cs="宋体" w:hint="eastAsia"/>
                <w:w w:val="80"/>
                <w:kern w:val="0"/>
                <w:sz w:val="20"/>
                <w:szCs w:val="20"/>
              </w:rPr>
              <w:t>现场访谈1名中医门诊大夫，了解中医疾病防治方面给予老年患者的健康指导情况。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66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8.3  独立提供或与养老机构、社区卫生服务机构合作提供老年长期照护服务。（2分）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查看相关资料和执行情况。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72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8.4  为临终患者提供缓和医疗与</w:t>
            </w:r>
            <w:proofErr w:type="gramStart"/>
            <w:r>
              <w:rPr>
                <w:rFonts w:ascii="宋体" w:hAnsi="宋体" w:cs="宋体" w:hint="eastAsia"/>
                <w:w w:val="80"/>
                <w:kern w:val="0"/>
                <w:sz w:val="20"/>
                <w:szCs w:val="20"/>
              </w:rPr>
              <w:t>安宁疗护服务</w:t>
            </w:r>
            <w:proofErr w:type="gramEnd"/>
            <w:r>
              <w:rPr>
                <w:rFonts w:ascii="宋体" w:hAnsi="宋体" w:cs="宋体" w:hint="eastAsia"/>
                <w:w w:val="80"/>
                <w:kern w:val="0"/>
                <w:sz w:val="20"/>
                <w:szCs w:val="20"/>
              </w:rPr>
              <w:t>。（3分）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有</w:t>
            </w:r>
            <w:proofErr w:type="gramStart"/>
            <w:r>
              <w:rPr>
                <w:rFonts w:ascii="宋体" w:hAnsi="宋体" w:cs="宋体" w:hint="eastAsia"/>
                <w:w w:val="80"/>
                <w:kern w:val="0"/>
                <w:sz w:val="20"/>
                <w:szCs w:val="20"/>
              </w:rPr>
              <w:t>安宁疗护服务</w:t>
            </w:r>
            <w:proofErr w:type="gramEnd"/>
            <w:r>
              <w:rPr>
                <w:rFonts w:ascii="宋体" w:hAnsi="宋体" w:cs="宋体" w:hint="eastAsia"/>
                <w:w w:val="80"/>
                <w:kern w:val="0"/>
                <w:sz w:val="20"/>
                <w:szCs w:val="20"/>
              </w:rPr>
              <w:t>的病房或病床，在</w:t>
            </w:r>
            <w:proofErr w:type="gramStart"/>
            <w:r>
              <w:rPr>
                <w:rFonts w:ascii="宋体" w:hAnsi="宋体" w:cs="宋体" w:hint="eastAsia"/>
                <w:w w:val="80"/>
                <w:kern w:val="0"/>
                <w:sz w:val="20"/>
                <w:szCs w:val="20"/>
              </w:rPr>
              <w:t>安宁疗护病房</w:t>
            </w:r>
            <w:proofErr w:type="gramEnd"/>
            <w:r>
              <w:rPr>
                <w:rFonts w:ascii="宋体" w:hAnsi="宋体" w:cs="宋体" w:hint="eastAsia"/>
                <w:w w:val="80"/>
                <w:kern w:val="0"/>
                <w:sz w:val="20"/>
                <w:szCs w:val="20"/>
              </w:rPr>
              <w:t>开展死亡教育，有相关的宣传材料和活动记录。</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88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center"/>
              <w:textAlignment w:val="center"/>
              <w:rPr>
                <w:rFonts w:ascii="宋体" w:hAnsi="宋体" w:cs="宋体"/>
                <w:sz w:val="20"/>
                <w:szCs w:val="20"/>
              </w:rPr>
            </w:pPr>
            <w:r>
              <w:rPr>
                <w:rFonts w:ascii="宋体" w:hAnsi="宋体" w:cs="宋体" w:hint="eastAsia"/>
                <w:kern w:val="0"/>
                <w:sz w:val="20"/>
                <w:szCs w:val="20"/>
              </w:rPr>
              <w:t>9.就医和出入院服务（12分）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9.1  建立方便老年患者的门、急诊就医服务流程（1分）；设立老年患者就医绿色通道，设有人工挂号及现金收费窗口（2</w:t>
            </w:r>
            <w:r>
              <w:rPr>
                <w:rStyle w:val="font21"/>
                <w:rFonts w:hint="default"/>
                <w:w w:val="80"/>
              </w:rPr>
              <w:t>分）</w:t>
            </w:r>
            <w:r>
              <w:rPr>
                <w:rStyle w:val="font21"/>
                <w:w w:val="80"/>
              </w:rPr>
              <w:t>。</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查看住院服务中心的相关制度、服务流程，观察老人入院办理情况，查看是否有清晰的入院告知。</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66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9.2  有专门</w:t>
            </w:r>
            <w:proofErr w:type="gramStart"/>
            <w:r>
              <w:rPr>
                <w:rFonts w:ascii="宋体" w:hAnsi="宋体" w:cs="宋体" w:hint="eastAsia"/>
                <w:w w:val="80"/>
                <w:kern w:val="0"/>
                <w:sz w:val="20"/>
                <w:szCs w:val="20"/>
              </w:rPr>
              <w:t>针对共病老年</w:t>
            </w:r>
            <w:proofErr w:type="gramEnd"/>
            <w:r>
              <w:rPr>
                <w:rFonts w:ascii="宋体" w:hAnsi="宋体" w:cs="宋体" w:hint="eastAsia"/>
                <w:w w:val="80"/>
                <w:kern w:val="0"/>
                <w:sz w:val="20"/>
                <w:szCs w:val="20"/>
              </w:rPr>
              <w:t>患者去老年医学科门诊、住院的导诊服务人员或志愿者。（2分）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现场查看执行情况。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108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9.3  门急诊主动为老年人提供包括并不限于就医咨询、分诊等服务；能够体现为失能、75岁以上老年患者提供优先挂号、就诊、检查和取药的四优先和</w:t>
            </w:r>
            <w:proofErr w:type="gramStart"/>
            <w:r>
              <w:rPr>
                <w:rFonts w:ascii="宋体" w:hAnsi="宋体" w:cs="宋体" w:hint="eastAsia"/>
                <w:w w:val="80"/>
                <w:kern w:val="0"/>
                <w:sz w:val="20"/>
                <w:szCs w:val="20"/>
              </w:rPr>
              <w:t>导医</w:t>
            </w:r>
            <w:proofErr w:type="gramEnd"/>
            <w:r>
              <w:rPr>
                <w:rFonts w:ascii="宋体" w:hAnsi="宋体" w:cs="宋体" w:hint="eastAsia"/>
                <w:w w:val="80"/>
                <w:kern w:val="0"/>
                <w:sz w:val="20"/>
                <w:szCs w:val="20"/>
              </w:rPr>
              <w:t>服务。（2分）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查看服务窗口和信息系统能否实现对高龄老年人的四优先服务（优先挂号、优先就诊、优先检查和优先取药），查阅相关记录。</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96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9.4  门急诊、住院病区为老年患者</w:t>
            </w:r>
            <w:proofErr w:type="gramStart"/>
            <w:r>
              <w:rPr>
                <w:rFonts w:ascii="宋体" w:hAnsi="宋体" w:cs="宋体" w:hint="eastAsia"/>
                <w:w w:val="80"/>
                <w:kern w:val="0"/>
                <w:sz w:val="20"/>
                <w:szCs w:val="20"/>
              </w:rPr>
              <w:t>提供移乘设备</w:t>
            </w:r>
            <w:proofErr w:type="gramEnd"/>
            <w:r>
              <w:rPr>
                <w:rFonts w:ascii="宋体" w:hAnsi="宋体" w:cs="宋体" w:hint="eastAsia"/>
                <w:w w:val="80"/>
                <w:kern w:val="0"/>
                <w:sz w:val="20"/>
                <w:szCs w:val="20"/>
              </w:rPr>
              <w:t>（如轮椅、平车等）、辅具、用品用具和其他便利等服务。（2分）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查看门急诊或病区是否提供助行器械等辅具，了解辅具管理人员是否充分认识辅具适配的意义和作用；现场查看实物和相关记录。</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116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9.5 为老年患者制定出院计划（1分）、协助老年患者办理入院、出院手续（1分）、为失能、失智老年人出院安排机构连接服务。（1分）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现场查看出入院服务中心的相关制度、服务流程，访谈患者，查阅病历和电子病历系统。</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98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center"/>
              <w:textAlignment w:val="center"/>
              <w:rPr>
                <w:rFonts w:ascii="宋体" w:hAnsi="宋体" w:cs="宋体"/>
                <w:sz w:val="20"/>
                <w:szCs w:val="20"/>
              </w:rPr>
            </w:pPr>
            <w:r>
              <w:rPr>
                <w:rFonts w:ascii="宋体" w:hAnsi="宋体" w:cs="宋体" w:hint="eastAsia"/>
                <w:kern w:val="0"/>
                <w:sz w:val="20"/>
                <w:szCs w:val="20"/>
              </w:rPr>
              <w:t>10.老年综合评估和风险防范（15分）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10.1  老年医学科门诊</w:t>
            </w:r>
            <w:r>
              <w:rPr>
                <w:rStyle w:val="font01"/>
                <w:rFonts w:hint="default"/>
                <w:w w:val="80"/>
              </w:rPr>
              <w:t>、</w:t>
            </w:r>
            <w:r>
              <w:rPr>
                <w:rStyle w:val="font21"/>
                <w:rFonts w:hint="default"/>
                <w:w w:val="80"/>
              </w:rPr>
              <w:t>老年医学科病房开展老年综合评估服务（3分）</w:t>
            </w:r>
            <w:r>
              <w:rPr>
                <w:rFonts w:ascii="宋体" w:hAnsi="宋体" w:cs="宋体" w:hint="eastAsia"/>
                <w:w w:val="80"/>
                <w:kern w:val="0"/>
                <w:sz w:val="20"/>
                <w:szCs w:val="20"/>
              </w:rPr>
              <w:t>（三级医院必须开展老年综合评估服务，并必备人体成分分析仪，</w:t>
            </w:r>
            <w:proofErr w:type="gramStart"/>
            <w:r>
              <w:rPr>
                <w:rFonts w:ascii="宋体" w:hAnsi="宋体" w:cs="宋体" w:hint="eastAsia"/>
                <w:w w:val="80"/>
                <w:kern w:val="0"/>
                <w:sz w:val="20"/>
                <w:szCs w:val="20"/>
              </w:rPr>
              <w:t>无则扣2分</w:t>
            </w:r>
            <w:proofErr w:type="gramEnd"/>
            <w:r>
              <w:rPr>
                <w:rFonts w:ascii="宋体" w:hAnsi="宋体" w:cs="宋体" w:hint="eastAsia"/>
                <w:w w:val="80"/>
                <w:kern w:val="0"/>
                <w:sz w:val="20"/>
                <w:szCs w:val="20"/>
              </w:rPr>
              <w:t>）</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观察门诊医生开展老年综合评估的情况。随机抽查老年医学科病房的3-5份病历，看老年综合评估实施情况，现场抽查医护人员各1名对老年住院患者综合评估的熟练程度（MMSE和ADL)。</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70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10.2  在老年医学科及以老年患者为主的病房</w:t>
            </w:r>
            <w:r>
              <w:rPr>
                <w:rStyle w:val="font21"/>
                <w:rFonts w:hint="default"/>
                <w:w w:val="80"/>
              </w:rPr>
              <w:t>开展多学科整合管理服务</w:t>
            </w:r>
            <w:r>
              <w:rPr>
                <w:rStyle w:val="font21"/>
                <w:w w:val="80"/>
              </w:rPr>
              <w:t>。</w:t>
            </w:r>
            <w:r>
              <w:rPr>
                <w:rStyle w:val="font21"/>
                <w:rFonts w:hint="default"/>
                <w:w w:val="80"/>
              </w:rPr>
              <w:t>（2分）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抽查科室病历，查看老年病多学科整合管理服务的开展情况。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61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10.3  为住院和门诊老年患者提供临床药学咨询服务。（1分）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查看临床药师资质证书；查阅临床药师参与用药指导的日常工作记录；了解药物咨询门诊的开展情况，查阅咨询记录。</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60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10.4  为住院及门诊</w:t>
            </w:r>
            <w:r>
              <w:rPr>
                <w:rStyle w:val="font21"/>
                <w:rFonts w:hint="default"/>
                <w:w w:val="80"/>
              </w:rPr>
              <w:t>老年患者提供老年营养</w:t>
            </w:r>
            <w:proofErr w:type="gramStart"/>
            <w:r>
              <w:rPr>
                <w:rStyle w:val="font21"/>
                <w:rFonts w:hint="default"/>
                <w:w w:val="80"/>
              </w:rPr>
              <w:t>评状况估及</w:t>
            </w:r>
            <w:proofErr w:type="gramEnd"/>
            <w:r>
              <w:rPr>
                <w:rStyle w:val="font21"/>
                <w:rFonts w:hint="default"/>
                <w:w w:val="80"/>
              </w:rPr>
              <w:t>指导服务</w:t>
            </w:r>
            <w:r>
              <w:rPr>
                <w:rStyle w:val="font21"/>
                <w:w w:val="80"/>
              </w:rPr>
              <w:t>。</w:t>
            </w:r>
            <w:r>
              <w:rPr>
                <w:rStyle w:val="font21"/>
                <w:rFonts w:hint="default"/>
                <w:w w:val="80"/>
              </w:rPr>
              <w:t>（2分）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实地考察临床营养科，了解营养服务开展情况。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115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10.5  对住院老年患者进行高风险状态的筛查，尤其是对营养状况、</w:t>
            </w:r>
            <w:r>
              <w:rPr>
                <w:rStyle w:val="font21"/>
                <w:rFonts w:hint="default"/>
                <w:w w:val="80"/>
              </w:rPr>
              <w:t>跌倒、</w:t>
            </w:r>
            <w:r>
              <w:rPr>
                <w:rFonts w:ascii="宋体" w:hAnsi="宋体" w:cs="宋体" w:hint="eastAsia"/>
                <w:w w:val="80"/>
                <w:kern w:val="0"/>
                <w:sz w:val="20"/>
                <w:szCs w:val="20"/>
              </w:rPr>
              <w:t>下肢深静脉血栓、</w:t>
            </w:r>
            <w:r>
              <w:rPr>
                <w:rStyle w:val="font21"/>
                <w:rFonts w:hint="default"/>
                <w:w w:val="80"/>
              </w:rPr>
              <w:t>误吸和坠床等情况，应建立风险防范措施与应急处置方案</w:t>
            </w:r>
            <w:r>
              <w:rPr>
                <w:rStyle w:val="font21"/>
                <w:w w:val="80"/>
              </w:rPr>
              <w:t>。</w:t>
            </w:r>
            <w:r>
              <w:rPr>
                <w:rStyle w:val="font21"/>
                <w:rFonts w:hint="default"/>
                <w:w w:val="80"/>
              </w:rPr>
              <w:t>（3分）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查看门急诊、住院部有无对老年患者高风险状态的筛查方案、评定标准、防范措施和应急预案；现场查看门急诊、住院部各2名患者，是否有高风险状态的标识。</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84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10.6  建立评估知情告知制度，告知内容应包括评估结果、影响因素和照护计划等。（2分）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查阅医院知情告知制度；查阅2份病历，看其知情告知制度的执行情况。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53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10.7  老年患者及其家属参与诊疗与照护计划的制定。（1分）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访谈患者及其家属，了解参与照护计划制定的过程和效果。</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120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10.8  对特殊老年群体，如失独、空巢、独居等老人，制定持续照护计划，可</w:t>
            </w:r>
            <w:r>
              <w:rPr>
                <w:rStyle w:val="font21"/>
                <w:rFonts w:hint="default"/>
                <w:w w:val="80"/>
              </w:rPr>
              <w:t>建立预立医嘱和监护人签约制度</w:t>
            </w:r>
            <w:r>
              <w:rPr>
                <w:rStyle w:val="font21"/>
                <w:w w:val="80"/>
              </w:rPr>
              <w:t>。</w:t>
            </w:r>
            <w:r>
              <w:rPr>
                <w:rFonts w:ascii="宋体" w:hAnsi="宋体" w:cs="宋体" w:hint="eastAsia"/>
                <w:w w:val="80"/>
                <w:kern w:val="0"/>
                <w:sz w:val="20"/>
                <w:szCs w:val="20"/>
              </w:rPr>
              <w:t>（已签约</w:t>
            </w:r>
            <w:proofErr w:type="gramStart"/>
            <w:r>
              <w:rPr>
                <w:rFonts w:ascii="宋体" w:hAnsi="宋体" w:cs="宋体" w:hint="eastAsia"/>
                <w:w w:val="80"/>
                <w:kern w:val="0"/>
                <w:sz w:val="20"/>
                <w:szCs w:val="20"/>
              </w:rPr>
              <w:t>安宁疗护病房</w:t>
            </w:r>
            <w:proofErr w:type="gramEnd"/>
            <w:r>
              <w:rPr>
                <w:rFonts w:ascii="宋体" w:hAnsi="宋体" w:cs="宋体" w:hint="eastAsia"/>
                <w:w w:val="80"/>
                <w:kern w:val="0"/>
                <w:sz w:val="20"/>
                <w:szCs w:val="20"/>
              </w:rPr>
              <w:t>的机构必须具备，否则扣3分；其余单位开展则加1分）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查看相关规定和执行情况。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108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center"/>
              <w:textAlignment w:val="center"/>
              <w:rPr>
                <w:rFonts w:ascii="宋体" w:hAnsi="宋体" w:cs="宋体"/>
                <w:sz w:val="20"/>
                <w:szCs w:val="20"/>
              </w:rPr>
            </w:pPr>
            <w:r>
              <w:rPr>
                <w:rFonts w:ascii="宋体" w:hAnsi="宋体" w:cs="宋体" w:hint="eastAsia"/>
                <w:kern w:val="0"/>
                <w:sz w:val="20"/>
                <w:szCs w:val="20"/>
              </w:rPr>
              <w:t>11.老年综合征管理（12分）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11.1  至少应有防治老年人痴呆、抑郁、吞咽困难、尿失禁、便秘和睡眠障碍等老年综合征的评估与干预措施，并提供规范化的服务。（6分）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查阅老年常见疾病的管理文件，并在临床工作中得到规范化的应用。</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118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11.2  至少应有老年人多重用药、营养不良、慢性伤口（包括褥疮）和下肢深静脉血栓等老年常见照护问题的评估与具体干预措施，并提供规范化服务。（6分）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查阅相关管理文件，并在临床工作中得到实际的应用。</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1080"/>
        </w:trPr>
        <w:tc>
          <w:tcPr>
            <w:tcW w:w="14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center"/>
              <w:textAlignment w:val="center"/>
              <w:rPr>
                <w:rFonts w:ascii="宋体" w:hAnsi="宋体" w:cs="宋体"/>
                <w:sz w:val="20"/>
                <w:szCs w:val="20"/>
              </w:rPr>
            </w:pPr>
            <w:r>
              <w:rPr>
                <w:rFonts w:ascii="宋体" w:hAnsi="宋体" w:cs="宋体" w:hint="eastAsia"/>
                <w:kern w:val="0"/>
                <w:sz w:val="20"/>
                <w:szCs w:val="20"/>
              </w:rPr>
              <w:t>四、老年友善环境（25分）</w:t>
            </w: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center"/>
              <w:textAlignment w:val="center"/>
              <w:rPr>
                <w:rFonts w:ascii="宋体" w:hAnsi="宋体" w:cs="宋体"/>
                <w:sz w:val="20"/>
                <w:szCs w:val="20"/>
              </w:rPr>
            </w:pPr>
            <w:r>
              <w:rPr>
                <w:rFonts w:ascii="宋体" w:hAnsi="宋体" w:cs="宋体" w:hint="eastAsia"/>
                <w:kern w:val="0"/>
                <w:sz w:val="20"/>
                <w:szCs w:val="20"/>
              </w:rPr>
              <w:t>12.交通与标识（5分）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12.1  应有</w:t>
            </w:r>
            <w:proofErr w:type="gramStart"/>
            <w:r>
              <w:rPr>
                <w:rFonts w:ascii="宋体" w:hAnsi="宋体" w:cs="宋体" w:hint="eastAsia"/>
                <w:w w:val="80"/>
                <w:kern w:val="0"/>
                <w:sz w:val="20"/>
                <w:szCs w:val="20"/>
              </w:rPr>
              <w:t>适</w:t>
            </w:r>
            <w:proofErr w:type="gramEnd"/>
            <w:r>
              <w:rPr>
                <w:rFonts w:ascii="宋体" w:hAnsi="宋体" w:cs="宋体" w:hint="eastAsia"/>
                <w:w w:val="80"/>
                <w:kern w:val="0"/>
                <w:sz w:val="20"/>
                <w:szCs w:val="20"/>
              </w:rPr>
              <w:t>老化设施和无障碍设施，门急诊和</w:t>
            </w:r>
            <w:proofErr w:type="gramStart"/>
            <w:r>
              <w:rPr>
                <w:rFonts w:ascii="宋体" w:hAnsi="宋体" w:cs="宋体" w:hint="eastAsia"/>
                <w:w w:val="80"/>
                <w:kern w:val="0"/>
                <w:sz w:val="20"/>
                <w:szCs w:val="20"/>
              </w:rPr>
              <w:t>病区主</w:t>
            </w:r>
            <w:proofErr w:type="gramEnd"/>
            <w:r>
              <w:rPr>
                <w:rFonts w:ascii="宋体" w:hAnsi="宋体" w:cs="宋体" w:hint="eastAsia"/>
                <w:w w:val="80"/>
                <w:kern w:val="0"/>
                <w:sz w:val="20"/>
                <w:szCs w:val="20"/>
              </w:rPr>
              <w:t>出入口设有无障碍通道，并符合《无障碍设计规范》(GB50763）的有关要求。（1分）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巡查门、急诊大厅和病区，设施应符合《无障碍设计规范》(GB50763）的有关要求。</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78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12.2  机构主要出入口处有方便老年人上下车的临时停车区和安全标识。（1分）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巡查临时停车区、限速、禁止鸣笛、急转弯、减速带等标识。</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118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12.3  台阶、坡道、转弯处有安全警示标志。院内坡道应当符合《无障碍设计规范》（GB50763）“3．4 轮椅坡道”的要求。（1分）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巡查门、急诊和病区的各种通道。</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118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12.4  院区的车行道与人行通道地面有高差时，在人行通道的路口及人行横道的两端应设缘石坡道。院区的主要人行通道当有高差或台阶时应设置轮椅坡道或无障碍电梯。（1分）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巡查门、急诊和病区的各种通道。</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148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12.5  主要道路岔口处、建筑主出入口处、建筑内各楼层通道分叉显眼处、电梯内外按钮，均应设有颜色醒目、较大字体、简单易懂的标识，标识要安装在适当的高度和位置，使轮椅和行走者都能看到。（1分）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重点巡查标识的数量、质量、位置和高度情况。无障碍标识、信息应当符合《无障碍设计规范》（GB50763）“3．16 无障碍标识系统、信息无障碍”的要求，小标识牌字体大小至少应不小于30mm，大标识牌字体应不小于60mm；标识颜色对比明显，字体和材质基本统一，导引图上标明有当前位置。</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109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center"/>
              <w:textAlignment w:val="center"/>
              <w:rPr>
                <w:rFonts w:ascii="宋体" w:hAnsi="宋体" w:cs="宋体"/>
                <w:sz w:val="20"/>
                <w:szCs w:val="20"/>
              </w:rPr>
            </w:pPr>
            <w:r>
              <w:rPr>
                <w:rFonts w:ascii="宋体" w:hAnsi="宋体" w:cs="宋体" w:hint="eastAsia"/>
                <w:kern w:val="0"/>
                <w:sz w:val="20"/>
                <w:szCs w:val="20"/>
              </w:rPr>
              <w:t>13.建筑与环境（11分）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13.1  室内通道应设置无障碍通道，净宽不应小于1．80m，并按照《无障碍设计规范》第3．8节的要求设置扶手。（1分）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重点巡查医院室外环境、楼宇分布和颜色搭配、地面建筑情况。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91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13.2 门开启后的通行净宽度不应小于0.80m，并应符合《无障碍设计规范》第3．5节的要求。（1分）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重点巡查医院各种建筑设施情况。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r>
      <w:tr w:rsidR="004521FA" w:rsidTr="00651A61">
        <w:trPr>
          <w:trHeight w:val="9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13.3  机构内部环境整洁，建筑物以暖色调为主，院内地板防滑、无反光。（1分）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重点巡查医院各种建筑设施的颜色组合情况。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521FA" w:rsidRDefault="004521FA" w:rsidP="00651A61">
            <w:pPr>
              <w:rPr>
                <w:rFonts w:ascii="宋体" w:hAnsi="宋体" w:cs="宋体"/>
                <w:sz w:val="20"/>
                <w:szCs w:val="20"/>
              </w:rPr>
            </w:pPr>
          </w:p>
        </w:tc>
      </w:tr>
      <w:tr w:rsidR="004521FA" w:rsidTr="00651A61">
        <w:trPr>
          <w:trHeight w:val="679"/>
        </w:trPr>
        <w:tc>
          <w:tcPr>
            <w:tcW w:w="14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center"/>
              <w:textAlignment w:val="center"/>
              <w:rPr>
                <w:rFonts w:ascii="宋体" w:hAnsi="宋体" w:cs="宋体"/>
                <w:sz w:val="20"/>
                <w:szCs w:val="20"/>
              </w:rPr>
            </w:pPr>
            <w:r>
              <w:rPr>
                <w:rFonts w:ascii="宋体" w:hAnsi="宋体" w:cs="宋体" w:hint="eastAsia"/>
                <w:kern w:val="0"/>
                <w:sz w:val="20"/>
                <w:szCs w:val="20"/>
              </w:rPr>
              <w:t>四、老年友善环境（25分）</w:t>
            </w: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13.4  病房区域照明均匀充足，无眩光，病房内设置有夜灯。（1分）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重点巡查病房灯光照明情况。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521FA" w:rsidRDefault="004521FA" w:rsidP="00651A61">
            <w:pPr>
              <w:rPr>
                <w:rFonts w:ascii="宋体" w:hAnsi="宋体" w:cs="宋体"/>
                <w:sz w:val="20"/>
                <w:szCs w:val="20"/>
              </w:rPr>
            </w:pPr>
          </w:p>
        </w:tc>
      </w:tr>
      <w:tr w:rsidR="004521FA" w:rsidTr="00651A61">
        <w:trPr>
          <w:trHeight w:val="168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13.5  首层应至少设置1处无障碍厕所；各楼层至少有1处公共厕所应满足《无障碍设计规范》第3．9．1条的有关规定或设置无障碍厕所；病房内的厕所应设置安全抓杆，并符合《无障碍设计规范》第3．9．4条的有关规定。（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重点巡查医院设置情况。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521FA" w:rsidRDefault="004521FA" w:rsidP="00651A61">
            <w:pPr>
              <w:rPr>
                <w:rFonts w:ascii="宋体" w:hAnsi="宋体" w:cs="宋体"/>
                <w:sz w:val="20"/>
                <w:szCs w:val="20"/>
              </w:rPr>
            </w:pPr>
          </w:p>
        </w:tc>
      </w:tr>
      <w:tr w:rsidR="004521FA" w:rsidTr="00651A61">
        <w:trPr>
          <w:trHeight w:val="61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13.6  病室配有时钟、日历和提示板、夜灯。（1分）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巡查病室内情况。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521FA" w:rsidRDefault="004521FA" w:rsidP="00651A61">
            <w:pPr>
              <w:rPr>
                <w:rFonts w:ascii="宋体" w:hAnsi="宋体" w:cs="宋体"/>
                <w:sz w:val="20"/>
                <w:szCs w:val="20"/>
              </w:rPr>
            </w:pPr>
          </w:p>
        </w:tc>
      </w:tr>
      <w:tr w:rsidR="004521FA" w:rsidTr="00651A61">
        <w:trPr>
          <w:trHeight w:val="96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 xml:space="preserve">13.7  </w:t>
            </w:r>
            <w:r>
              <w:rPr>
                <w:rStyle w:val="font71"/>
                <w:rFonts w:hint="default"/>
                <w:w w:val="80"/>
              </w:rPr>
              <w:t>病室温、湿度</w:t>
            </w:r>
            <w:proofErr w:type="gramStart"/>
            <w:r>
              <w:rPr>
                <w:rStyle w:val="font71"/>
                <w:rFonts w:hint="default"/>
                <w:w w:val="80"/>
              </w:rPr>
              <w:t>度</w:t>
            </w:r>
            <w:proofErr w:type="gramEnd"/>
            <w:r>
              <w:rPr>
                <w:rStyle w:val="font71"/>
                <w:rFonts w:hint="default"/>
                <w:w w:val="80"/>
              </w:rPr>
              <w:t>适中，温度保持在20℃--27℃之间，湿度50%-60%</w:t>
            </w:r>
            <w:r>
              <w:rPr>
                <w:rStyle w:val="font71"/>
                <w:w w:val="80"/>
              </w:rPr>
              <w:t>。</w:t>
            </w:r>
            <w:r>
              <w:rPr>
                <w:rStyle w:val="font71"/>
                <w:rFonts w:hint="default"/>
                <w:w w:val="80"/>
              </w:rPr>
              <w:t>（1分）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监测病室内的温度、</w:t>
            </w:r>
            <w:r>
              <w:rPr>
                <w:rStyle w:val="font71"/>
                <w:rFonts w:hint="default"/>
                <w:w w:val="80"/>
              </w:rPr>
              <w:t>湿度情况</w:t>
            </w:r>
            <w:r>
              <w:rPr>
                <w:rStyle w:val="font71"/>
                <w:w w:val="80"/>
              </w:rPr>
              <w:t>。</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521FA" w:rsidRDefault="004521FA" w:rsidP="00651A61">
            <w:pPr>
              <w:rPr>
                <w:rFonts w:ascii="宋体" w:hAnsi="宋体" w:cs="宋体"/>
                <w:sz w:val="20"/>
                <w:szCs w:val="20"/>
              </w:rPr>
            </w:pPr>
          </w:p>
        </w:tc>
      </w:tr>
      <w:tr w:rsidR="004521FA" w:rsidTr="00651A61">
        <w:trPr>
          <w:trHeight w:val="84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13.8  走道、坡道、楼梯表面有防滑措施，走道、坡道的宽度不小于2.4米。（1分）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重点巡查病室外、楼宇内各种通道是否宽敞、无障碍。</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521FA" w:rsidRDefault="004521FA" w:rsidP="00651A61">
            <w:pPr>
              <w:rPr>
                <w:rFonts w:ascii="宋体" w:hAnsi="宋体" w:cs="宋体"/>
                <w:sz w:val="20"/>
                <w:szCs w:val="20"/>
              </w:rPr>
            </w:pPr>
          </w:p>
        </w:tc>
      </w:tr>
      <w:tr w:rsidR="004521FA" w:rsidTr="00651A61">
        <w:trPr>
          <w:trHeight w:val="79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13.9  距离较长（超过100米）的走道设有休息区或休息椅。（1分）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巡查院区配置情况。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521FA" w:rsidRDefault="004521FA" w:rsidP="00651A61">
            <w:pPr>
              <w:rPr>
                <w:rFonts w:ascii="宋体" w:hAnsi="宋体" w:cs="宋体"/>
                <w:sz w:val="20"/>
                <w:szCs w:val="20"/>
              </w:rPr>
            </w:pPr>
          </w:p>
        </w:tc>
      </w:tr>
      <w:tr w:rsidR="004521FA" w:rsidTr="00651A61">
        <w:trPr>
          <w:trHeight w:val="96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13.10  住院部病人活动室墙面四周扶手的设置应满足《无障碍设计规范》第3．8节的有关规定。（1分）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巡查各处扶手安装情况。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521FA" w:rsidRDefault="004521FA" w:rsidP="00651A61">
            <w:pPr>
              <w:rPr>
                <w:rFonts w:ascii="宋体" w:hAnsi="宋体" w:cs="宋体"/>
                <w:sz w:val="20"/>
                <w:szCs w:val="20"/>
              </w:rPr>
            </w:pPr>
          </w:p>
        </w:tc>
      </w:tr>
      <w:tr w:rsidR="004521FA" w:rsidTr="00651A61">
        <w:trPr>
          <w:trHeight w:val="102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13.11  病床之间以及病床与家具之间有足够的空间可供轮椅通行，宽度不小于1.2米，回转空间直径不小于1.5米。（1分）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巡查病室内空间大小情况。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521FA" w:rsidRDefault="004521FA" w:rsidP="00651A61">
            <w:pPr>
              <w:rPr>
                <w:rFonts w:ascii="宋体" w:hAnsi="宋体" w:cs="宋体"/>
                <w:sz w:val="20"/>
                <w:szCs w:val="20"/>
              </w:rPr>
            </w:pPr>
          </w:p>
        </w:tc>
      </w:tr>
      <w:tr w:rsidR="004521FA" w:rsidTr="00651A61">
        <w:trPr>
          <w:trHeight w:val="739"/>
        </w:trPr>
        <w:tc>
          <w:tcPr>
            <w:tcW w:w="14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sz w:val="20"/>
                <w:szCs w:val="20"/>
              </w:rPr>
            </w:pPr>
            <w:r>
              <w:rPr>
                <w:rFonts w:ascii="宋体" w:hAnsi="宋体" w:cs="宋体" w:hint="eastAsia"/>
                <w:kern w:val="0"/>
                <w:sz w:val="20"/>
                <w:szCs w:val="20"/>
              </w:rPr>
              <w:t>四、老年友善环境（25分）</w:t>
            </w: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jc w:val="center"/>
              <w:textAlignment w:val="center"/>
              <w:rPr>
                <w:rFonts w:ascii="宋体" w:hAnsi="宋体" w:cs="宋体"/>
                <w:sz w:val="20"/>
                <w:szCs w:val="20"/>
              </w:rPr>
            </w:pPr>
            <w:r>
              <w:rPr>
                <w:rFonts w:ascii="宋体" w:hAnsi="宋体" w:cs="宋体" w:hint="eastAsia"/>
                <w:kern w:val="0"/>
                <w:sz w:val="20"/>
                <w:szCs w:val="20"/>
              </w:rPr>
              <w:t>14.设施与家具（9分）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14.1  病床旁边应设置呼叫器及清晰易于使用</w:t>
            </w:r>
            <w:proofErr w:type="gramStart"/>
            <w:r>
              <w:rPr>
                <w:rFonts w:ascii="宋体" w:hAnsi="宋体" w:cs="宋体" w:hint="eastAsia"/>
                <w:w w:val="80"/>
                <w:kern w:val="0"/>
                <w:sz w:val="20"/>
                <w:szCs w:val="20"/>
              </w:rPr>
              <w:t>的床灯开关</w:t>
            </w:r>
            <w:proofErr w:type="gramEnd"/>
            <w:r>
              <w:rPr>
                <w:rFonts w:ascii="宋体" w:hAnsi="宋体" w:cs="宋体" w:hint="eastAsia"/>
                <w:w w:val="80"/>
                <w:kern w:val="0"/>
                <w:sz w:val="20"/>
                <w:szCs w:val="20"/>
              </w:rPr>
              <w:t>。（1分）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巡查病室内床旁设施配置情况。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521FA" w:rsidRDefault="004521FA" w:rsidP="00651A61">
            <w:pPr>
              <w:rPr>
                <w:rFonts w:ascii="宋体" w:hAnsi="宋体" w:cs="宋体"/>
                <w:sz w:val="20"/>
                <w:szCs w:val="20"/>
              </w:rPr>
            </w:pPr>
          </w:p>
        </w:tc>
      </w:tr>
      <w:tr w:rsidR="004521FA" w:rsidTr="00651A61">
        <w:trPr>
          <w:trHeight w:val="79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14.2  卫生间门的宽度满足轮椅进出尺寸要求，宽度不少于0.8米，回转空间直径不小于1.5米。（1分）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重点巡查病房和公共区域卫生间的安全设施和空间大小。</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521FA" w:rsidRDefault="004521FA" w:rsidP="00651A61">
            <w:pPr>
              <w:rPr>
                <w:rFonts w:ascii="宋体" w:hAnsi="宋体" w:cs="宋体"/>
                <w:sz w:val="20"/>
                <w:szCs w:val="20"/>
              </w:rPr>
            </w:pPr>
          </w:p>
        </w:tc>
      </w:tr>
      <w:tr w:rsidR="004521FA" w:rsidTr="00651A61">
        <w:trPr>
          <w:trHeight w:val="112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14.3  设有老年医学科住院病房的，每护理单元应设置浴室，浴室设施能满足自理、半失能和失能老年患者的多种需求；浴室内设有马桶和座椅。（1分）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巡查病区浴室配置和安全设施情况。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521FA" w:rsidRDefault="004521FA" w:rsidP="00651A61">
            <w:pPr>
              <w:rPr>
                <w:rFonts w:ascii="宋体" w:hAnsi="宋体" w:cs="宋体"/>
                <w:sz w:val="20"/>
                <w:szCs w:val="20"/>
              </w:rPr>
            </w:pPr>
          </w:p>
        </w:tc>
      </w:tr>
      <w:tr w:rsidR="004521FA" w:rsidTr="00651A61">
        <w:trPr>
          <w:trHeight w:val="96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14.4  建筑内设有电梯时，每组电梯应至少设置1部无障碍电梯。易从主入口和重要通道进入电梯，电梯门、电动门自动阻尼延时≥4秒。（1分）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重点巡查医院电梯配置、电梯门开合时间是否适合于老年人。</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521FA" w:rsidRDefault="004521FA" w:rsidP="00651A61">
            <w:pPr>
              <w:rPr>
                <w:rFonts w:ascii="宋体" w:hAnsi="宋体" w:cs="宋体"/>
                <w:sz w:val="20"/>
                <w:szCs w:val="20"/>
              </w:rPr>
            </w:pPr>
          </w:p>
        </w:tc>
      </w:tr>
      <w:tr w:rsidR="004521FA" w:rsidTr="00651A61">
        <w:trPr>
          <w:trHeight w:val="100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14.5  家具稳固，带轮子的</w:t>
            </w:r>
            <w:proofErr w:type="gramStart"/>
            <w:r>
              <w:rPr>
                <w:rFonts w:ascii="宋体" w:hAnsi="宋体" w:cs="宋体" w:hint="eastAsia"/>
                <w:w w:val="80"/>
                <w:kern w:val="0"/>
                <w:sz w:val="20"/>
                <w:szCs w:val="20"/>
              </w:rPr>
              <w:t>桌椅需可制动</w:t>
            </w:r>
            <w:proofErr w:type="gramEnd"/>
            <w:r>
              <w:rPr>
                <w:rFonts w:ascii="宋体" w:hAnsi="宋体" w:cs="宋体" w:hint="eastAsia"/>
                <w:w w:val="80"/>
                <w:kern w:val="0"/>
                <w:sz w:val="20"/>
                <w:szCs w:val="20"/>
              </w:rPr>
              <w:t>（0.5分）；桌边需与地板等环境颜色对比明显（0.5分），桌子高度可供轮椅伸入。（0.5分）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重点巡查病室内家具配置情况。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521FA" w:rsidRDefault="004521FA" w:rsidP="00651A61">
            <w:pPr>
              <w:rPr>
                <w:rFonts w:ascii="宋体" w:hAnsi="宋体" w:cs="宋体"/>
                <w:sz w:val="20"/>
                <w:szCs w:val="20"/>
              </w:rPr>
            </w:pPr>
          </w:p>
        </w:tc>
      </w:tr>
      <w:tr w:rsidR="004521FA" w:rsidTr="00651A61">
        <w:trPr>
          <w:trHeight w:val="60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14.6 病床高度可调，有隔档、减压床垫。（1分）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重点巡查病室内床的配置情况。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521FA" w:rsidRDefault="004521FA" w:rsidP="00651A61">
            <w:pPr>
              <w:rPr>
                <w:rFonts w:ascii="宋体" w:hAnsi="宋体" w:cs="宋体"/>
                <w:sz w:val="20"/>
                <w:szCs w:val="20"/>
              </w:rPr>
            </w:pPr>
          </w:p>
        </w:tc>
      </w:tr>
      <w:tr w:rsidR="004521FA" w:rsidTr="00651A61">
        <w:trPr>
          <w:trHeight w:val="114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rPr>
                <w:rFonts w:ascii="宋体" w:hAnsi="宋体" w:cs="宋体"/>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jc w:val="center"/>
              <w:rPr>
                <w:rFonts w:ascii="宋体" w:hAnsi="宋体" w:cs="宋体"/>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w w:val="80"/>
                <w:sz w:val="20"/>
                <w:szCs w:val="20"/>
              </w:rPr>
            </w:pPr>
            <w:r>
              <w:rPr>
                <w:rFonts w:ascii="宋体" w:hAnsi="宋体" w:cs="宋体" w:hint="eastAsia"/>
                <w:w w:val="80"/>
                <w:kern w:val="0"/>
                <w:sz w:val="20"/>
                <w:szCs w:val="20"/>
              </w:rPr>
              <w:t>14.7  桌椅应为圆边或在家具尖角、墙角处安装防撞护角、防撞条；应防滑、易清洁，图案适宜；座椅应有扶手，椅背向后倾斜，座椅高460-485mm，深457-508mm。（2.5分）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521FA" w:rsidRDefault="004521FA" w:rsidP="00651A61">
            <w:pPr>
              <w:widowControl/>
              <w:textAlignment w:val="center"/>
              <w:rPr>
                <w:rFonts w:ascii="宋体" w:hAnsi="宋体" w:cs="宋体" w:hint="eastAsia"/>
                <w:w w:val="80"/>
                <w:sz w:val="20"/>
                <w:szCs w:val="20"/>
              </w:rPr>
            </w:pPr>
            <w:r>
              <w:rPr>
                <w:rFonts w:ascii="宋体" w:hAnsi="宋体" w:cs="宋体" w:hint="eastAsia"/>
                <w:w w:val="80"/>
                <w:kern w:val="0"/>
                <w:sz w:val="20"/>
                <w:szCs w:val="20"/>
              </w:rPr>
              <w:t>重点巡查病室内座椅是否适合老年人使用和安全。</w:t>
            </w:r>
          </w:p>
        </w:tc>
        <w:tc>
          <w:tcPr>
            <w:tcW w:w="88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521FA" w:rsidRDefault="004521FA" w:rsidP="00651A61">
            <w:pPr>
              <w:rPr>
                <w:rFonts w:ascii="宋体" w:hAnsi="宋体" w:cs="宋体"/>
                <w:sz w:val="20"/>
                <w:szCs w:val="20"/>
              </w:rPr>
            </w:pPr>
          </w:p>
        </w:tc>
      </w:tr>
    </w:tbl>
    <w:p w:rsidR="00962E50" w:rsidRPr="004521FA" w:rsidRDefault="00962E50"/>
    <w:sectPr w:rsidR="00962E50" w:rsidRPr="004521FA" w:rsidSect="004521F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1FA"/>
    <w:rsid w:val="004521FA"/>
    <w:rsid w:val="0096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4521FA"/>
    <w:pPr>
      <w:widowControl w:val="0"/>
      <w:jc w:val="both"/>
    </w:pPr>
    <w:rPr>
      <w:rFonts w:ascii="Calibri" w:eastAsia="宋体" w:hAnsi="Calibri" w:cs="Times New Roman"/>
      <w:szCs w:val="24"/>
    </w:rPr>
  </w:style>
  <w:style w:type="paragraph" w:styleId="3">
    <w:name w:val="heading 3"/>
    <w:basedOn w:val="a"/>
    <w:next w:val="a"/>
    <w:link w:val="3Char"/>
    <w:uiPriority w:val="9"/>
    <w:semiHidden/>
    <w:unhideWhenUsed/>
    <w:qFormat/>
    <w:rsid w:val="004521F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qFormat/>
    <w:rsid w:val="004521FA"/>
    <w:rPr>
      <w:rFonts w:ascii="宋体" w:eastAsia="宋体" w:hAnsi="宋体" w:cs="宋体" w:hint="eastAsia"/>
      <w:color w:val="000000"/>
      <w:sz w:val="20"/>
      <w:szCs w:val="20"/>
      <w:u w:val="none"/>
    </w:rPr>
  </w:style>
  <w:style w:type="character" w:customStyle="1" w:styleId="font101">
    <w:name w:val="font101"/>
    <w:qFormat/>
    <w:rsid w:val="004521FA"/>
    <w:rPr>
      <w:rFonts w:ascii="宋体" w:eastAsia="宋体" w:hAnsi="宋体" w:cs="宋体" w:hint="eastAsia"/>
      <w:color w:val="333399"/>
      <w:sz w:val="20"/>
      <w:szCs w:val="20"/>
      <w:u w:val="none"/>
    </w:rPr>
  </w:style>
  <w:style w:type="character" w:customStyle="1" w:styleId="font01">
    <w:name w:val="font01"/>
    <w:qFormat/>
    <w:rsid w:val="004521FA"/>
    <w:rPr>
      <w:rFonts w:ascii="宋体" w:eastAsia="宋体" w:hAnsi="宋体" w:cs="宋体" w:hint="eastAsia"/>
      <w:b/>
      <w:color w:val="000000"/>
      <w:sz w:val="20"/>
      <w:szCs w:val="20"/>
      <w:u w:val="none"/>
    </w:rPr>
  </w:style>
  <w:style w:type="character" w:customStyle="1" w:styleId="font71">
    <w:name w:val="font71"/>
    <w:qFormat/>
    <w:rsid w:val="004521FA"/>
    <w:rPr>
      <w:rFonts w:ascii="宋体" w:eastAsia="宋体" w:hAnsi="宋体" w:cs="宋体" w:hint="eastAsia"/>
      <w:color w:val="00FF00"/>
      <w:sz w:val="20"/>
      <w:szCs w:val="20"/>
      <w:u w:val="none"/>
    </w:rPr>
  </w:style>
  <w:style w:type="character" w:customStyle="1" w:styleId="3Char">
    <w:name w:val="标题 3 Char"/>
    <w:basedOn w:val="a0"/>
    <w:link w:val="3"/>
    <w:uiPriority w:val="9"/>
    <w:semiHidden/>
    <w:rsid w:val="004521FA"/>
    <w:rPr>
      <w:rFonts w:ascii="Calibri" w:eastAsia="宋体" w:hAnsi="Calibri"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4521FA"/>
    <w:pPr>
      <w:widowControl w:val="0"/>
      <w:jc w:val="both"/>
    </w:pPr>
    <w:rPr>
      <w:rFonts w:ascii="Calibri" w:eastAsia="宋体" w:hAnsi="Calibri" w:cs="Times New Roman"/>
      <w:szCs w:val="24"/>
    </w:rPr>
  </w:style>
  <w:style w:type="paragraph" w:styleId="3">
    <w:name w:val="heading 3"/>
    <w:basedOn w:val="a"/>
    <w:next w:val="a"/>
    <w:link w:val="3Char"/>
    <w:uiPriority w:val="9"/>
    <w:semiHidden/>
    <w:unhideWhenUsed/>
    <w:qFormat/>
    <w:rsid w:val="004521F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qFormat/>
    <w:rsid w:val="004521FA"/>
    <w:rPr>
      <w:rFonts w:ascii="宋体" w:eastAsia="宋体" w:hAnsi="宋体" w:cs="宋体" w:hint="eastAsia"/>
      <w:color w:val="000000"/>
      <w:sz w:val="20"/>
      <w:szCs w:val="20"/>
      <w:u w:val="none"/>
    </w:rPr>
  </w:style>
  <w:style w:type="character" w:customStyle="1" w:styleId="font101">
    <w:name w:val="font101"/>
    <w:qFormat/>
    <w:rsid w:val="004521FA"/>
    <w:rPr>
      <w:rFonts w:ascii="宋体" w:eastAsia="宋体" w:hAnsi="宋体" w:cs="宋体" w:hint="eastAsia"/>
      <w:color w:val="333399"/>
      <w:sz w:val="20"/>
      <w:szCs w:val="20"/>
      <w:u w:val="none"/>
    </w:rPr>
  </w:style>
  <w:style w:type="character" w:customStyle="1" w:styleId="font01">
    <w:name w:val="font01"/>
    <w:qFormat/>
    <w:rsid w:val="004521FA"/>
    <w:rPr>
      <w:rFonts w:ascii="宋体" w:eastAsia="宋体" w:hAnsi="宋体" w:cs="宋体" w:hint="eastAsia"/>
      <w:b/>
      <w:color w:val="000000"/>
      <w:sz w:val="20"/>
      <w:szCs w:val="20"/>
      <w:u w:val="none"/>
    </w:rPr>
  </w:style>
  <w:style w:type="character" w:customStyle="1" w:styleId="font71">
    <w:name w:val="font71"/>
    <w:qFormat/>
    <w:rsid w:val="004521FA"/>
    <w:rPr>
      <w:rFonts w:ascii="宋体" w:eastAsia="宋体" w:hAnsi="宋体" w:cs="宋体" w:hint="eastAsia"/>
      <w:color w:val="00FF00"/>
      <w:sz w:val="20"/>
      <w:szCs w:val="20"/>
      <w:u w:val="none"/>
    </w:rPr>
  </w:style>
  <w:style w:type="character" w:customStyle="1" w:styleId="3Char">
    <w:name w:val="标题 3 Char"/>
    <w:basedOn w:val="a0"/>
    <w:link w:val="3"/>
    <w:uiPriority w:val="9"/>
    <w:semiHidden/>
    <w:rsid w:val="004521FA"/>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2898</Words>
  <Characters>2986</Characters>
  <Application>Microsoft Office Word</Application>
  <DocSecurity>0</DocSecurity>
  <Lines>149</Lines>
  <Paragraphs>93</Paragraphs>
  <ScaleCrop>false</ScaleCrop>
  <Company>Microsoft</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wjw</cp:lastModifiedBy>
  <cp:revision>1</cp:revision>
  <dcterms:created xsi:type="dcterms:W3CDTF">2023-08-15T09:48:00Z</dcterms:created>
  <dcterms:modified xsi:type="dcterms:W3CDTF">2023-08-15T09:49:00Z</dcterms:modified>
</cp:coreProperties>
</file>