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overflowPunct/>
        <w:topLinePunct w:val="0"/>
        <w:bidi w:val="0"/>
        <w:adjustRightInd/>
        <w:snapToGrid/>
        <w:spacing w:line="579" w:lineRule="exact"/>
        <w:ind w:left="0" w:leftChars="0" w:firstLine="640" w:firstLineChars="200"/>
        <w:jc w:val="center"/>
        <w:textAlignment w:val="auto"/>
        <w:rPr>
          <w:rFonts w:hint="eastAsia" w:ascii="仿宋_GB2312" w:hAnsi="仿宋_GB2312" w:eastAsia="仿宋_GB2312" w:cs="仿宋_GB2312"/>
          <w:b w:val="0"/>
          <w:bCs w:val="0"/>
          <w:color w:val="auto"/>
          <w:sz w:val="32"/>
          <w:szCs w:val="32"/>
        </w:rPr>
      </w:pPr>
    </w:p>
    <w:p>
      <w:pPr>
        <w:pageBreakBefore w:val="0"/>
        <w:kinsoku/>
        <w:overflowPunct/>
        <w:topLinePunct w:val="0"/>
        <w:bidi w:val="0"/>
        <w:adjustRightInd/>
        <w:snapToGrid/>
        <w:spacing w:line="579" w:lineRule="exact"/>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郑州市医疗保障局</w:t>
      </w:r>
    </w:p>
    <w:p>
      <w:pPr>
        <w:pageBreakBefore w:val="0"/>
        <w:kinsoku/>
        <w:overflowPunct/>
        <w:topLinePunct w:val="0"/>
        <w:bidi w:val="0"/>
        <w:adjustRightInd/>
        <w:snapToGrid/>
        <w:spacing w:line="579" w:lineRule="exact"/>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关于</w:t>
      </w:r>
      <w:r>
        <w:rPr>
          <w:rFonts w:hint="eastAsia" w:ascii="方正小标宋简体" w:hAnsi="方正小标宋简体" w:eastAsia="方正小标宋简体" w:cs="方正小标宋简体"/>
          <w:b w:val="0"/>
          <w:bCs w:val="0"/>
          <w:color w:val="auto"/>
          <w:sz w:val="44"/>
          <w:szCs w:val="44"/>
          <w:lang w:val="en-US" w:eastAsia="zh-CN"/>
        </w:rPr>
        <w:t>做好2023年</w:t>
      </w:r>
      <w:r>
        <w:rPr>
          <w:rFonts w:hint="eastAsia" w:ascii="方正小标宋简体" w:hAnsi="方正小标宋简体" w:eastAsia="方正小标宋简体" w:cs="方正小标宋简体"/>
          <w:b w:val="0"/>
          <w:bCs w:val="0"/>
          <w:color w:val="auto"/>
          <w:sz w:val="44"/>
          <w:szCs w:val="44"/>
        </w:rPr>
        <w:t>按病种分值付费（DIP）</w:t>
      </w:r>
      <w:r>
        <w:rPr>
          <w:rFonts w:hint="eastAsia" w:ascii="方正小标宋简体" w:hAnsi="方正小标宋简体" w:eastAsia="方正小标宋简体" w:cs="方正小标宋简体"/>
          <w:b w:val="0"/>
          <w:bCs w:val="0"/>
          <w:color w:val="auto"/>
          <w:sz w:val="44"/>
          <w:szCs w:val="44"/>
          <w:lang w:val="en-US" w:eastAsia="zh-CN"/>
        </w:rPr>
        <w:t>相关工作</w:t>
      </w:r>
      <w:r>
        <w:rPr>
          <w:rFonts w:hint="eastAsia" w:ascii="方正小标宋简体" w:hAnsi="方正小标宋简体" w:eastAsia="方正小标宋简体" w:cs="方正小标宋简体"/>
          <w:b w:val="0"/>
          <w:bCs w:val="0"/>
          <w:color w:val="auto"/>
          <w:sz w:val="44"/>
          <w:szCs w:val="44"/>
        </w:rPr>
        <w:t>的通知（征求意见稿）</w:t>
      </w:r>
    </w:p>
    <w:p>
      <w:pPr>
        <w:keepNext w:val="0"/>
        <w:keepLines w:val="0"/>
        <w:pageBreakBefore w:val="0"/>
        <w:kinsoku/>
        <w:wordWrap/>
        <w:overflowPunct/>
        <w:topLinePunct w:val="0"/>
        <w:autoSpaceDE w:val="0"/>
        <w:autoSpaceDN w:val="0"/>
        <w:bidi w:val="0"/>
        <w:adjustRightInd/>
        <w:snapToGrid/>
        <w:spacing w:line="579" w:lineRule="exact"/>
        <w:jc w:val="left"/>
        <w:textAlignment w:val="auto"/>
        <w:rPr>
          <w:rFonts w:hint="eastAsia" w:ascii="仿宋_GB2312" w:hAnsi="仿宋_GB2312" w:eastAsia="仿宋_GB2312" w:cs="仿宋_GB2312"/>
          <w:b w:val="0"/>
          <w:bCs w:val="0"/>
          <w:color w:val="auto"/>
          <w:kern w:val="0"/>
          <w:sz w:val="32"/>
          <w:szCs w:val="32"/>
        </w:rPr>
      </w:pPr>
    </w:p>
    <w:p>
      <w:pPr>
        <w:keepNext w:val="0"/>
        <w:keepLines w:val="0"/>
        <w:pageBreakBefore w:val="0"/>
        <w:kinsoku/>
        <w:wordWrap/>
        <w:overflowPunct/>
        <w:topLinePunct w:val="0"/>
        <w:autoSpaceDE w:val="0"/>
        <w:autoSpaceDN w:val="0"/>
        <w:bidi w:val="0"/>
        <w:adjustRightInd/>
        <w:snapToGrid/>
        <w:spacing w:line="579" w:lineRule="exact"/>
        <w:jc w:val="left"/>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各开发区管委会医保管理部门，各区县（市）医保局，局各处室和局属各单位，各定点医疗机构：</w:t>
      </w:r>
    </w:p>
    <w:p>
      <w:pPr>
        <w:keepNext w:val="0"/>
        <w:keepLines w:val="0"/>
        <w:pageBreakBefore w:val="0"/>
        <w:widowControl/>
        <w:suppressLineNumbers w:val="0"/>
        <w:kinsoku/>
        <w:wordWrap/>
        <w:overflowPunct/>
        <w:topLinePunct w:val="0"/>
        <w:bidi w:val="0"/>
        <w:adjustRightInd/>
        <w:snapToGrid/>
        <w:spacing w:line="579" w:lineRule="exact"/>
        <w:ind w:left="0" w:leftChars="0"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为</w:t>
      </w:r>
      <w:r>
        <w:rPr>
          <w:rFonts w:hint="eastAsia" w:ascii="仿宋_GB2312" w:hAnsi="仿宋_GB2312" w:eastAsia="仿宋_GB2312" w:cs="仿宋_GB2312"/>
          <w:b w:val="0"/>
          <w:bCs w:val="0"/>
          <w:color w:val="auto"/>
          <w:sz w:val="32"/>
          <w:szCs w:val="32"/>
          <w:lang w:val="en-US" w:eastAsia="zh-CN"/>
        </w:rPr>
        <w:t>持续深化</w:t>
      </w:r>
      <w:r>
        <w:rPr>
          <w:rFonts w:hint="eastAsia" w:ascii="仿宋_GB2312" w:hAnsi="仿宋_GB2312" w:eastAsia="仿宋_GB2312" w:cs="仿宋_GB2312"/>
          <w:b w:val="0"/>
          <w:bCs w:val="0"/>
          <w:color w:val="auto"/>
          <w:sz w:val="32"/>
          <w:szCs w:val="32"/>
        </w:rPr>
        <w:t>郑州市按病种分值付费（DIP）改革，</w:t>
      </w:r>
      <w:r>
        <w:rPr>
          <w:rFonts w:hint="eastAsia" w:ascii="仿宋_GB2312" w:hAnsi="仿宋_GB2312" w:eastAsia="仿宋_GB2312" w:cs="仿宋_GB2312"/>
          <w:b w:val="0"/>
          <w:bCs w:val="0"/>
          <w:color w:val="auto"/>
          <w:sz w:val="32"/>
          <w:szCs w:val="32"/>
          <w:lang w:val="en-US" w:eastAsia="zh-CN"/>
        </w:rPr>
        <w:t>根据</w:t>
      </w:r>
      <w:r>
        <w:rPr>
          <w:rFonts w:hint="eastAsia" w:ascii="仿宋_GB2312" w:hAnsi="仿宋_GB2312" w:eastAsia="仿宋_GB2312" w:cs="仿宋_GB2312"/>
          <w:b w:val="0"/>
          <w:bCs w:val="0"/>
          <w:color w:val="auto"/>
          <w:sz w:val="32"/>
          <w:szCs w:val="32"/>
        </w:rPr>
        <w:t>《河南省医疗保障局关于印发河南省</w:t>
      </w:r>
      <w:r>
        <w:rPr>
          <w:rFonts w:hint="eastAsia" w:ascii="仿宋_GB2312" w:hAnsi="仿宋_GB2312" w:eastAsia="仿宋_GB2312" w:cs="仿宋_GB2312"/>
          <w:b w:val="0"/>
          <w:bCs w:val="0"/>
          <w:color w:val="auto"/>
          <w:sz w:val="32"/>
          <w:szCs w:val="32"/>
          <w:lang w:val="en-US" w:eastAsia="zh-CN"/>
        </w:rPr>
        <w:t>医疗保障按疾病诊断相关分组（DRG）付费和按病种分值（</w:t>
      </w:r>
      <w:r>
        <w:rPr>
          <w:rFonts w:hint="eastAsia" w:ascii="仿宋_GB2312" w:hAnsi="仿宋_GB2312" w:eastAsia="仿宋_GB2312" w:cs="仿宋_GB2312"/>
          <w:b w:val="0"/>
          <w:bCs w:val="0"/>
          <w:color w:val="auto"/>
          <w:sz w:val="32"/>
          <w:szCs w:val="32"/>
        </w:rPr>
        <w:t>DIP</w:t>
      </w:r>
      <w:r>
        <w:rPr>
          <w:rFonts w:hint="eastAsia" w:ascii="仿宋_GB2312" w:hAnsi="仿宋_GB2312" w:eastAsia="仿宋_GB2312" w:cs="仿宋_GB2312"/>
          <w:b w:val="0"/>
          <w:bCs w:val="0"/>
          <w:color w:val="auto"/>
          <w:sz w:val="32"/>
          <w:szCs w:val="32"/>
          <w:lang w:val="en-US" w:eastAsia="zh-CN"/>
        </w:rPr>
        <w:t>）付费结算办法（试行）</w:t>
      </w:r>
      <w:r>
        <w:rPr>
          <w:rFonts w:hint="eastAsia" w:ascii="仿宋_GB2312" w:hAnsi="仿宋_GB2312" w:eastAsia="仿宋_GB2312" w:cs="仿宋_GB2312"/>
          <w:b w:val="0"/>
          <w:bCs w:val="0"/>
          <w:color w:val="auto"/>
          <w:sz w:val="32"/>
          <w:szCs w:val="32"/>
        </w:rPr>
        <w:t>的通知》（豫医保办〔2023〕</w:t>
      </w:r>
      <w:r>
        <w:rPr>
          <w:rFonts w:hint="eastAsia" w:ascii="仿宋_GB2312" w:hAnsi="仿宋_GB2312" w:eastAsia="仿宋_GB2312" w:cs="仿宋_GB2312"/>
          <w:b w:val="0"/>
          <w:bCs w:val="0"/>
          <w:color w:val="auto"/>
          <w:sz w:val="32"/>
          <w:szCs w:val="32"/>
          <w:lang w:val="en-US" w:eastAsia="zh-CN"/>
        </w:rPr>
        <w:t>37</w:t>
      </w:r>
      <w:r>
        <w:rPr>
          <w:rFonts w:hint="eastAsia" w:ascii="仿宋_GB2312" w:hAnsi="仿宋_GB2312" w:eastAsia="仿宋_GB2312" w:cs="仿宋_GB2312"/>
          <w:b w:val="0"/>
          <w:bCs w:val="0"/>
          <w:color w:val="auto"/>
          <w:sz w:val="32"/>
          <w:szCs w:val="32"/>
        </w:rPr>
        <w:t>号）</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《河南省医疗保障局关于印发河南省DIP病种主目录库（1.0版）的通知》（豫医保办〔2023〕42号）</w:t>
      </w:r>
      <w:r>
        <w:rPr>
          <w:rFonts w:hint="eastAsia" w:ascii="仿宋_GB2312" w:hAnsi="仿宋_GB2312" w:eastAsia="仿宋_GB2312" w:cs="仿宋_GB2312"/>
          <w:b w:val="0"/>
          <w:bCs w:val="0"/>
          <w:color w:val="auto"/>
          <w:kern w:val="0"/>
          <w:sz w:val="32"/>
          <w:szCs w:val="32"/>
          <w:lang w:val="en-US" w:eastAsia="zh-CN" w:bidi="ar"/>
        </w:rPr>
        <w:t>等文件要求和DIP工作推进计划，现就做好2023年按病种分值付费（DIP）工作通知如下：</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一、</w:t>
      </w:r>
      <w:r>
        <w:rPr>
          <w:rFonts w:hint="eastAsia" w:ascii="黑体" w:hAnsi="黑体" w:eastAsia="黑体" w:cs="黑体"/>
          <w:b w:val="0"/>
          <w:bCs w:val="0"/>
          <w:color w:val="auto"/>
          <w:sz w:val="32"/>
          <w:szCs w:val="32"/>
          <w:lang w:val="en-US" w:eastAsia="zh-CN"/>
        </w:rPr>
        <w:t>启用2023版DIP病种目录库</w:t>
      </w:r>
    </w:p>
    <w:p>
      <w:pPr>
        <w:keepNext w:val="0"/>
        <w:keepLines w:val="0"/>
        <w:pageBreakBefore w:val="0"/>
        <w:widowControl/>
        <w:suppressLineNumbers w:val="0"/>
        <w:kinsoku/>
        <w:wordWrap/>
        <w:overflowPunct/>
        <w:topLinePunct w:val="0"/>
        <w:bidi w:val="0"/>
        <w:adjustRightInd/>
        <w:snapToGrid/>
        <w:spacing w:line="579" w:lineRule="exact"/>
        <w:ind w:left="0" w:leftChars="0"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202</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年</w:t>
      </w: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rPr>
        <w:t>月1日起开始执行《郑州市DIP病种</w:t>
      </w:r>
      <w:r>
        <w:rPr>
          <w:rFonts w:hint="eastAsia" w:ascii="仿宋_GB2312" w:hAnsi="仿宋_GB2312" w:eastAsia="仿宋_GB2312" w:cs="仿宋_GB2312"/>
          <w:b w:val="0"/>
          <w:bCs w:val="0"/>
          <w:color w:val="auto"/>
          <w:sz w:val="32"/>
          <w:szCs w:val="32"/>
          <w:lang w:val="en-US" w:eastAsia="zh-CN"/>
        </w:rPr>
        <w:t>主</w:t>
      </w:r>
      <w:r>
        <w:rPr>
          <w:rFonts w:hint="eastAsia" w:ascii="仿宋_GB2312" w:hAnsi="仿宋_GB2312" w:eastAsia="仿宋_GB2312" w:cs="仿宋_GB2312"/>
          <w:b w:val="0"/>
          <w:bCs w:val="0"/>
          <w:color w:val="auto"/>
          <w:sz w:val="32"/>
          <w:szCs w:val="32"/>
        </w:rPr>
        <w:t>目录库（202</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版）》（附件1）、《郑州市DIP基层病种目录（202</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版）》（附件2）</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郑州市中医优势病种目录</w:t>
      </w:r>
      <w:r>
        <w:rPr>
          <w:rFonts w:hint="eastAsia" w:ascii="仿宋_GB2312" w:hAnsi="仿宋_GB2312" w:eastAsia="仿宋_GB2312" w:cs="仿宋_GB2312"/>
          <w:b w:val="0"/>
          <w:bCs w:val="0"/>
          <w:color w:val="auto"/>
          <w:sz w:val="32"/>
          <w:szCs w:val="32"/>
          <w:lang w:val="en-US" w:eastAsia="zh-CN"/>
        </w:rPr>
        <w:t>库</w:t>
      </w:r>
      <w:r>
        <w:rPr>
          <w:rFonts w:hint="eastAsia" w:ascii="仿宋_GB2312" w:hAnsi="仿宋_GB2312" w:eastAsia="仿宋_GB2312" w:cs="仿宋_GB2312"/>
          <w:b w:val="0"/>
          <w:bCs w:val="0"/>
          <w:color w:val="auto"/>
          <w:sz w:val="32"/>
          <w:szCs w:val="32"/>
        </w:rPr>
        <w:t>（202</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版）</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附件</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lang w:val="en-US" w:eastAsia="zh-CN"/>
        </w:rPr>
        <w:t>郑州市中医住院病种目录（2023版）》（附件4）和</w:t>
      </w:r>
      <w:r>
        <w:rPr>
          <w:rFonts w:hint="eastAsia" w:ascii="仿宋_GB2312" w:hAnsi="仿宋_GB2312" w:eastAsia="仿宋_GB2312" w:cs="仿宋_GB2312"/>
          <w:b w:val="0"/>
          <w:bCs w:val="0"/>
          <w:color w:val="auto"/>
          <w:sz w:val="32"/>
          <w:szCs w:val="32"/>
        </w:rPr>
        <w:t>《郑州市DIP医疗机构</w:t>
      </w:r>
      <w:r>
        <w:rPr>
          <w:rFonts w:hint="eastAsia" w:ascii="仿宋_GB2312" w:hAnsi="仿宋_GB2312" w:eastAsia="仿宋_GB2312" w:cs="仿宋_GB2312"/>
          <w:b w:val="0"/>
          <w:bCs w:val="0"/>
          <w:color w:val="auto"/>
          <w:sz w:val="32"/>
          <w:szCs w:val="32"/>
          <w:lang w:val="en-US" w:eastAsia="zh-CN"/>
        </w:rPr>
        <w:t>基础</w:t>
      </w:r>
      <w:r>
        <w:rPr>
          <w:rFonts w:hint="eastAsia" w:ascii="仿宋_GB2312" w:hAnsi="仿宋_GB2312" w:eastAsia="仿宋_GB2312" w:cs="仿宋_GB2312"/>
          <w:b w:val="0"/>
          <w:bCs w:val="0"/>
          <w:color w:val="auto"/>
          <w:sz w:val="32"/>
          <w:szCs w:val="32"/>
        </w:rPr>
        <w:t>等级系数（202</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版）》（附件</w:t>
      </w: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rPr>
        <w:t>）。202</w:t>
      </w: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版DIP病种目录库</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包括郑医保办〔2022〕65号通知印发的中医住院病种</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停止使用。</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val="0"/>
          <w:bCs w:val="0"/>
          <w:color w:val="auto"/>
          <w:sz w:val="32"/>
          <w:szCs w:val="32"/>
        </w:rPr>
        <w:t>（一）DIP病种主目录库</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2023版主目录库包含核心病种8313个（含28个中医核心病种），综合病种4411个，基于《河南省DIP病种主目录库（1.0版）》，结合省直和郑州市（含巩义市）参保人员在郑州市域内医保定点医疗机构历史数据、实际疾病特征、临床特点、资源消耗，确定病种分值。</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二</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DIP基层病种目录</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依据主目录内的核心病种组合，结合各等级病种病例数、次均费用、病种分值，选</w:t>
      </w:r>
      <w:r>
        <w:rPr>
          <w:rFonts w:hint="eastAsia" w:ascii="仿宋_GB2312" w:hAnsi="仿宋_GB2312" w:eastAsia="仿宋_GB2312" w:cs="仿宋_GB2312"/>
          <w:b w:val="0"/>
          <w:bCs w:val="0"/>
          <w:color w:val="auto"/>
          <w:sz w:val="32"/>
          <w:szCs w:val="32"/>
          <w:lang w:val="en-US" w:eastAsia="zh-CN"/>
        </w:rPr>
        <w:t>择县级及以下医疗机构病例数高于市级及以上医疗机构病例数、各等级间次均费用区分度较小</w:t>
      </w:r>
      <w:r>
        <w:rPr>
          <w:rFonts w:hint="eastAsia" w:ascii="仿宋_GB2312" w:hAnsi="仿宋_GB2312" w:eastAsia="仿宋_GB2312" w:cs="仿宋_GB2312"/>
          <w:b w:val="0"/>
          <w:bCs w:val="0"/>
          <w:color w:val="auto"/>
          <w:sz w:val="32"/>
          <w:szCs w:val="32"/>
        </w:rPr>
        <w:t>的病种，并结合医学临床和手术分级指南，剔除含复杂手术或风险较高的病种，</w:t>
      </w:r>
      <w:r>
        <w:rPr>
          <w:rFonts w:hint="eastAsia" w:ascii="仿宋_GB2312" w:hAnsi="仿宋_GB2312" w:eastAsia="仿宋_GB2312" w:cs="仿宋_GB2312"/>
          <w:b w:val="0"/>
          <w:bCs w:val="0"/>
          <w:color w:val="auto"/>
          <w:sz w:val="32"/>
          <w:szCs w:val="32"/>
          <w:lang w:val="en-US" w:eastAsia="zh-CN"/>
        </w:rPr>
        <w:t>将298</w:t>
      </w:r>
      <w:r>
        <w:rPr>
          <w:rFonts w:hint="eastAsia" w:ascii="仿宋_GB2312" w:hAnsi="仿宋_GB2312" w:eastAsia="仿宋_GB2312" w:cs="仿宋_GB2312"/>
          <w:b w:val="0"/>
          <w:bCs w:val="0"/>
          <w:color w:val="auto"/>
          <w:sz w:val="32"/>
          <w:szCs w:val="32"/>
        </w:rPr>
        <w:t>个</w:t>
      </w:r>
      <w:r>
        <w:rPr>
          <w:rFonts w:hint="eastAsia" w:ascii="仿宋_GB2312" w:hAnsi="仿宋_GB2312" w:eastAsia="仿宋_GB2312" w:cs="仿宋_GB2312"/>
          <w:b w:val="0"/>
          <w:bCs w:val="0"/>
          <w:color w:val="auto"/>
          <w:sz w:val="32"/>
          <w:szCs w:val="32"/>
          <w:lang w:val="en-US" w:eastAsia="zh-CN"/>
        </w:rPr>
        <w:t>病种</w:t>
      </w:r>
      <w:r>
        <w:rPr>
          <w:rFonts w:hint="eastAsia" w:ascii="仿宋_GB2312" w:hAnsi="仿宋_GB2312" w:eastAsia="仿宋_GB2312" w:cs="仿宋_GB2312"/>
          <w:b w:val="0"/>
          <w:bCs w:val="0"/>
          <w:color w:val="auto"/>
          <w:sz w:val="32"/>
          <w:szCs w:val="32"/>
        </w:rPr>
        <w:t>遴选</w:t>
      </w:r>
      <w:r>
        <w:rPr>
          <w:rFonts w:hint="eastAsia" w:ascii="仿宋_GB2312" w:hAnsi="仿宋_GB2312" w:eastAsia="仿宋_GB2312" w:cs="仿宋_GB2312"/>
          <w:b w:val="0"/>
          <w:bCs w:val="0"/>
          <w:color w:val="auto"/>
          <w:sz w:val="32"/>
          <w:szCs w:val="32"/>
          <w:lang w:val="en-US" w:eastAsia="zh-CN"/>
        </w:rPr>
        <w:t>确定</w:t>
      </w:r>
      <w:r>
        <w:rPr>
          <w:rFonts w:hint="eastAsia" w:ascii="仿宋_GB2312" w:hAnsi="仿宋_GB2312" w:eastAsia="仿宋_GB2312" w:cs="仿宋_GB2312"/>
          <w:b w:val="0"/>
          <w:bCs w:val="0"/>
          <w:color w:val="auto"/>
          <w:sz w:val="32"/>
          <w:szCs w:val="32"/>
        </w:rPr>
        <w:t>为我市DIP基层病种</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基层病种等级系数</w:t>
      </w:r>
      <w:r>
        <w:rPr>
          <w:rFonts w:hint="eastAsia" w:ascii="仿宋_GB2312" w:hAnsi="仿宋_GB2312" w:eastAsia="仿宋_GB2312" w:cs="仿宋_GB2312"/>
          <w:b w:val="0"/>
          <w:bCs w:val="0"/>
          <w:color w:val="auto"/>
          <w:sz w:val="32"/>
          <w:szCs w:val="32"/>
          <w:lang w:val="en-US" w:eastAsia="zh-CN"/>
        </w:rPr>
        <w:t>取市一、二级、县一、二、三级医疗机构基础等级系数，</w:t>
      </w:r>
      <w:r>
        <w:rPr>
          <w:rFonts w:hint="eastAsia" w:ascii="仿宋_GB2312" w:hAnsi="仿宋_GB2312" w:eastAsia="仿宋_GB2312" w:cs="仿宋_GB2312"/>
          <w:b w:val="0"/>
          <w:bCs w:val="0"/>
          <w:color w:val="auto"/>
          <w:sz w:val="32"/>
          <w:szCs w:val="32"/>
        </w:rPr>
        <w:t>设置为0.8632</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在不同等级的医疗机构执行同一个等级系数</w:t>
      </w:r>
      <w:r>
        <w:rPr>
          <w:rFonts w:hint="eastAsia" w:ascii="仿宋_GB2312" w:hAnsi="仿宋_GB2312" w:eastAsia="仿宋_GB2312" w:cs="仿宋_GB2312"/>
          <w:b w:val="0"/>
          <w:bCs w:val="0"/>
          <w:color w:val="auto"/>
          <w:sz w:val="32"/>
          <w:szCs w:val="32"/>
          <w:lang w:eastAsia="zh-CN"/>
        </w:rPr>
        <w:t>。</w:t>
      </w:r>
    </w:p>
    <w:p>
      <w:pPr>
        <w:pStyle w:val="10"/>
        <w:pageBreakBefore w:val="0"/>
        <w:numPr>
          <w:ilvl w:val="0"/>
          <w:numId w:val="0"/>
        </w:numPr>
        <w:kinsoku/>
        <w:overflowPunct/>
        <w:topLinePunct w:val="0"/>
        <w:bidi w:val="0"/>
        <w:adjustRightInd/>
        <w:snapToGrid/>
        <w:spacing w:after="0" w:line="579" w:lineRule="exact"/>
        <w:ind w:left="0" w:leftChars="0" w:firstLine="640" w:firstLineChars="200"/>
        <w:textAlignment w:val="auto"/>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val="0"/>
          <w:bCs w:val="0"/>
          <w:color w:val="auto"/>
          <w:kern w:val="2"/>
          <w:sz w:val="32"/>
          <w:szCs w:val="32"/>
          <w:lang w:val="en-US" w:eastAsia="zh-CN" w:bidi="ar-SA"/>
        </w:rPr>
        <w:t>（三）中医优势病种目录</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按照《河南省医疗保障局 河南省卫生健康委员会关于开展中医优势病种按疗效价值付费试点工作的通知》（豫医保办〔2023〕44号）要求，结合</w:t>
      </w:r>
      <w:r>
        <w:rPr>
          <w:rFonts w:hint="eastAsia" w:ascii="仿宋_GB2312" w:hAnsi="仿宋_GB2312" w:eastAsia="仿宋_GB2312" w:cs="仿宋_GB2312"/>
          <w:b w:val="0"/>
          <w:bCs w:val="0"/>
          <w:color w:val="auto"/>
          <w:sz w:val="32"/>
          <w:szCs w:val="32"/>
          <w:lang w:val="en-US" w:eastAsia="zh-CN"/>
        </w:rPr>
        <w:t>我市</w:t>
      </w:r>
      <w:r>
        <w:rPr>
          <w:rFonts w:hint="eastAsia" w:ascii="仿宋_GB2312" w:hAnsi="仿宋_GB2312" w:eastAsia="仿宋_GB2312" w:cs="仿宋_GB2312"/>
          <w:b w:val="0"/>
          <w:bCs w:val="0"/>
          <w:color w:val="auto"/>
          <w:sz w:val="32"/>
          <w:szCs w:val="32"/>
        </w:rPr>
        <w:t>实际，对“桡骨远端骨折”等</w:t>
      </w:r>
      <w:r>
        <w:rPr>
          <w:rFonts w:hint="eastAsia" w:ascii="仿宋_GB2312" w:hAnsi="仿宋_GB2312" w:eastAsia="仿宋_GB2312" w:cs="仿宋_GB2312"/>
          <w:b w:val="0"/>
          <w:bCs w:val="0"/>
          <w:color w:val="auto"/>
          <w:sz w:val="32"/>
          <w:szCs w:val="32"/>
          <w:lang w:val="en-US" w:eastAsia="zh-CN"/>
        </w:rPr>
        <w:t>9</w:t>
      </w:r>
      <w:r>
        <w:rPr>
          <w:rFonts w:hint="eastAsia" w:ascii="仿宋_GB2312" w:hAnsi="仿宋_GB2312" w:eastAsia="仿宋_GB2312" w:cs="仿宋_GB2312"/>
          <w:b w:val="0"/>
          <w:bCs w:val="0"/>
          <w:color w:val="auto"/>
          <w:sz w:val="32"/>
          <w:szCs w:val="32"/>
        </w:rPr>
        <w:t>个中医优势病种实行按疗效价值付费。</w:t>
      </w:r>
    </w:p>
    <w:p>
      <w:pPr>
        <w:pageBreakBefore w:val="0"/>
        <w:numPr>
          <w:ilvl w:val="0"/>
          <w:numId w:val="0"/>
        </w:numPr>
        <w:kinsoku/>
        <w:overflowPunct/>
        <w:topLinePunct w:val="0"/>
        <w:bidi w:val="0"/>
        <w:adjustRightInd/>
        <w:snapToGrid/>
        <w:spacing w:line="579" w:lineRule="exact"/>
        <w:ind w:left="0" w:leftChars="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val="0"/>
          <w:bCs w:val="0"/>
          <w:color w:val="auto"/>
          <w:sz w:val="32"/>
          <w:szCs w:val="32"/>
        </w:rPr>
        <w:t>（</w:t>
      </w:r>
      <w:r>
        <w:rPr>
          <w:rFonts w:hint="eastAsia" w:ascii="楷体_GB2312" w:hAnsi="楷体_GB2312" w:eastAsia="楷体_GB2312" w:cs="楷体_GB2312"/>
          <w:b w:val="0"/>
          <w:bCs w:val="0"/>
          <w:color w:val="auto"/>
          <w:sz w:val="32"/>
          <w:szCs w:val="32"/>
          <w:lang w:val="en-US" w:eastAsia="zh-CN"/>
        </w:rPr>
        <w:t>四</w:t>
      </w:r>
      <w:r>
        <w:rPr>
          <w:rFonts w:hint="eastAsia" w:ascii="楷体_GB2312" w:hAnsi="楷体_GB2312" w:eastAsia="楷体_GB2312" w:cs="楷体_GB2312"/>
          <w:b w:val="0"/>
          <w:bCs w:val="0"/>
          <w:color w:val="auto"/>
          <w:sz w:val="32"/>
          <w:szCs w:val="32"/>
        </w:rPr>
        <w:t>）</w:t>
      </w:r>
      <w:r>
        <w:rPr>
          <w:rFonts w:hint="eastAsia" w:ascii="楷体_GB2312" w:hAnsi="楷体_GB2312" w:eastAsia="楷体_GB2312" w:cs="楷体_GB2312"/>
          <w:b w:val="0"/>
          <w:bCs w:val="0"/>
          <w:color w:val="auto"/>
          <w:sz w:val="32"/>
          <w:szCs w:val="32"/>
          <w:lang w:val="en-US" w:eastAsia="zh-CN"/>
        </w:rPr>
        <w:t>中医住院病种目录</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rPr>
        <w:t>中医住院病种是DIP付费的补充。</w:t>
      </w:r>
      <w:r>
        <w:rPr>
          <w:rFonts w:hint="eastAsia" w:ascii="仿宋_GB2312" w:hAnsi="仿宋_GB2312" w:eastAsia="仿宋_GB2312" w:cs="仿宋_GB2312"/>
          <w:b w:val="0"/>
          <w:bCs w:val="0"/>
          <w:color w:val="auto"/>
          <w:sz w:val="32"/>
          <w:szCs w:val="32"/>
          <w:lang w:val="en-US" w:eastAsia="zh-CN"/>
        </w:rPr>
        <w:t>筛选中医治疗费用占比超过总费用45%，且总费用高于对应西医诊断治疗费用的同一病种，依据数据测算高出比例，进行同比例的分值加成。2023年中医住院病种目录与2022年中医住院病种目录保持一致，分值根据近三年历史数据进行一定调整。</w:t>
      </w:r>
    </w:p>
    <w:p>
      <w:pPr>
        <w:pageBreakBefore w:val="0"/>
        <w:numPr>
          <w:ilvl w:val="0"/>
          <w:numId w:val="0"/>
        </w:numPr>
        <w:kinsoku/>
        <w:overflowPunct/>
        <w:topLinePunct w:val="0"/>
        <w:bidi w:val="0"/>
        <w:adjustRightInd/>
        <w:snapToGrid/>
        <w:spacing w:line="579"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lang w:val="en-US" w:eastAsia="zh-CN"/>
        </w:rPr>
        <w:t>（五）中医核心病种</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rPr>
        <w:t>在国家、省级DIP病种目录库基础上，结合本地数据及时调整优化我市DIP病种目录库。增加中医类操作核心病种，完善本地化特色中医支付体系，以满足中医医疗机构对核心病种使用的需要，减少中医医院综合病种占比，减少补偿偏差。郑州市2023年本地中医核心病种形成逻辑与国家、省核心病种逻辑保持一致，将相关中医类操作与主诊断进行组合，对</w:t>
      </w:r>
      <w:r>
        <w:rPr>
          <w:rFonts w:hint="eastAsia" w:ascii="仿宋_GB2312" w:hAnsi="仿宋_GB2312" w:eastAsia="仿宋_GB2312" w:cs="仿宋_GB2312"/>
          <w:b w:val="0"/>
          <w:bCs w:val="0"/>
          <w:color w:val="auto"/>
          <w:sz w:val="32"/>
          <w:szCs w:val="32"/>
          <w:highlight w:val="none"/>
          <w:lang w:val="en-US" w:eastAsia="zh-CN"/>
        </w:rPr>
        <w:t>历史数据中超过200例的</w:t>
      </w:r>
      <w:r>
        <w:rPr>
          <w:rFonts w:hint="eastAsia" w:ascii="仿宋_GB2312" w:hAnsi="仿宋_GB2312" w:eastAsia="仿宋_GB2312" w:cs="仿宋_GB2312"/>
          <w:b w:val="0"/>
          <w:bCs w:val="0"/>
          <w:color w:val="auto"/>
          <w:sz w:val="32"/>
          <w:szCs w:val="32"/>
          <w:highlight w:val="none"/>
        </w:rPr>
        <w:t>病例组合形成本地中医核心病种。</w:t>
      </w:r>
    </w:p>
    <w:p>
      <w:pPr>
        <w:keepNext w:val="0"/>
        <w:keepLines w:val="0"/>
        <w:pageBreakBefore w:val="0"/>
        <w:widowControl/>
        <w:suppressLineNumbers w:val="0"/>
        <w:kinsoku/>
        <w:wordWrap/>
        <w:overflowPunct/>
        <w:topLinePunct w:val="0"/>
        <w:bidi w:val="0"/>
        <w:adjustRightInd/>
        <w:snapToGrid/>
        <w:spacing w:line="579" w:lineRule="exact"/>
        <w:ind w:left="0" w:leftChars="0"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六）</w:t>
      </w:r>
      <w:r>
        <w:rPr>
          <w:rFonts w:hint="eastAsia" w:ascii="楷体_GB2312" w:hAnsi="楷体_GB2312" w:eastAsia="楷体_GB2312" w:cs="楷体_GB2312"/>
          <w:b w:val="0"/>
          <w:bCs w:val="0"/>
          <w:color w:val="auto"/>
          <w:sz w:val="32"/>
          <w:szCs w:val="32"/>
        </w:rPr>
        <w:t>医疗机构等级系数</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等级系数包含基础系数、加成系数、扣减系数。</w:t>
      </w:r>
      <w:r>
        <w:rPr>
          <w:rFonts w:hint="eastAsia" w:ascii="仿宋_GB2312" w:hAnsi="仿宋_GB2312" w:eastAsia="仿宋_GB2312" w:cs="仿宋_GB2312"/>
          <w:b w:val="0"/>
          <w:bCs w:val="0"/>
          <w:color w:val="auto"/>
          <w:sz w:val="32"/>
          <w:szCs w:val="32"/>
        </w:rPr>
        <w:t>根据定点医疗机构级别、病种结构、功能定位等客观差异及执行的收费标准等情况，按照疾病严重程度、治疗方式复杂程度和实际资源消耗程度相统一的原则，确定郑州市定点医疗机构基础系数。</w:t>
      </w:r>
    </w:p>
    <w:p>
      <w:pPr>
        <w:keepNext w:val="0"/>
        <w:keepLines w:val="0"/>
        <w:pageBreakBefore w:val="0"/>
        <w:widowControl/>
        <w:suppressLineNumbers w:val="0"/>
        <w:kinsoku/>
        <w:wordWrap/>
        <w:overflowPunct/>
        <w:topLinePunct w:val="0"/>
        <w:autoSpaceDE/>
        <w:autoSpaceDN/>
        <w:bidi w:val="0"/>
        <w:adjustRightInd/>
        <w:snapToGrid/>
        <w:spacing w:line="579" w:lineRule="exact"/>
        <w:ind w:left="0" w:leftChars="0"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lang w:val="en-US" w:eastAsia="zh-CN"/>
        </w:rPr>
        <w:t>测算</w:t>
      </w:r>
      <w:r>
        <w:rPr>
          <w:rFonts w:hint="eastAsia" w:ascii="仿宋_GB2312" w:hAnsi="仿宋_GB2312" w:eastAsia="仿宋_GB2312" w:cs="仿宋_GB2312"/>
          <w:b w:val="0"/>
          <w:bCs w:val="0"/>
          <w:color w:val="auto"/>
          <w:sz w:val="32"/>
          <w:szCs w:val="32"/>
          <w:highlight w:val="none"/>
          <w:lang w:val="en-US" w:eastAsia="zh-CN"/>
        </w:rPr>
        <w:t>各</w:t>
      </w:r>
      <w:r>
        <w:rPr>
          <w:rFonts w:hint="eastAsia" w:ascii="仿宋_GB2312" w:hAnsi="仿宋_GB2312" w:eastAsia="仿宋_GB2312" w:cs="仿宋_GB2312"/>
          <w:b w:val="0"/>
          <w:bCs w:val="0"/>
          <w:color w:val="auto"/>
          <w:sz w:val="32"/>
          <w:szCs w:val="32"/>
        </w:rPr>
        <w:t>定点医疗机构的CMI值(病例组合指数</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lang w:eastAsia="zh-CN"/>
        </w:rPr>
        <w:t>定点医疗机构</w:t>
      </w:r>
      <w:r>
        <w:rPr>
          <w:rFonts w:hint="eastAsia" w:ascii="仿宋_GB2312" w:hAnsi="仿宋_GB2312" w:eastAsia="仿宋_GB2312" w:cs="仿宋_GB2312"/>
          <w:b w:val="0"/>
          <w:bCs w:val="0"/>
          <w:color w:val="auto"/>
          <w:sz w:val="32"/>
          <w:szCs w:val="32"/>
          <w:highlight w:val="none"/>
        </w:rPr>
        <w:t>总分值</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lang w:eastAsia="zh-CN"/>
        </w:rPr>
        <w:t>定点医疗机构</w:t>
      </w:r>
      <w:r>
        <w:rPr>
          <w:rFonts w:hint="eastAsia" w:ascii="仿宋_GB2312" w:hAnsi="仿宋_GB2312" w:eastAsia="仿宋_GB2312" w:cs="仿宋_GB2312"/>
          <w:b w:val="0"/>
          <w:bCs w:val="0"/>
          <w:color w:val="auto"/>
          <w:sz w:val="32"/>
          <w:szCs w:val="32"/>
          <w:highlight w:val="none"/>
        </w:rPr>
        <w:t>总例数</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rPr>
        <w:t>100</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根据</w:t>
      </w:r>
      <w:r>
        <w:rPr>
          <w:rFonts w:hint="eastAsia" w:ascii="仿宋_GB2312" w:hAnsi="仿宋_GB2312" w:eastAsia="仿宋_GB2312" w:cs="仿宋_GB2312"/>
          <w:b w:val="0"/>
          <w:bCs w:val="0"/>
          <w:color w:val="auto"/>
          <w:sz w:val="32"/>
          <w:szCs w:val="32"/>
          <w:lang w:val="en-US" w:eastAsia="zh-CN"/>
        </w:rPr>
        <w:t>基础系数医疗机构分类范围，测算</w:t>
      </w:r>
      <w:r>
        <w:rPr>
          <w:rFonts w:hint="eastAsia" w:ascii="仿宋_GB2312" w:hAnsi="仿宋_GB2312" w:eastAsia="仿宋_GB2312" w:cs="仿宋_GB2312"/>
          <w:b w:val="0"/>
          <w:bCs w:val="0"/>
          <w:color w:val="auto"/>
          <w:sz w:val="32"/>
          <w:szCs w:val="32"/>
          <w:highlight w:val="none"/>
          <w:lang w:val="en-US" w:eastAsia="zh-CN"/>
        </w:rPr>
        <w:t>各类别定点医疗机构CMI平均数，同各</w:t>
      </w:r>
      <w:r>
        <w:rPr>
          <w:rFonts w:hint="eastAsia" w:ascii="仿宋_GB2312" w:hAnsi="仿宋_GB2312" w:eastAsia="仿宋_GB2312" w:cs="仿宋_GB2312"/>
          <w:b w:val="0"/>
          <w:bCs w:val="0"/>
          <w:color w:val="auto"/>
          <w:sz w:val="32"/>
          <w:szCs w:val="32"/>
        </w:rPr>
        <w:t>定点医疗机构的CMI值</w:t>
      </w:r>
      <w:r>
        <w:rPr>
          <w:rFonts w:hint="eastAsia" w:ascii="仿宋_GB2312" w:hAnsi="仿宋_GB2312" w:eastAsia="仿宋_GB2312" w:cs="仿宋_GB2312"/>
          <w:b w:val="0"/>
          <w:bCs w:val="0"/>
          <w:color w:val="auto"/>
          <w:sz w:val="32"/>
          <w:szCs w:val="32"/>
          <w:lang w:val="en-US" w:eastAsia="zh-CN"/>
        </w:rPr>
        <w:t>进行比较，高于同类别医疗机构</w:t>
      </w:r>
      <w:r>
        <w:rPr>
          <w:rFonts w:hint="eastAsia" w:ascii="仿宋_GB2312" w:hAnsi="仿宋_GB2312" w:eastAsia="仿宋_GB2312" w:cs="仿宋_GB2312"/>
          <w:b w:val="0"/>
          <w:bCs w:val="0"/>
          <w:color w:val="auto"/>
          <w:sz w:val="32"/>
          <w:szCs w:val="32"/>
          <w:highlight w:val="none"/>
          <w:lang w:val="en-US" w:eastAsia="zh-CN"/>
        </w:rPr>
        <w:t>CMI平均数的</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取高出平均数的10%做为加成系数，低于同类别医疗机构</w:t>
      </w:r>
      <w:r>
        <w:rPr>
          <w:rFonts w:hint="eastAsia" w:ascii="仿宋_GB2312" w:hAnsi="仿宋_GB2312" w:eastAsia="仿宋_GB2312" w:cs="仿宋_GB2312"/>
          <w:b w:val="0"/>
          <w:bCs w:val="0"/>
          <w:color w:val="auto"/>
          <w:sz w:val="32"/>
          <w:szCs w:val="32"/>
          <w:highlight w:val="none"/>
          <w:lang w:val="en-US" w:eastAsia="zh-CN"/>
        </w:rPr>
        <w:t>CMI平均数的，不再加成。三级定点医疗机构病例组合系数最高加成7个百分点；二级定点医疗机构病例组合系数最高加成4个百分点；一级及未定级定点医疗机构病例组合系数最高加成2个百分点。</w:t>
      </w:r>
    </w:p>
    <w:p>
      <w:pPr>
        <w:keepNext w:val="0"/>
        <w:keepLines w:val="0"/>
        <w:pageBreakBefore w:val="0"/>
        <w:widowControl/>
        <w:suppressLineNumbers w:val="0"/>
        <w:kinsoku/>
        <w:wordWrap/>
        <w:overflowPunct/>
        <w:topLinePunct w:val="0"/>
        <w:autoSpaceDE/>
        <w:autoSpaceDN/>
        <w:bidi w:val="0"/>
        <w:adjustRightInd/>
        <w:snapToGrid/>
        <w:spacing w:line="579" w:lineRule="exact"/>
        <w:ind w:left="0" w:leftChars="0"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基础系数和加成系数</w:t>
      </w:r>
      <w:r>
        <w:rPr>
          <w:rFonts w:hint="eastAsia" w:ascii="仿宋_GB2312" w:hAnsi="仿宋_GB2312" w:eastAsia="仿宋_GB2312" w:cs="仿宋_GB2312"/>
          <w:b w:val="0"/>
          <w:bCs w:val="0"/>
          <w:color w:val="auto"/>
          <w:sz w:val="32"/>
          <w:szCs w:val="32"/>
          <w:lang w:val="en-US" w:eastAsia="zh-CN"/>
        </w:rPr>
        <w:t>之和做为</w:t>
      </w:r>
      <w:r>
        <w:rPr>
          <w:rFonts w:hint="eastAsia" w:ascii="仿宋_GB2312" w:hAnsi="仿宋_GB2312" w:eastAsia="仿宋_GB2312" w:cs="仿宋_GB2312"/>
          <w:b w:val="0"/>
          <w:bCs w:val="0"/>
          <w:color w:val="auto"/>
          <w:sz w:val="32"/>
          <w:szCs w:val="32"/>
        </w:rPr>
        <w:t>郑州市定点医疗机构</w:t>
      </w:r>
      <w:r>
        <w:rPr>
          <w:rFonts w:hint="eastAsia" w:ascii="仿宋_GB2312" w:hAnsi="仿宋_GB2312" w:eastAsia="仿宋_GB2312" w:cs="仿宋_GB2312"/>
          <w:b w:val="0"/>
          <w:bCs w:val="0"/>
          <w:color w:val="auto"/>
          <w:sz w:val="32"/>
          <w:szCs w:val="32"/>
          <w:lang w:val="en-US" w:eastAsia="zh-CN"/>
        </w:rPr>
        <w:t>月度预结算等级系数，年终清算时医疗机构当年的人头人次比与地区平均人头人次比及该医疗机构历史年度人头人次比进行综合比较，人头人次比异常增加的进行扣减系数(具体办法另行制定）</w:t>
      </w:r>
      <w:r>
        <w:rPr>
          <w:rFonts w:hint="eastAsia" w:ascii="仿宋_GB2312" w:hAnsi="仿宋_GB2312" w:eastAsia="仿宋_GB2312" w:cs="仿宋_GB2312"/>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二、调整月预结算和费用异常病例判定算法</w:t>
      </w:r>
    </w:p>
    <w:p>
      <w:pPr>
        <w:keepNext w:val="0"/>
        <w:keepLines w:val="0"/>
        <w:pageBreakBefore w:val="0"/>
        <w:widowControl/>
        <w:suppressLineNumbers w:val="0"/>
        <w:kinsoku/>
        <w:wordWrap/>
        <w:overflowPunct/>
        <w:topLinePunct w:val="0"/>
        <w:bidi w:val="0"/>
        <w:adjustRightInd/>
        <w:snapToGrid/>
        <w:spacing w:line="579" w:lineRule="exact"/>
        <w:ind w:left="0" w:leftChars="0"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楷体_GB2312" w:hAnsi="楷体_GB2312" w:eastAsia="楷体_GB2312" w:cs="楷体_GB2312"/>
          <w:b w:val="0"/>
          <w:bCs w:val="0"/>
          <w:color w:val="auto"/>
          <w:sz w:val="32"/>
          <w:szCs w:val="32"/>
          <w:lang w:val="en-US" w:eastAsia="zh-CN"/>
        </w:rPr>
        <w:t>（一）调整月度预结算预算金额</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kern w:val="0"/>
          <w:sz w:val="32"/>
          <w:szCs w:val="32"/>
          <w:lang w:val="en-US" w:eastAsia="zh-CN" w:bidi="ar"/>
        </w:rPr>
        <w:t>对月度预结算预算金额进行科学分配，将原来的年度预算金额平均分配额调整为按照历史三年月度统筹基金占比进行计算。</w:t>
      </w:r>
    </w:p>
    <w:p>
      <w:pPr>
        <w:keepNext w:val="0"/>
        <w:keepLines w:val="0"/>
        <w:pageBreakBefore w:val="0"/>
        <w:widowControl/>
        <w:suppressLineNumbers w:val="0"/>
        <w:kinsoku/>
        <w:wordWrap/>
        <w:overflowPunct/>
        <w:topLinePunct w:val="0"/>
        <w:autoSpaceDE/>
        <w:autoSpaceDN/>
        <w:bidi w:val="0"/>
        <w:adjustRightInd/>
        <w:snapToGrid/>
        <w:spacing w:line="579" w:lineRule="exact"/>
        <w:ind w:left="0" w:leftChars="0"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月度预结算预算金额 = 全年预算 × 历史三年统筹基金平均每月支付占全年统筹基金百分比</w:t>
      </w:r>
    </w:p>
    <w:p>
      <w:pPr>
        <w:keepNext w:val="0"/>
        <w:keepLines w:val="0"/>
        <w:pageBreakBefore w:val="0"/>
        <w:widowControl/>
        <w:suppressLineNumbers w:val="0"/>
        <w:kinsoku/>
        <w:wordWrap/>
        <w:overflowPunct/>
        <w:topLinePunct w:val="0"/>
        <w:bidi w:val="0"/>
        <w:adjustRightInd/>
        <w:snapToGrid/>
        <w:spacing w:line="579" w:lineRule="exact"/>
        <w:ind w:left="0" w:leftChars="0"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楷体_GB2312" w:hAnsi="楷体_GB2312" w:eastAsia="楷体_GB2312" w:cs="楷体_GB2312"/>
          <w:b w:val="0"/>
          <w:bCs w:val="0"/>
          <w:color w:val="auto"/>
          <w:sz w:val="32"/>
          <w:szCs w:val="32"/>
          <w:lang w:val="en-US" w:eastAsia="zh-CN"/>
        </w:rPr>
        <w:t>（二）调整费用异常病例判定机制</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kern w:val="0"/>
          <w:sz w:val="32"/>
          <w:szCs w:val="32"/>
          <w:lang w:val="en-US" w:eastAsia="zh-CN" w:bidi="ar"/>
        </w:rPr>
        <w:t>对高倍率、低倍率等偏差病例的病例类型判定，由原来地区病种均费调整为医疗机构等级病种均费，减少各等级医疗机构偏差病例占比，提高正常病例占比。</w:t>
      </w:r>
    </w:p>
    <w:p>
      <w:pPr>
        <w:keepNext w:val="0"/>
        <w:keepLines w:val="0"/>
        <w:pageBreakBefore w:val="0"/>
        <w:widowControl/>
        <w:suppressLineNumbers w:val="0"/>
        <w:kinsoku/>
        <w:wordWrap/>
        <w:overflowPunct/>
        <w:topLinePunct w:val="0"/>
        <w:autoSpaceDE/>
        <w:autoSpaceDN/>
        <w:bidi w:val="0"/>
        <w:adjustRightInd/>
        <w:snapToGrid/>
        <w:spacing w:line="579" w:lineRule="exact"/>
        <w:ind w:left="0" w:leftChars="0"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kern w:val="0"/>
          <w:sz w:val="32"/>
          <w:szCs w:val="32"/>
          <w:lang w:val="en-US" w:eastAsia="zh-CN" w:bidi="ar"/>
        </w:rPr>
        <w:t>病例倍率判定标准 = 该病例总费用 ÷ （病种地区次均费用 × 该医疗机构基础等级系数）</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三、精神</w:t>
      </w:r>
      <w:r>
        <w:rPr>
          <w:rFonts w:hint="eastAsia" w:ascii="黑体" w:hAnsi="黑体" w:eastAsia="黑体" w:cs="黑体"/>
          <w:b w:val="0"/>
          <w:bCs w:val="0"/>
          <w:color w:val="auto"/>
          <w:sz w:val="32"/>
          <w:szCs w:val="32"/>
        </w:rPr>
        <w:t>类专科医疗机构支付方式</w:t>
      </w:r>
    </w:p>
    <w:p>
      <w:pPr>
        <w:keepNext w:val="0"/>
        <w:keepLines w:val="0"/>
        <w:pageBreakBefore w:val="0"/>
        <w:widowControl/>
        <w:suppressLineNumbers w:val="0"/>
        <w:kinsoku/>
        <w:wordWrap/>
        <w:overflowPunct/>
        <w:topLinePunct w:val="0"/>
        <w:bidi w:val="0"/>
        <w:adjustRightInd/>
        <w:snapToGrid/>
        <w:spacing w:line="579" w:lineRule="exact"/>
        <w:ind w:left="0" w:leftChars="0"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河南省精神病医院、郑州市第八人民医院、郑州市精神病防治医院、登封博爱精神康复医院2023年度符合规定的住院医疗费用实行“项目付费、总额控制、超支分担”的付费方式。2023年度统筹费用控制总额为该定点医疗机构20</w:t>
      </w:r>
      <w:r>
        <w:rPr>
          <w:rFonts w:hint="eastAsia" w:ascii="仿宋_GB2312" w:hAnsi="仿宋_GB2312" w:eastAsia="仿宋_GB2312" w:cs="仿宋_GB2312"/>
          <w:b w:val="0"/>
          <w:bCs w:val="0"/>
          <w:color w:val="auto"/>
          <w:sz w:val="32"/>
          <w:szCs w:val="32"/>
          <w:lang w:val="en-US" w:eastAsia="zh-CN"/>
        </w:rPr>
        <w:t>20</w:t>
      </w:r>
      <w:r>
        <w:rPr>
          <w:rFonts w:hint="eastAsia" w:ascii="仿宋_GB2312" w:hAnsi="仿宋_GB2312" w:eastAsia="仿宋_GB2312" w:cs="仿宋_GB2312"/>
          <w:b w:val="0"/>
          <w:bCs w:val="0"/>
          <w:color w:val="auto"/>
          <w:sz w:val="32"/>
          <w:szCs w:val="32"/>
        </w:rPr>
        <w:t>至202</w:t>
      </w: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年三年统筹费用发生额的平均值（附件</w:t>
      </w:r>
      <w:r>
        <w:rPr>
          <w:rFonts w:hint="eastAsia" w:ascii="仿宋_GB2312" w:hAnsi="仿宋_GB2312" w:eastAsia="仿宋_GB2312" w:cs="仿宋_GB2312"/>
          <w:b w:val="0"/>
          <w:bCs w:val="0"/>
          <w:color w:val="auto"/>
          <w:sz w:val="32"/>
          <w:szCs w:val="32"/>
          <w:lang w:val="en-US" w:eastAsia="zh-CN"/>
        </w:rPr>
        <w:t>6</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其中</w:t>
      </w:r>
      <w:r>
        <w:rPr>
          <w:rFonts w:hint="eastAsia" w:ascii="仿宋_GB2312" w:hAnsi="仿宋_GB2312" w:eastAsia="仿宋_GB2312" w:cs="仿宋_GB2312"/>
          <w:b w:val="0"/>
          <w:bCs w:val="0"/>
          <w:color w:val="auto"/>
          <w:sz w:val="32"/>
          <w:szCs w:val="32"/>
        </w:rPr>
        <w:t>登封博爱精神康复医院</w:t>
      </w:r>
      <w:r>
        <w:rPr>
          <w:rFonts w:hint="eastAsia" w:ascii="仿宋_GB2312" w:hAnsi="仿宋_GB2312" w:eastAsia="仿宋_GB2312" w:cs="仿宋_GB2312"/>
          <w:b w:val="0"/>
          <w:bCs w:val="0"/>
          <w:color w:val="auto"/>
          <w:sz w:val="32"/>
          <w:szCs w:val="32"/>
          <w:lang w:val="en-US" w:eastAsia="zh-CN"/>
        </w:rPr>
        <w:t>联网不足三年，2023年</w:t>
      </w:r>
      <w:r>
        <w:rPr>
          <w:rFonts w:hint="eastAsia" w:ascii="仿宋_GB2312" w:hAnsi="仿宋_GB2312" w:eastAsia="仿宋_GB2312" w:cs="仿宋_GB2312"/>
          <w:b w:val="0"/>
          <w:bCs w:val="0"/>
          <w:color w:val="auto"/>
          <w:sz w:val="32"/>
          <w:szCs w:val="32"/>
        </w:rPr>
        <w:t>年度统筹费用控制总额</w:t>
      </w:r>
      <w:r>
        <w:rPr>
          <w:rFonts w:hint="eastAsia" w:ascii="仿宋_GB2312" w:hAnsi="仿宋_GB2312" w:eastAsia="仿宋_GB2312" w:cs="仿宋_GB2312"/>
          <w:b w:val="0"/>
          <w:bCs w:val="0"/>
          <w:color w:val="auto"/>
          <w:sz w:val="32"/>
          <w:szCs w:val="32"/>
          <w:lang w:val="en-US" w:eastAsia="zh-CN"/>
        </w:rPr>
        <w:t>由登封市医疗保障中心根据基金收支情况与该院协商确定</w:t>
      </w:r>
      <w:r>
        <w:rPr>
          <w:rFonts w:hint="eastAsia" w:ascii="仿宋_GB2312" w:hAnsi="仿宋_GB2312" w:eastAsia="仿宋_GB2312" w:cs="仿宋_GB2312"/>
          <w:b w:val="0"/>
          <w:bCs w:val="0"/>
          <w:color w:val="auto"/>
          <w:sz w:val="32"/>
          <w:szCs w:val="32"/>
        </w:rPr>
        <w:t>。上述定点医疗机构在2023年度统筹费用发生额低于或等于年度统筹费用控制总额的，统筹费用按项目付费据实结算；超过年度统筹费用控制总额的，超出部分根据统筹基金收支情况和累计结余情况由双方按DIP超支分担办法共同分担。</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四、有</w:t>
      </w:r>
      <w:r>
        <w:rPr>
          <w:rFonts w:hint="eastAsia" w:ascii="黑体" w:hAnsi="黑体" w:eastAsia="黑体" w:cs="黑体"/>
          <w:b w:val="0"/>
          <w:bCs w:val="0"/>
          <w:color w:val="auto"/>
          <w:sz w:val="32"/>
          <w:szCs w:val="32"/>
        </w:rPr>
        <w:t>关要求</w:t>
      </w:r>
    </w:p>
    <w:p>
      <w:pPr>
        <w:pageBreakBefore w:val="0"/>
        <w:kinsoku/>
        <w:overflowPunct/>
        <w:topLinePunct w:val="0"/>
        <w:bidi w:val="0"/>
        <w:adjustRightInd/>
        <w:snapToGrid/>
        <w:spacing w:line="579" w:lineRule="exact"/>
        <w:ind w:left="0" w:leftChars="0" w:firstLine="640" w:firstLineChars="200"/>
        <w:textAlignment w:val="auto"/>
        <w:rPr>
          <w:rFonts w:hint="eastAsia" w:ascii="仿宋_GB2312" w:hAnsi="仿宋_GB2312" w:eastAsia="仿宋_GB2312" w:cs="仿宋_GB2312"/>
          <w:b w:val="0"/>
          <w:bCs w:val="0"/>
          <w:color w:val="auto"/>
          <w:sz w:val="32"/>
          <w:szCs w:val="32"/>
          <w:lang w:val="en-US"/>
        </w:rPr>
      </w:pPr>
      <w:r>
        <w:rPr>
          <w:rFonts w:hint="eastAsia" w:ascii="楷体_GB2312" w:hAnsi="楷体_GB2312" w:eastAsia="楷体_GB2312" w:cs="楷体_GB2312"/>
          <w:b w:val="0"/>
          <w:bCs w:val="0"/>
          <w:color w:val="auto"/>
          <w:sz w:val="32"/>
          <w:szCs w:val="32"/>
        </w:rPr>
        <w:t>（一）提高基础数据质量</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各定点医疗机构要切实加强病案质量管理，建立完善质控制度，严格落实国家15项医保信息业务编码，按照《医疗保障基金结算清单填写规范》要求，规范填写医疗保障基金结算清单，做到应填尽填，据实填写。针对部分手术操作为灰码的要细化填写，涉及</w:t>
      </w:r>
      <w:r>
        <w:rPr>
          <w:rFonts w:hint="eastAsia" w:ascii="仿宋_GB2312" w:hAnsi="仿宋_GB2312" w:eastAsia="仿宋_GB2312" w:cs="仿宋_GB2312"/>
          <w:b w:val="0"/>
          <w:bCs w:val="0"/>
          <w:color w:val="auto"/>
          <w:sz w:val="32"/>
          <w:szCs w:val="32"/>
          <w:lang w:val="en-US" w:eastAsia="zh-CN"/>
        </w:rPr>
        <w:t>全省范围内首次开展且纳入医保支付的</w:t>
      </w:r>
      <w:r>
        <w:rPr>
          <w:rFonts w:hint="eastAsia" w:ascii="仿宋_GB2312" w:hAnsi="仿宋_GB2312" w:eastAsia="仿宋_GB2312" w:cs="仿宋_GB2312"/>
          <w:b w:val="0"/>
          <w:bCs w:val="0"/>
          <w:color w:val="auto"/>
          <w:sz w:val="32"/>
          <w:szCs w:val="32"/>
        </w:rPr>
        <w:t>高新技</w:t>
      </w:r>
      <w:r>
        <w:rPr>
          <w:rFonts w:hint="eastAsia" w:ascii="仿宋_GB2312" w:hAnsi="仿宋_GB2312" w:eastAsia="仿宋_GB2312" w:cs="仿宋_GB2312"/>
          <w:b w:val="0"/>
          <w:bCs w:val="0"/>
          <w:color w:val="auto"/>
          <w:sz w:val="32"/>
          <w:szCs w:val="32"/>
          <w:lang w:val="en-US" w:eastAsia="zh-CN"/>
        </w:rPr>
        <w:t>术</w:t>
      </w:r>
      <w:r>
        <w:rPr>
          <w:rFonts w:hint="eastAsia" w:ascii="仿宋_GB2312" w:hAnsi="仿宋_GB2312" w:eastAsia="仿宋_GB2312" w:cs="仿宋_GB2312"/>
          <w:b w:val="0"/>
          <w:bCs w:val="0"/>
          <w:color w:val="auto"/>
          <w:sz w:val="32"/>
          <w:szCs w:val="32"/>
        </w:rPr>
        <w:t>的要据实填写</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rPr>
        <w:t>年终清算时，将根据真实数据情况，形成相关病种组合后予以清算。</w:t>
      </w:r>
      <w:r>
        <w:rPr>
          <w:rFonts w:hint="eastAsia" w:ascii="仿宋_GB2312" w:hAnsi="仿宋_GB2312" w:eastAsia="仿宋_GB2312" w:cs="仿宋_GB2312"/>
          <w:b w:val="0"/>
          <w:bCs w:val="0"/>
          <w:color w:val="auto"/>
          <w:sz w:val="32"/>
          <w:szCs w:val="32"/>
          <w:lang w:val="en-US" w:eastAsia="zh-CN"/>
        </w:rPr>
        <w:t>涉及同一疾病双侧手术问题，逐月上报，审核后根据测算结果确定分值。</w:t>
      </w:r>
    </w:p>
    <w:p>
      <w:pPr>
        <w:pageBreakBefore w:val="0"/>
        <w:kinsoku/>
        <w:overflowPunct/>
        <w:topLinePunct w:val="0"/>
        <w:bidi w:val="0"/>
        <w:adjustRightInd/>
        <w:snapToGrid/>
        <w:spacing w:line="579" w:lineRule="exact"/>
        <w:ind w:left="0" w:leftChars="0" w:firstLine="640" w:firstLineChars="200"/>
        <w:textAlignment w:val="auto"/>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val="0"/>
          <w:bCs w:val="0"/>
          <w:color w:val="auto"/>
          <w:sz w:val="32"/>
          <w:szCs w:val="32"/>
        </w:rPr>
        <w:t>（二）规范DIP付费结算流程</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为规范DIP结算流程，保障结算工作正常开展，各定点医疗机构</w:t>
      </w:r>
      <w:r>
        <w:rPr>
          <w:rFonts w:hint="eastAsia" w:ascii="仿宋_GB2312" w:hAnsi="仿宋_GB2312" w:eastAsia="仿宋_GB2312" w:cs="仿宋_GB2312"/>
          <w:b w:val="0"/>
          <w:bCs w:val="0"/>
          <w:color w:val="auto"/>
          <w:sz w:val="32"/>
          <w:szCs w:val="32"/>
          <w:lang w:val="en-US" w:eastAsia="zh-CN"/>
        </w:rPr>
        <w:t>应在</w:t>
      </w:r>
      <w:r>
        <w:rPr>
          <w:rFonts w:hint="eastAsia" w:ascii="仿宋_GB2312" w:hAnsi="仿宋_GB2312" w:eastAsia="仿宋_GB2312" w:cs="仿宋_GB2312"/>
          <w:b w:val="0"/>
          <w:bCs w:val="0"/>
          <w:color w:val="auto"/>
          <w:sz w:val="32"/>
          <w:szCs w:val="32"/>
        </w:rPr>
        <w:t>每月5日前发起上月结算申请，并于每月10日前上传上月医疗保障基金结算清单等相关数据信息。分组结果确认后10个工作日内结算上月住院统筹基金费用，结算时预留5％的质量保证金。对逾期未完成的医疗机构，按实际上传数据计算月度预结算金额，不再按实际产生数据预结算，差额部分待年度清算时再予结算。</w:t>
      </w:r>
    </w:p>
    <w:p>
      <w:pPr>
        <w:pStyle w:val="2"/>
        <w:pageBreakBefore w:val="0"/>
        <w:kinsoku/>
        <w:overflowPunct/>
        <w:topLinePunct w:val="0"/>
        <w:bidi w:val="0"/>
        <w:adjustRightInd/>
        <w:snapToGrid/>
        <w:spacing w:line="579" w:lineRule="exact"/>
        <w:ind w:left="0" w:leftChars="0" w:firstLine="640" w:firstLineChars="200"/>
        <w:textAlignment w:val="auto"/>
        <w:rPr>
          <w:rFonts w:hint="eastAsia" w:ascii="仿宋_GB2312" w:hAnsi="仿宋_GB2312" w:eastAsia="仿宋_GB2312" w:cs="仿宋_GB2312"/>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rPr>
        <w:t>附件：1.郑州市DIP病种主目录库</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2023版）</w:t>
      </w:r>
    </w:p>
    <w:p>
      <w:pPr>
        <w:keepNext w:val="0"/>
        <w:keepLines w:val="0"/>
        <w:pageBreakBefore w:val="0"/>
        <w:widowControl w:val="0"/>
        <w:kinsoku/>
        <w:wordWrap/>
        <w:overflowPunct/>
        <w:topLinePunct w:val="0"/>
        <w:autoSpaceDE/>
        <w:autoSpaceDN/>
        <w:bidi w:val="0"/>
        <w:adjustRightInd/>
        <w:snapToGrid/>
        <w:spacing w:line="579" w:lineRule="exact"/>
        <w:ind w:firstLine="1600" w:firstLineChars="5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2.郑州市DIP基层病种目录</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2023版）</w:t>
      </w:r>
    </w:p>
    <w:p>
      <w:pPr>
        <w:pStyle w:val="10"/>
        <w:keepNext w:val="0"/>
        <w:keepLines w:val="0"/>
        <w:pageBreakBefore w:val="0"/>
        <w:widowControl w:val="0"/>
        <w:kinsoku/>
        <w:wordWrap/>
        <w:overflowPunct/>
        <w:topLinePunct w:val="0"/>
        <w:autoSpaceDE/>
        <w:autoSpaceDN/>
        <w:bidi w:val="0"/>
        <w:adjustRightInd/>
        <w:snapToGrid/>
        <w:spacing w:after="0" w:line="579" w:lineRule="exact"/>
        <w:ind w:left="0" w:leftChars="0" w:firstLine="1600" w:firstLineChars="5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rPr>
        <w:t>3.郑州市中医优势病种目录</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2023版）</w:t>
      </w:r>
    </w:p>
    <w:p>
      <w:pPr>
        <w:pageBreakBefore w:val="0"/>
        <w:kinsoku/>
        <w:overflowPunct/>
        <w:topLinePunct w:val="0"/>
        <w:bidi w:val="0"/>
        <w:adjustRightInd/>
        <w:snapToGrid/>
        <w:spacing w:line="579" w:lineRule="exact"/>
        <w:ind w:left="0" w:leftChars="0" w:firstLine="1600" w:firstLineChars="5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4.郑州市中医住院病种目录（2023版）</w:t>
      </w:r>
    </w:p>
    <w:p>
      <w:pPr>
        <w:pStyle w:val="10"/>
        <w:keepNext w:val="0"/>
        <w:keepLines w:val="0"/>
        <w:pageBreakBefore w:val="0"/>
        <w:widowControl w:val="0"/>
        <w:kinsoku/>
        <w:wordWrap/>
        <w:overflowPunct/>
        <w:topLinePunct w:val="0"/>
        <w:autoSpaceDE/>
        <w:autoSpaceDN/>
        <w:bidi w:val="0"/>
        <w:adjustRightInd/>
        <w:snapToGrid/>
        <w:spacing w:after="0" w:line="579" w:lineRule="exact"/>
        <w:ind w:left="0" w:leftChars="0" w:firstLine="1600" w:firstLineChars="5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rPr>
        <w:t>.郑州市DIP医疗机构</w:t>
      </w:r>
      <w:r>
        <w:rPr>
          <w:rFonts w:hint="eastAsia" w:ascii="仿宋_GB2312" w:hAnsi="仿宋_GB2312" w:eastAsia="仿宋_GB2312" w:cs="仿宋_GB2312"/>
          <w:b w:val="0"/>
          <w:bCs w:val="0"/>
          <w:color w:val="auto"/>
          <w:sz w:val="32"/>
          <w:szCs w:val="32"/>
          <w:lang w:val="en-US" w:eastAsia="zh-CN"/>
        </w:rPr>
        <w:t>基础</w:t>
      </w:r>
      <w:r>
        <w:rPr>
          <w:rFonts w:hint="eastAsia" w:ascii="仿宋_GB2312" w:hAnsi="仿宋_GB2312" w:eastAsia="仿宋_GB2312" w:cs="仿宋_GB2312"/>
          <w:b w:val="0"/>
          <w:bCs w:val="0"/>
          <w:color w:val="auto"/>
          <w:sz w:val="32"/>
          <w:szCs w:val="32"/>
        </w:rPr>
        <w:t>等级系数</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2023版）</w:t>
      </w:r>
    </w:p>
    <w:p>
      <w:pPr>
        <w:pStyle w:val="10"/>
        <w:keepNext w:val="0"/>
        <w:keepLines w:val="0"/>
        <w:pageBreakBefore w:val="0"/>
        <w:widowControl w:val="0"/>
        <w:kinsoku/>
        <w:wordWrap/>
        <w:overflowPunct/>
        <w:topLinePunct w:val="0"/>
        <w:autoSpaceDE/>
        <w:autoSpaceDN/>
        <w:bidi w:val="0"/>
        <w:adjustRightInd/>
        <w:snapToGrid/>
        <w:spacing w:after="0" w:line="579" w:lineRule="exact"/>
        <w:ind w:left="0" w:leftChars="0" w:firstLine="1600" w:firstLineChars="500"/>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sz w:val="32"/>
          <w:szCs w:val="32"/>
          <w:lang w:val="en-US" w:eastAsia="zh-CN"/>
        </w:rPr>
        <w:t>6.</w:t>
      </w:r>
      <w:r>
        <w:rPr>
          <w:rFonts w:hint="eastAsia" w:ascii="仿宋_GB2312" w:hAnsi="仿宋_GB2312" w:eastAsia="仿宋_GB2312" w:cs="仿宋_GB2312"/>
          <w:b w:val="0"/>
          <w:bCs w:val="0"/>
          <w:color w:val="auto"/>
          <w:kern w:val="0"/>
          <w:sz w:val="32"/>
          <w:szCs w:val="32"/>
        </w:rPr>
        <w:t>河南省精神病医院等四家医院2023年付费额度</w:t>
      </w:r>
    </w:p>
    <w:p>
      <w:pPr>
        <w:pStyle w:val="10"/>
        <w:keepNext w:val="0"/>
        <w:keepLines w:val="0"/>
        <w:pageBreakBefore w:val="0"/>
        <w:widowControl w:val="0"/>
        <w:kinsoku/>
        <w:wordWrap w:val="0"/>
        <w:overflowPunct/>
        <w:topLinePunct w:val="0"/>
        <w:autoSpaceDE/>
        <w:autoSpaceDN/>
        <w:bidi w:val="0"/>
        <w:adjustRightInd/>
        <w:snapToGrid/>
        <w:spacing w:after="0" w:line="579" w:lineRule="exact"/>
        <w:ind w:left="0" w:leftChars="0" w:firstLine="640" w:firstLineChars="200"/>
        <w:jc w:val="center"/>
        <w:textAlignment w:val="auto"/>
        <w:rPr>
          <w:rFonts w:hint="eastAsia" w:ascii="仿宋_GB2312" w:hAnsi="仿宋_GB2312" w:eastAsia="仿宋_GB2312" w:cs="仿宋_GB2312"/>
          <w:b w:val="0"/>
          <w:bCs w:val="0"/>
          <w:color w:val="auto"/>
          <w:sz w:val="32"/>
          <w:szCs w:val="32"/>
          <w:lang w:val="en-US" w:eastAsia="zh-CN"/>
        </w:rPr>
      </w:pPr>
      <w:bookmarkStart w:id="0" w:name="_GoBack"/>
      <w:bookmarkEnd w:id="0"/>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sz w:val="32"/>
                              <w:szCs w:val="32"/>
                            </w:rPr>
                          </w:pP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rPr>
                        <w:sz w:val="32"/>
                        <w:szCs w:val="32"/>
                      </w:rPr>
                    </w:pP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iN2ZkNzc5N2NhY2E2ODBhMWM1ZWI1NDlmODY1ZmUifQ=="/>
  </w:docVars>
  <w:rsids>
    <w:rsidRoot w:val="00655862"/>
    <w:rsid w:val="00051883"/>
    <w:rsid w:val="00115ECA"/>
    <w:rsid w:val="00145403"/>
    <w:rsid w:val="001720B7"/>
    <w:rsid w:val="00184CCE"/>
    <w:rsid w:val="002628A6"/>
    <w:rsid w:val="002A22A6"/>
    <w:rsid w:val="003233E6"/>
    <w:rsid w:val="00333746"/>
    <w:rsid w:val="00366EF8"/>
    <w:rsid w:val="003970C1"/>
    <w:rsid w:val="003A7DFC"/>
    <w:rsid w:val="003B27E4"/>
    <w:rsid w:val="003E4896"/>
    <w:rsid w:val="00412C48"/>
    <w:rsid w:val="004E744E"/>
    <w:rsid w:val="004F2B6D"/>
    <w:rsid w:val="00503CA0"/>
    <w:rsid w:val="0052383D"/>
    <w:rsid w:val="00574115"/>
    <w:rsid w:val="005860A9"/>
    <w:rsid w:val="00587B52"/>
    <w:rsid w:val="00655862"/>
    <w:rsid w:val="006753E3"/>
    <w:rsid w:val="006E0DB2"/>
    <w:rsid w:val="00705FB9"/>
    <w:rsid w:val="007D0DE7"/>
    <w:rsid w:val="00800DF6"/>
    <w:rsid w:val="00836C45"/>
    <w:rsid w:val="00925672"/>
    <w:rsid w:val="009C6EB0"/>
    <w:rsid w:val="009D28EE"/>
    <w:rsid w:val="009E7F19"/>
    <w:rsid w:val="00A42AFC"/>
    <w:rsid w:val="00A43594"/>
    <w:rsid w:val="00A469DA"/>
    <w:rsid w:val="00B54A3B"/>
    <w:rsid w:val="00B62A22"/>
    <w:rsid w:val="00B670AD"/>
    <w:rsid w:val="00B866DA"/>
    <w:rsid w:val="00BC1E03"/>
    <w:rsid w:val="00BE54C2"/>
    <w:rsid w:val="00C25DF1"/>
    <w:rsid w:val="00C604BC"/>
    <w:rsid w:val="00D922E6"/>
    <w:rsid w:val="00F907D2"/>
    <w:rsid w:val="01207B0A"/>
    <w:rsid w:val="013C408D"/>
    <w:rsid w:val="016934EB"/>
    <w:rsid w:val="02225705"/>
    <w:rsid w:val="026F71B4"/>
    <w:rsid w:val="02E156D1"/>
    <w:rsid w:val="037C1126"/>
    <w:rsid w:val="04DE6F5D"/>
    <w:rsid w:val="081B7632"/>
    <w:rsid w:val="08254142"/>
    <w:rsid w:val="08A254A6"/>
    <w:rsid w:val="094C3466"/>
    <w:rsid w:val="0C811F72"/>
    <w:rsid w:val="0CBC3D48"/>
    <w:rsid w:val="0DC45E7C"/>
    <w:rsid w:val="0F400FFD"/>
    <w:rsid w:val="101051FA"/>
    <w:rsid w:val="108B44D6"/>
    <w:rsid w:val="11286567"/>
    <w:rsid w:val="114078B6"/>
    <w:rsid w:val="126B3803"/>
    <w:rsid w:val="139115E5"/>
    <w:rsid w:val="13AE714A"/>
    <w:rsid w:val="14092680"/>
    <w:rsid w:val="14B26007"/>
    <w:rsid w:val="15194B44"/>
    <w:rsid w:val="1632454E"/>
    <w:rsid w:val="17486895"/>
    <w:rsid w:val="17532DA8"/>
    <w:rsid w:val="18090053"/>
    <w:rsid w:val="191C48A1"/>
    <w:rsid w:val="1A254A8E"/>
    <w:rsid w:val="1A68493F"/>
    <w:rsid w:val="1AAE21D3"/>
    <w:rsid w:val="1C536B8E"/>
    <w:rsid w:val="1E7B23CC"/>
    <w:rsid w:val="1EE927AE"/>
    <w:rsid w:val="1EF63606"/>
    <w:rsid w:val="1FBF50E7"/>
    <w:rsid w:val="22093B31"/>
    <w:rsid w:val="23BA760F"/>
    <w:rsid w:val="285A6FC0"/>
    <w:rsid w:val="28C93D61"/>
    <w:rsid w:val="2A565291"/>
    <w:rsid w:val="2A950CB9"/>
    <w:rsid w:val="2A962EE4"/>
    <w:rsid w:val="2A9C5920"/>
    <w:rsid w:val="2B603075"/>
    <w:rsid w:val="2CD51841"/>
    <w:rsid w:val="2D0F08AF"/>
    <w:rsid w:val="2D115BDC"/>
    <w:rsid w:val="2E204D3E"/>
    <w:rsid w:val="2E367DE3"/>
    <w:rsid w:val="2EDB2B46"/>
    <w:rsid w:val="2EE272C5"/>
    <w:rsid w:val="2F9D4A5C"/>
    <w:rsid w:val="30872E52"/>
    <w:rsid w:val="33B73D75"/>
    <w:rsid w:val="353326DD"/>
    <w:rsid w:val="358D595D"/>
    <w:rsid w:val="371B1C29"/>
    <w:rsid w:val="376E0E31"/>
    <w:rsid w:val="377F0BD4"/>
    <w:rsid w:val="398D55E5"/>
    <w:rsid w:val="39AE76A2"/>
    <w:rsid w:val="3A1147C3"/>
    <w:rsid w:val="3A6B16D5"/>
    <w:rsid w:val="3A744447"/>
    <w:rsid w:val="3AA74B40"/>
    <w:rsid w:val="3C2001AC"/>
    <w:rsid w:val="3CDE455B"/>
    <w:rsid w:val="3CF20FEC"/>
    <w:rsid w:val="3D250042"/>
    <w:rsid w:val="3ECF305B"/>
    <w:rsid w:val="3F465482"/>
    <w:rsid w:val="3F774761"/>
    <w:rsid w:val="3FEF1F35"/>
    <w:rsid w:val="40630701"/>
    <w:rsid w:val="406A72E8"/>
    <w:rsid w:val="42C10446"/>
    <w:rsid w:val="44B824AD"/>
    <w:rsid w:val="45166E87"/>
    <w:rsid w:val="45962735"/>
    <w:rsid w:val="45AF4585"/>
    <w:rsid w:val="46670824"/>
    <w:rsid w:val="475D0075"/>
    <w:rsid w:val="49EA1ED8"/>
    <w:rsid w:val="4B410375"/>
    <w:rsid w:val="4B8E4712"/>
    <w:rsid w:val="4D781BB7"/>
    <w:rsid w:val="4D8A64E1"/>
    <w:rsid w:val="509E1DC6"/>
    <w:rsid w:val="50BA772A"/>
    <w:rsid w:val="527C1C93"/>
    <w:rsid w:val="53E770A4"/>
    <w:rsid w:val="54526177"/>
    <w:rsid w:val="54D65AC9"/>
    <w:rsid w:val="55154A8D"/>
    <w:rsid w:val="579C1C4E"/>
    <w:rsid w:val="581F1A3E"/>
    <w:rsid w:val="5A1E6058"/>
    <w:rsid w:val="5B87692E"/>
    <w:rsid w:val="5C036F81"/>
    <w:rsid w:val="5C9B540C"/>
    <w:rsid w:val="5CEF62DC"/>
    <w:rsid w:val="5D1B0FA0"/>
    <w:rsid w:val="5E04155C"/>
    <w:rsid w:val="5E696A0E"/>
    <w:rsid w:val="5FF732A1"/>
    <w:rsid w:val="604D14F0"/>
    <w:rsid w:val="627F77D0"/>
    <w:rsid w:val="644A1063"/>
    <w:rsid w:val="645D1228"/>
    <w:rsid w:val="64EE4C72"/>
    <w:rsid w:val="650A1380"/>
    <w:rsid w:val="69280027"/>
    <w:rsid w:val="693C671A"/>
    <w:rsid w:val="6A7D21C9"/>
    <w:rsid w:val="6B3E1D84"/>
    <w:rsid w:val="6C171676"/>
    <w:rsid w:val="6CB22D29"/>
    <w:rsid w:val="6D0F3E28"/>
    <w:rsid w:val="6D8B714E"/>
    <w:rsid w:val="6D980688"/>
    <w:rsid w:val="6DCC3816"/>
    <w:rsid w:val="6DDD6FD7"/>
    <w:rsid w:val="6EAF471E"/>
    <w:rsid w:val="6F5111A4"/>
    <w:rsid w:val="6F7044D6"/>
    <w:rsid w:val="7020098E"/>
    <w:rsid w:val="703D260A"/>
    <w:rsid w:val="70463DF8"/>
    <w:rsid w:val="71F70164"/>
    <w:rsid w:val="72730699"/>
    <w:rsid w:val="72814E54"/>
    <w:rsid w:val="72860C89"/>
    <w:rsid w:val="73DC50BE"/>
    <w:rsid w:val="75246E0B"/>
    <w:rsid w:val="78234247"/>
    <w:rsid w:val="7850612D"/>
    <w:rsid w:val="787455D8"/>
    <w:rsid w:val="78C064CE"/>
    <w:rsid w:val="7C4160FB"/>
    <w:rsid w:val="7C63164A"/>
    <w:rsid w:val="7D902913"/>
    <w:rsid w:val="7DB21307"/>
    <w:rsid w:val="7E474C7A"/>
    <w:rsid w:val="7F702109"/>
    <w:rsid w:val="7F855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adjustRightInd w:val="0"/>
      <w:snapToGrid w:val="0"/>
      <w:spacing w:line="520" w:lineRule="exact"/>
      <w:ind w:firstLine="883" w:firstLineChars="200"/>
      <w:outlineLvl w:val="1"/>
    </w:pPr>
    <w:rPr>
      <w:rFonts w:ascii="Arial" w:hAnsi="Arial" w:eastAsia="楷体" w:cs="Times New Roman"/>
      <w:b/>
      <w:sz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5">
    <w:name w:val="Normal Indent"/>
    <w:basedOn w:val="1"/>
    <w:unhideWhenUsed/>
    <w:qFormat/>
    <w:uiPriority w:val="99"/>
    <w:pPr>
      <w:ind w:firstLine="420" w:firstLineChars="200"/>
    </w:pPr>
  </w:style>
  <w:style w:type="paragraph" w:styleId="6">
    <w:name w:val="annotation text"/>
    <w:basedOn w:val="1"/>
    <w:semiHidden/>
    <w:unhideWhenUsed/>
    <w:qFormat/>
    <w:uiPriority w:val="99"/>
    <w:pPr>
      <w:jc w:val="left"/>
    </w:pPr>
  </w:style>
  <w:style w:type="paragraph" w:styleId="7">
    <w:name w:val="Body Text"/>
    <w:basedOn w:val="1"/>
    <w:next w:val="1"/>
    <w:unhideWhenUsed/>
    <w:qFormat/>
    <w:uiPriority w:val="99"/>
    <w:pPr>
      <w:spacing w:after="120"/>
    </w:pPr>
  </w:style>
  <w:style w:type="paragraph" w:styleId="8">
    <w:name w:val="footer"/>
    <w:basedOn w:val="1"/>
    <w:link w:val="14"/>
    <w:unhideWhenUsed/>
    <w:qFormat/>
    <w:uiPriority w:val="99"/>
    <w:pPr>
      <w:tabs>
        <w:tab w:val="center" w:pos="4153"/>
        <w:tab w:val="right" w:pos="8306"/>
      </w:tabs>
      <w:snapToGrid w:val="0"/>
      <w:jc w:val="left"/>
    </w:pPr>
    <w:rPr>
      <w:sz w:val="18"/>
      <w:szCs w:val="18"/>
    </w:rPr>
  </w:style>
  <w:style w:type="paragraph" w:styleId="9">
    <w:name w:val="header"/>
    <w:basedOn w:val="1"/>
    <w:link w:val="13"/>
    <w:unhideWhenUsed/>
    <w:qFormat/>
    <w:uiPriority w:val="99"/>
    <w:pPr>
      <w:tabs>
        <w:tab w:val="center" w:pos="4153"/>
        <w:tab w:val="right" w:pos="8306"/>
      </w:tabs>
      <w:snapToGrid w:val="0"/>
      <w:jc w:val="center"/>
    </w:pPr>
    <w:rPr>
      <w:sz w:val="18"/>
      <w:szCs w:val="18"/>
    </w:rPr>
  </w:style>
  <w:style w:type="paragraph" w:styleId="10">
    <w:name w:val="Body Text First Indent"/>
    <w:basedOn w:val="7"/>
    <w:next w:val="1"/>
    <w:unhideWhenUsed/>
    <w:qFormat/>
    <w:uiPriority w:val="99"/>
    <w:pPr>
      <w:ind w:firstLine="420" w:firstLineChars="100"/>
    </w:pPr>
  </w:style>
  <w:style w:type="character" w:customStyle="1" w:styleId="13">
    <w:name w:val="页眉 Char"/>
    <w:basedOn w:val="12"/>
    <w:link w:val="9"/>
    <w:qFormat/>
    <w:uiPriority w:val="99"/>
    <w:rPr>
      <w:sz w:val="18"/>
      <w:szCs w:val="18"/>
    </w:rPr>
  </w:style>
  <w:style w:type="character" w:customStyle="1" w:styleId="14">
    <w:name w:val="页脚 Char"/>
    <w:basedOn w:val="12"/>
    <w:link w:val="8"/>
    <w:qFormat/>
    <w:uiPriority w:val="99"/>
    <w:rPr>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26BCB6-158A-4C2F-8409-47090F06F12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2749</Words>
  <Characters>2947</Characters>
  <Lines>11</Lines>
  <Paragraphs>3</Paragraphs>
  <TotalTime>15</TotalTime>
  <ScaleCrop>false</ScaleCrop>
  <LinksUpToDate>false</LinksUpToDate>
  <CharactersWithSpaces>2963</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2023-08-04T09:38:00Z</dcterms:created>
  <dc:creator>影影 赵</dc:creator>
  <cp:lastModifiedBy>张迪</cp:lastModifiedBy>
  <cp:lastPrinted>2023-08-08T09:56:00Z</cp:lastPrinted>
  <dcterms:modified xsi:type="dcterms:W3CDTF">2023-08-13T04:18:02Z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859239DEF79C44D39209BFF51CF131F8_13</vt:lpwstr>
  </property>
</Properties>
</file>