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hAnsi="黑体" w:eastAsia="方正黑体简体"/>
          <w:color w:val="000000"/>
          <w:sz w:val="32"/>
          <w:szCs w:val="32"/>
        </w:rPr>
      </w:pPr>
      <w:r>
        <w:rPr>
          <w:rFonts w:hint="eastAsia" w:ascii="方正黑体简体" w:hAnsi="黑体" w:eastAsia="方正黑体简体"/>
          <w:color w:val="000000"/>
          <w:sz w:val="32"/>
          <w:szCs w:val="32"/>
        </w:rPr>
        <w:t>附件2</w:t>
      </w:r>
    </w:p>
    <w:p>
      <w:pPr>
        <w:spacing w:line="400" w:lineRule="exact"/>
        <w:rPr>
          <w:rFonts w:hint="eastAsia" w:ascii="方正黑体简体" w:hAnsi="黑体" w:eastAsia="方正黑体简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药品安全突发事件分级标准和响应级别</w:t>
      </w:r>
    </w:p>
    <w:p>
      <w:pPr>
        <w:spacing w:line="240" w:lineRule="exact"/>
        <w:jc w:val="center"/>
        <w:rPr>
          <w:rFonts w:ascii="方正小标宋_GBK" w:hAnsi="宋体" w:eastAsia="方正小标宋_GBK"/>
          <w:color w:val="00000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6346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事件类别</w:t>
            </w: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分    级    标    准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响应级别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特别重大药品安全突发事件</w:t>
            </w: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在相对集中的时间和（或）区域内，批号相对集中的同一药品引起临床表现相似的，且罕见的或非预期的不良事件的人数超过50人（含）；或者引起特别严重不良事件（可能对人体造成永久性伤残、对器官功能造成永久性损伤或危及生命）的人数超过10人（含）；</w:t>
            </w:r>
          </w:p>
          <w:p>
            <w:pPr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2.同一批号药品短期内引起3例（含）以上患者死亡；</w:t>
            </w:r>
          </w:p>
          <w:p>
            <w:pPr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3.短期内2个以上省（区、市）因同一药品发生Ⅱ级药品安全突发事件；</w:t>
            </w:r>
          </w:p>
          <w:p>
            <w:pPr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4.其他危害特别严重的药品安全突发事件。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国家药监局启动Ⅰ级</w:t>
            </w:r>
          </w:p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  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重大药品安全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突发事件</w:t>
            </w: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在相对集中的时间和（或）区域内，批号相对集中的同一药品引起临床表现相似的，且罕见的或非预期的不良事件的人数超过30人（含），少于50人；或者引起特别严重不良事件（可能对人体造成永久性伤残、对器官功能造成永久性损伤或危及生命），涉及人数超过5人（含）；</w:t>
            </w:r>
          </w:p>
          <w:p>
            <w:pPr>
              <w:spacing w:line="0" w:lineRule="atLeast"/>
              <w:ind w:left="2" w:leftChars="1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2.同一批号药品短期内引起1至2例患者死亡，且在同一区域内同时出现其他类似病例；</w:t>
            </w:r>
          </w:p>
          <w:p>
            <w:pPr>
              <w:spacing w:line="0" w:lineRule="atLeast"/>
              <w:ind w:left="2" w:leftChars="1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3.短期内2个以上盟市因同一药品发生Ⅲ级药品安全突发事件；</w:t>
            </w:r>
          </w:p>
          <w:p>
            <w:pPr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4.其他危害严重的重大药品安全突发事件。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自治区人民政府启动Ⅱ级响应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较大药品安全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突发事件</w:t>
            </w: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2" w:leftChars="1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在相对集中的时间和（或）区域内，批号相对集中的同一药品引起临床表现相似的，且罕见的或非预期的不良事件的人数超过20人（含），少于30人；或者引起特别严重不良事件（可能对人体造成永久性伤残、对器官功能造成永久性损伤或危及生命），涉及人数超过3人（含）；</w:t>
            </w:r>
          </w:p>
          <w:p>
            <w:pPr>
              <w:spacing w:line="0" w:lineRule="atLeast"/>
              <w:ind w:left="2" w:leftChars="1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2.短期内1个盟市内2个以上旗县（市、区）因同一药品发生Ⅳ级药品安全突发事件；</w:t>
            </w:r>
          </w:p>
          <w:p>
            <w:pPr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3.其他危害较大的药品安全突发事件。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盟市级人民政府启动Ⅲ级响应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一般药品安全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突发事件</w:t>
            </w:r>
          </w:p>
        </w:tc>
        <w:tc>
          <w:tcPr>
            <w:tcW w:w="6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2" w:leftChars="1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在相对集中的时间和（或）区域内，批号相对集中的同一药品引起临床表现相似的，且罕见的或非预期的不良事件的人数超过10人（含），少于20人；或者引起特别严重不良事件（可能对人体造成永久性伤残、对器官功能造成永久性损伤或危及生命），涉及人数超过2人（含）；</w:t>
            </w:r>
          </w:p>
          <w:p>
            <w:pPr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2.其他一般药品安全突发事件。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旗县级人民政府启动Ⅳ级响应</w:t>
            </w:r>
          </w:p>
        </w:tc>
      </w:tr>
    </w:tbl>
    <w:p>
      <w:pPr>
        <w:tabs>
          <w:tab w:val="left" w:pos="7560"/>
        </w:tabs>
        <w:spacing w:line="100" w:lineRule="exact"/>
        <w:rPr>
          <w:rFonts w:hint="eastAsia" w:ascii="宋体" w:hAnsi="宋体" w:cs="宋体"/>
          <w:color w:val="000000"/>
        </w:rPr>
      </w:pPr>
    </w:p>
    <w:p>
      <w:pPr>
        <w:tabs>
          <w:tab w:val="left" w:pos="7560"/>
        </w:tabs>
        <w:spacing w:line="0" w:lineRule="atLeast"/>
        <w:rPr>
          <w:rFonts w:hint="eastAsia" w:ascii="宋体" w:hAnsi="宋体" w:cs="宋体"/>
        </w:rPr>
      </w:pPr>
      <w:r>
        <w:rPr>
          <w:rFonts w:hint="eastAsia" w:ascii="黑体" w:hAnsi="黑体" w:eastAsia="黑体" w:cs="黑体"/>
          <w:color w:val="000000"/>
        </w:rPr>
        <w:t>注</w:t>
      </w:r>
      <w:r>
        <w:rPr>
          <w:rFonts w:hint="eastAsia" w:ascii="宋体" w:hAnsi="宋体" w:cs="宋体"/>
          <w:color w:val="000000"/>
        </w:rPr>
        <w:t>：</w:t>
      </w:r>
      <w:r>
        <w:rPr>
          <w:rFonts w:hint="eastAsia" w:ascii="方正楷体简体" w:hAnsi="方正楷体简体" w:eastAsia="方正楷体简体" w:cs="方正楷体简体"/>
          <w:color w:val="000000"/>
        </w:rPr>
        <w:t>此分级标准中规定的“药品”含医疗器械</w:t>
      </w:r>
      <w:r>
        <w:rPr>
          <w:rFonts w:hint="eastAsia" w:ascii="宋体" w:hAnsi="宋体" w:cs="宋体"/>
          <w:color w:val="000000"/>
        </w:rPr>
        <w:t>。</w:t>
      </w:r>
      <w:r>
        <w:rPr>
          <w:rFonts w:hint="eastAsia" w:ascii="宋体" w:hAnsi="宋体" w:cs="宋体"/>
        </w:rPr>
        <w:t xml:space="preserve">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altName w:val="方正小标宋简体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简体">
    <w:altName w:val="方正楷体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DCDDF"/>
    <w:rsid w:val="7FCDC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2020-09-24T16:42:00Z</dcterms:created>
  <dc:creator>thtf</dc:creator>
  <cp:lastModifiedBy>thtf</cp:lastModifiedBy>
  <dcterms:modified xsi:type="dcterms:W3CDTF">2020-09-24T16:42:51Z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