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北京昌平汇仁医院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定点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机构违规行为处理决定的通报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各区医疗保险经办机构，各定点医疗机构、各定点零售药店：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在2024年打击欺诈骗保专项检查中，发现北京昌平汇仁医院等6家定点医疗机构违反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《北京市医疗保障定点医疗机构服务协议书》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基本医疗保险有关规定。为加强定点医药机构管理，维护医疗保险基金安全，根据《北京市医疗保障定点医疗机构服务协议书》相关条款及基本医疗保险有关规定，现将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6家医疗机构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违规情况及处理结果通报如下：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昌平汇仁医院、北京昌平博华京康医院、北京东芳茗中医医院，涉嫌虚构医疗服务项目套取医保基金。北京京大医院，涉嫌协助冒名就医、串换诊疗项目套取医保基金。北京城北龙城医院，涉嫌伪造医学文书套取医保基金。北京密云京华中医医院，涉嫌虚构中医治疗项目套取医保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经研究决定，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依据《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医疗机构医疗保障定点管理暂行办法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》（国家医疗保障局令第2号）第四十二条第一项及《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北京市医疗保障定点医疗机构服务协议书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（一级及以下定点医疗机构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）第一百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33项，给予北京昌平汇仁医院、北京昌平博华京康医院、北京东芳茗中医医院、北京京大医院、北京城北龙城医院、北京密云京华中医医院中止协议6个月处理，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自202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4月30日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生效。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昌平区、通州区、密云区医疗保险经办机构于2025年4月30日前以公告的形式通知在上述6家定点医疗机构就医的参保人员，并妥善解决参保人员的就医问题。各区医疗保险经办机构不再支付参保人员2025年4月30日（含）以后在北京昌平汇仁医院、北京昌平博华京康医院、北京东芳茗中医医院、北京京大医院、北京城北龙城医院、北京密云京华中医医院发生的医疗费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北京昌平汇仁医院</w:t>
      </w:r>
      <w:r>
        <w:rPr>
          <w:rFonts w:ascii="仿宋_GB2312" w:hAnsi="仿宋" w:eastAsia="仿宋_GB2312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ascii="仿宋_GB2312" w:hAnsi="仿宋" w:eastAsia="仿宋_GB2312"/>
          <w:b w:val="0"/>
          <w:bCs w:val="0"/>
          <w:color w:val="auto"/>
          <w:sz w:val="32"/>
          <w:szCs w:val="32"/>
        </w:rPr>
        <w:t>家定点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医疗</w:t>
      </w:r>
      <w:r>
        <w:rPr>
          <w:rFonts w:ascii="仿宋_GB2312" w:hAnsi="仿宋" w:eastAsia="仿宋_GB2312"/>
          <w:b w:val="0"/>
          <w:bCs w:val="0"/>
          <w:color w:val="auto"/>
          <w:sz w:val="32"/>
          <w:szCs w:val="32"/>
        </w:rPr>
        <w:t>机构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的违规行为导致医疗保险基金损失，在社会上造成不良影响，破坏了定点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医疗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机构的形象。全市各定点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医疗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机构要引以为戒，严格执行医疗保险各项规章制度，认真履行基本医疗保险服务协议，珍惜定点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医疗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机构荣誉，杜绝违规行为的发生。各区医疗保险管理部门要加强对辖区内定点医药机构的监督管理，确保为参保人员提供合理、规范的医疗服务。</w:t>
      </w:r>
    </w:p>
    <w:p>
      <w:pPr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北京正禾医院管理服务有限公司骨卫士中西医结合医院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违规行为处理决定的通报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各区医疗保险经办机构，各定点医疗机构、各定点零售药店：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经调查核实，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北京正禾医院管理服务有限公司骨卫士中西医结合医院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《北京市医疗保障定点医疗机构服务协议书》及基本医疗保险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规定。根据《北京市医疗保障定点医疗机构服务协议书》相关条款，现将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北京正禾医院管理服务有限公司骨卫士中西医结合医院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违规情况及处理结果通报如下：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北京正禾医院管理服务有限公司骨卫士中西医结合医院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协助他人冒名就医、涉嫌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串通他人虚开费用单据及虚构医药服务项目骗取医保基金等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经研究决定，依据《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北京市医疗保障定点医疗机构服务协议书》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（一级及以下定点医疗机构，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第一百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二条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、第一百零四条第27项，给予该院中止协议六个月的处理，给予违规医师符荣华（医保医师代码：D110102114997）、梁艳（医保医师代码：D110115139288）、梁俊红（医保医师代码：D130824008725）中止6个月涉及医疗保障基金使用的医疗服务的处理，</w:t>
      </w:r>
      <w:r>
        <w:rPr>
          <w:rFonts w:ascii="仿宋_GB2312" w:eastAsia="仿宋_GB2312"/>
          <w:b w:val="0"/>
          <w:bCs/>
          <w:sz w:val="32"/>
          <w:szCs w:val="32"/>
        </w:rPr>
        <w:t>自202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4月30日</w:t>
      </w:r>
      <w:r>
        <w:rPr>
          <w:rFonts w:ascii="仿宋_GB2312" w:eastAsia="仿宋_GB2312"/>
          <w:b w:val="0"/>
          <w:bCs/>
          <w:sz w:val="32"/>
          <w:szCs w:val="32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大兴区医疗保险经办机构于2025年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4月30日前以公告的形式通知在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北京正禾医院管理服务有限公司骨卫士中西医结合医院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就医的参保人员，并妥善解决参保人员的就医问题。各区医疗保险经办机构不再支付参保人员2025年4月30日（含）以后在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北京正禾医院管理服务有限公司骨卫士中西医结合医院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发生的医疗费用。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北京正禾医院管理服务有限公司骨卫士中西医结合医院</w:t>
      </w:r>
      <w:r>
        <w:rPr>
          <w:rFonts w:ascii="仿宋_GB2312" w:eastAsia="仿宋_GB2312"/>
          <w:b w:val="0"/>
          <w:bCs/>
          <w:sz w:val="32"/>
          <w:szCs w:val="32"/>
        </w:rPr>
        <w:t>的违规行为导致医疗保险基金损失，在社会上造成不良影响，破坏了定点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医疗</w:t>
      </w:r>
      <w:r>
        <w:rPr>
          <w:rFonts w:ascii="仿宋_GB2312" w:eastAsia="仿宋_GB2312"/>
          <w:b w:val="0"/>
          <w:bCs/>
          <w:sz w:val="32"/>
          <w:szCs w:val="32"/>
        </w:rPr>
        <w:t>机构的形象。全市各定点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医疗</w:t>
      </w:r>
      <w:r>
        <w:rPr>
          <w:rFonts w:ascii="仿宋_GB2312" w:eastAsia="仿宋_GB2312"/>
          <w:b w:val="0"/>
          <w:bCs/>
          <w:sz w:val="32"/>
          <w:szCs w:val="32"/>
        </w:rPr>
        <w:t>机构要引以为戒，严格执行医疗保险各项规章制度，认真履行基本医疗保险服务协议，珍惜定点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医疗</w:t>
      </w:r>
      <w:r>
        <w:rPr>
          <w:rFonts w:ascii="仿宋_GB2312" w:eastAsia="仿宋_GB2312"/>
          <w:b w:val="0"/>
          <w:bCs/>
          <w:sz w:val="32"/>
          <w:szCs w:val="32"/>
        </w:rPr>
        <w:t>机构荣誉，杜绝违规行为的发生。各区医疗保险管理部门要加强对辖区内定点医药机构的监督管理，确保为参保人员提供合理、规范的医疗服务。</w:t>
      </w:r>
    </w:p>
    <w:p>
      <w:pPr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关于取消对北京中联燕龙医院等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2家定点医疗机构黄牌警示的通知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各区医疗保险经办机构，各有关定点医疗机构：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北京中联燕龙医院、北京市丰台区丰台街道丰益花园社区卫生服务站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因违反医疗保险有关规定，被北京市医疗保险事务管理中心给予黄牌警示。黄牌警示期间，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北京中联燕龙医院、北京市丰台区丰台街道丰益花园社区卫生服务站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能够积极查找问题，对存在问题进行全面整改，完善医疗保险各项规章制度，加强管理，制定落实医疗保险政策规定的有效措施，市、区医疗保险管理部门分别对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北京中联燕龙医院、北京市丰台区丰台街道丰益花园社区卫生服务站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进行了检查，认为整改后符合医疗保险定点医疗机构的条件，经研究决定，取消对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北京中联燕龙医院、北京市丰台区丰台街道丰益花园社区卫生服务站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的黄牌警示。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各区医疗保险管理部门要按照《北京市医疗保障定点医疗机构服务协议书》条款，加强对辖区内定点医疗机构的监督和管理，杜绝违规现象的发生。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北京中联燕龙医院、北京市丰台区丰台街道丰益花园社区卫生服务站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应吸取教训，加强管理，保证各项措施落实到位，同时认真执行北京市医疗保险各项规定，自觉规范医疗行为，切实为参保人员提供规范、优质、便捷的医疗服务。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关于恢复北京瑞京糖尿病医院等2家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定点医疗机构中医科使用医疗保障基金的通知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各区医疗保险经办机构，各有关定点医疗机构：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北京瑞京糖尿病医院、北京仲博中医医院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因违反医疗保险有关规定，被北京市医疗保险事务管理中心暂停违规科室（中医科）6个月涉及医疗保障基金使用的医疗服务。暂停期间，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北京瑞京糖尿病医院、北京仲博中医医院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能够积极查找问题，对存在问题进行全面整改，完善医疗保险各项规章制度，加强管理，制定落实医疗保险政策规定的有效措施，市、区医疗保险管理部门分别对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北京瑞京糖尿病医院、北京仲博中医医院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进行了检查，认为整改后符合医疗保险定点医疗机构的条件，经研究决定，恢复北京瑞京糖尿病医院、北京仲博中医医院中医科涉及医疗保障基金使用的医疗服务。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各区医疗保险管理部门要按照《北京市医疗保障定点医疗机构服务协议书》条款，加强对辖区内定点医疗机构的监督和管理，杜绝违规现象的发生。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北京瑞京糖尿病医院、北京仲博中医医院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应吸取教训，加强管理，保证各项措施落实到位，同时认真执行北京市医疗保险各项规定，自觉规范医疗行为，切实为参保人员提供规范、优质、便捷的医疗服务。</w:t>
      </w: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" w:eastAsia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北京市医疗保险事务管理中心办公室   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 202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 w:start="21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950" w:hanging="7950" w:hangingChars="440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7950" w:hanging="12320" w:hangingChars="440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7950" w:hanging="12320" w:hangingChars="440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C2"/>
    <w:rsid w:val="005D3E51"/>
    <w:rsid w:val="007B6FC4"/>
    <w:rsid w:val="008E0391"/>
    <w:rsid w:val="009C19C2"/>
    <w:rsid w:val="00CC29EB"/>
    <w:rsid w:val="00D61996"/>
    <w:rsid w:val="0383F509"/>
    <w:rsid w:val="0ECA2882"/>
    <w:rsid w:val="39FA5D8C"/>
    <w:rsid w:val="4B9FB774"/>
    <w:rsid w:val="5DFEC3E9"/>
    <w:rsid w:val="63FF3DDE"/>
    <w:rsid w:val="66EA2731"/>
    <w:rsid w:val="76BED6E6"/>
    <w:rsid w:val="772DC3FA"/>
    <w:rsid w:val="7AFFB813"/>
    <w:rsid w:val="7D2A83A3"/>
    <w:rsid w:val="7EFF3BA0"/>
    <w:rsid w:val="7FED45E1"/>
    <w:rsid w:val="7FEE9245"/>
    <w:rsid w:val="7FF1A03E"/>
    <w:rsid w:val="B95D6108"/>
    <w:rsid w:val="BD62E87E"/>
    <w:rsid w:val="BF5B15A4"/>
    <w:rsid w:val="BFE884FA"/>
    <w:rsid w:val="BFF23361"/>
    <w:rsid w:val="C7FE8615"/>
    <w:rsid w:val="D1FFB89A"/>
    <w:rsid w:val="D9CFE887"/>
    <w:rsid w:val="D9DF83A7"/>
    <w:rsid w:val="DE3F5163"/>
    <w:rsid w:val="DE7F0058"/>
    <w:rsid w:val="E6FF3CB3"/>
    <w:rsid w:val="E778AAEB"/>
    <w:rsid w:val="EEEF8CAC"/>
    <w:rsid w:val="EFDB84AA"/>
    <w:rsid w:val="EFFF9E7F"/>
    <w:rsid w:val="F1250E9F"/>
    <w:rsid w:val="F7CFD60C"/>
    <w:rsid w:val="FB4FEA1A"/>
    <w:rsid w:val="FFBDE9D9"/>
    <w:rsid w:val="FFFD9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楷体简体" w:hAnsi="Times New Roman" w:eastAsia="方正楷体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楷体简体" w:hAnsi="Times New Roman" w:eastAsia="方正楷体简体" w:cs="Times New Roman"/>
      <w:b/>
      <w:snapToGrid w:val="0"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8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0"/>
    <w:pPr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page number"/>
    <w:qFormat/>
    <w:uiPriority w:val="0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font_black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14</Characters>
  <Lines>1</Lines>
  <Paragraphs>1</Paragraphs>
  <TotalTime>1</TotalTime>
  <ScaleCrop>false</ScaleCrop>
  <LinksUpToDate>false</LinksUpToDate>
  <CharactersWithSpaces>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2018-06-08T22:03:00Z</dcterms:created>
  <dc:creator>Microsoft</dc:creator>
  <cp:lastModifiedBy>耿帅</cp:lastModifiedBy>
  <cp:lastPrinted>2024-07-29T09:23:00Z</cp:lastPrinted>
  <dcterms:modified xsi:type="dcterms:W3CDTF">2025-04-07T11:15:52Z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