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CC4B9F">
      <w:pPr>
        <w:rPr>
          <w:rFonts w:hint="eastAsia"/>
        </w:rPr>
      </w:pPr>
    </w:p>
    <w:tbl>
      <w:tblPr>
        <w:tblStyle w:val="11"/>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14:paraId="5B24CD12">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PrEx>
        <w:tc>
          <w:tcPr>
            <w:tcW w:w="6407" w:type="dxa"/>
          </w:tcPr>
          <w:p w14:paraId="297DD36D">
            <w:pPr>
              <w:pStyle w:val="18"/>
              <w:framePr w:w="0" w:hRule="auto" w:wrap="auto" w:vAnchor="margin" w:hAnchor="text" w:xAlign="left" w:yAlign="inline"/>
              <w:spacing w:before="156" w:after="156"/>
              <w:rPr>
                <w:rFonts w:hint="eastAsia" w:ascii="宋体" w:hAnsi="宋体"/>
                <w:sz w:val="28"/>
                <w:szCs w:val="28"/>
              </w:rPr>
            </w:pPr>
            <w:bookmarkStart w:id="0" w:name="_Hlk26473981"/>
            <w:r>
              <w:rPr>
                <w:rFonts w:ascii="Calibri" w:hAnsi="Calibri"/>
                <w:sz w:val="21"/>
                <w:szCs w:val="21"/>
              </w:rPr>
              <w:t xml:space="preserve"> </w:t>
            </w:r>
          </w:p>
        </w:tc>
      </w:tr>
      <w:bookmarkEnd w:id="0"/>
    </w:tbl>
    <w:p w14:paraId="2DDC0887">
      <w:pPr>
        <w:rPr>
          <w:rFonts w:hint="eastAsia" w:ascii="黑体" w:hAnsi="黑体" w:eastAsia="黑体"/>
          <w:kern w:val="0"/>
          <w:sz w:val="10"/>
          <w:szCs w:val="10"/>
        </w:rPr>
      </w:pPr>
    </w:p>
    <w:p w14:paraId="6D3FE67A">
      <w:pPr>
        <w:pStyle w:val="19"/>
        <w:framePr w:w="9639" w:h="6976" w:hRule="exact" w:hSpace="0" w:vSpace="0" w:wrap="around" w:hAnchor="page" w:y="6408"/>
        <w:jc w:val="center"/>
        <w:rPr>
          <w:rFonts w:hint="eastAsia" w:ascii="黑体" w:hAnsi="黑体" w:eastAsia="黑体"/>
          <w:b w:val="0"/>
          <w:bCs w:val="0"/>
          <w:w w:val="100"/>
        </w:rPr>
      </w:pPr>
    </w:p>
    <w:p w14:paraId="4779C271">
      <w:pPr>
        <w:pStyle w:val="46"/>
        <w:framePr w:w="9594" w:h="6974" w:hRule="exact" w:wrap="around" w:x="1419" w:anchorLock="1"/>
        <w:rPr>
          <w:rFonts w:hint="eastAsia"/>
          <w:sz w:val="44"/>
          <w:szCs w:val="44"/>
          <w:highlight w:val="darkGray"/>
        </w:rPr>
      </w:pPr>
      <w:r>
        <w:rPr>
          <w:rFonts w:hint="eastAsia"/>
          <w:sz w:val="44"/>
          <w:szCs w:val="44"/>
        </w:rPr>
        <w:t>医疗机构药物基因检测实验室建设指南</w:t>
      </w:r>
    </w:p>
    <w:p w14:paraId="25254716">
      <w:pPr>
        <w:pStyle w:val="21"/>
        <w:framePr w:w="9594" w:h="6974" w:hRule="exact" w:wrap="around" w:vAnchor="page" w:hAnchor="page" w:x="1419" w:y="6408" w:anchorLock="1"/>
        <w:ind w:firstLine="0" w:firstLineChars="0"/>
      </w:pPr>
    </w:p>
    <w:p w14:paraId="2224EF43">
      <w:pPr>
        <w:pStyle w:val="33"/>
        <w:framePr w:w="9594" w:h="6974" w:hRule="exact" w:wrap="around" w:vAnchor="page" w:hAnchor="page" w:x="1419" w:y="6408" w:anchorLock="1"/>
        <w:textAlignment w:val="bottom"/>
        <w:rPr>
          <w:rFonts w:eastAsia="黑体"/>
          <w:szCs w:val="28"/>
        </w:rPr>
      </w:pPr>
      <w:r>
        <w:rPr>
          <w:rFonts w:eastAsia="黑体"/>
          <w:szCs w:val="28"/>
        </w:rPr>
        <w:fldChar w:fldCharType="begin"/>
      </w:r>
      <w:bookmarkStart w:id="1" w:name="ESTD_NAME"/>
      <w:r>
        <w:rPr>
          <w:rFonts w:eastAsia="黑体"/>
          <w:szCs w:val="28"/>
        </w:rPr>
        <w:instrText xml:space="preserve"> FORMTEXT </w:instrText>
      </w:r>
      <w:r>
        <w:rPr>
          <w:rFonts w:eastAsia="黑体"/>
          <w:szCs w:val="28"/>
        </w:rPr>
        <w:fldChar w:fldCharType="separate"/>
      </w:r>
      <w:r>
        <w:rPr>
          <w:rFonts w:hint="eastAsia" w:eastAsia="黑体"/>
          <w:szCs w:val="28"/>
        </w:rPr>
        <w:t>Construction Guidelines for drug gene testing laboratory in medical institutions</w:t>
      </w:r>
      <w:r>
        <w:rPr>
          <w:rFonts w:eastAsia="黑体"/>
          <w:szCs w:val="28"/>
        </w:rPr>
        <w:t xml:space="preserve"> </w:t>
      </w:r>
      <w:r>
        <w:rPr>
          <w:rFonts w:eastAsia="黑体"/>
          <w:szCs w:val="28"/>
        </w:rPr>
        <w:fldChar w:fldCharType="end"/>
      </w:r>
      <w:bookmarkEnd w:id="1"/>
    </w:p>
    <w:p w14:paraId="7DFB8FC3">
      <w:pPr>
        <w:framePr w:w="9594" w:h="6974" w:hRule="exact" w:wrap="around" w:vAnchor="page" w:hAnchor="page" w:x="1419" w:y="6408" w:anchorLock="1"/>
        <w:spacing w:line="760" w:lineRule="exact"/>
        <w:ind w:left="-1418"/>
        <w:rPr>
          <w:rFonts w:hint="eastAsia"/>
        </w:rPr>
      </w:pPr>
    </w:p>
    <w:p w14:paraId="36C73569">
      <w:pPr>
        <w:pStyle w:val="33"/>
        <w:framePr w:w="9594" w:h="6974" w:hRule="exact" w:wrap="around" w:vAnchor="page" w:hAnchor="page" w:x="1419" w:y="6408" w:anchorLock="1"/>
        <w:spacing w:before="440" w:after="160"/>
        <w:jc w:val="both"/>
        <w:textAlignment w:val="bottom"/>
        <w:rPr>
          <w:sz w:val="24"/>
          <w:szCs w:val="28"/>
        </w:rPr>
      </w:pPr>
    </w:p>
    <w:p w14:paraId="1358C381">
      <w:pPr>
        <w:pStyle w:val="33"/>
        <w:framePr w:w="9594" w:h="6974" w:hRule="exact" w:wrap="around" w:vAnchor="page" w:hAnchor="page" w:x="1419" w:y="6408" w:anchorLock="1"/>
        <w:spacing w:before="440" w:after="160"/>
        <w:jc w:val="both"/>
        <w:textAlignment w:val="bottom"/>
        <w:rPr>
          <w:sz w:val="24"/>
          <w:szCs w:val="28"/>
        </w:rPr>
      </w:pPr>
      <w:r>
        <w:rPr>
          <w:sz w:val="24"/>
          <w:szCs w:val="28"/>
        </w:rPr>
        <w:fldChar w:fldCharType="begin"/>
      </w:r>
      <w:bookmarkStart w:id="2" w:name="下拉1"/>
      <w:r>
        <w:rPr>
          <w:sz w:val="24"/>
          <w:szCs w:val="28"/>
        </w:rPr>
        <w:instrText xml:space="preserve"> FORMDROPDOWN </w:instrText>
      </w:r>
      <w:r>
        <w:rPr>
          <w:sz w:val="24"/>
          <w:szCs w:val="28"/>
        </w:rPr>
        <w:fldChar w:fldCharType="separate"/>
      </w:r>
      <w:r>
        <w:rPr>
          <w:sz w:val="24"/>
          <w:szCs w:val="28"/>
        </w:rPr>
        <w:fldChar w:fldCharType="end"/>
      </w:r>
      <w:bookmarkEnd w:id="2"/>
    </w:p>
    <w:p w14:paraId="4F50F4D8">
      <w:pPr>
        <w:pStyle w:val="33"/>
        <w:framePr w:w="9594" w:h="6974" w:hRule="exact" w:wrap="around" w:vAnchor="page" w:hAnchor="page" w:x="1419" w:y="6408" w:anchorLock="1"/>
        <w:spacing w:before="180" w:line="240" w:lineRule="atLeast"/>
        <w:textAlignment w:val="bottom"/>
        <w:rPr>
          <w:sz w:val="21"/>
          <w:szCs w:val="28"/>
        </w:rPr>
      </w:pPr>
      <w:r>
        <w:rPr>
          <w:rFonts w:hint="eastAsia"/>
          <w:sz w:val="21"/>
          <w:szCs w:val="28"/>
        </w:rPr>
        <w:t>（草案）</w:t>
      </w:r>
    </w:p>
    <w:p w14:paraId="6FCDD928">
      <w:pPr>
        <w:pStyle w:val="33"/>
        <w:framePr w:w="9594" w:h="6974" w:hRule="exact" w:wrap="around" w:vAnchor="page" w:hAnchor="page" w:x="1419" w:y="6408" w:anchorLock="1"/>
        <w:spacing w:before="936" w:beforeLines="300" w:after="93" w:afterLines="30" w:line="240" w:lineRule="auto"/>
        <w:textAlignment w:val="bottom"/>
        <w:rPr>
          <w:b/>
          <w:sz w:val="21"/>
          <w:szCs w:val="28"/>
        </w:rPr>
      </w:pPr>
      <w:r>
        <w:rPr>
          <w:b/>
          <w:sz w:val="21"/>
          <w:szCs w:val="28"/>
        </w:rPr>
        <w:fldChar w:fldCharType="begin"/>
      </w:r>
      <w:bookmarkStart w:id="3" w:name="下拉2"/>
      <w:r>
        <w:rPr>
          <w:b/>
          <w:sz w:val="21"/>
          <w:szCs w:val="28"/>
        </w:rPr>
        <w:instrText xml:space="preserve"> FORMDROPDOWN </w:instrText>
      </w:r>
      <w:r>
        <w:rPr>
          <w:b/>
          <w:sz w:val="21"/>
          <w:szCs w:val="28"/>
        </w:rPr>
        <w:fldChar w:fldCharType="separate"/>
      </w:r>
      <w:r>
        <w:rPr>
          <w:b/>
          <w:sz w:val="21"/>
          <w:szCs w:val="28"/>
        </w:rPr>
        <w:fldChar w:fldCharType="end"/>
      </w:r>
      <w:bookmarkEnd w:id="3"/>
    </w:p>
    <w:p w14:paraId="4710D9CD">
      <w:pPr>
        <w:pStyle w:val="42"/>
        <w:framePr w:wrap="around" w:y="14176"/>
      </w:pPr>
      <w:r>
        <w:rPr>
          <w:rFonts w:ascii="黑体"/>
        </w:rPr>
        <w:fldChar w:fldCharType="begin"/>
      </w:r>
      <w:bookmarkStart w:id="4"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4"/>
      <w:r>
        <w:t xml:space="preserve"> </w:t>
      </w:r>
      <w:r>
        <w:rPr>
          <w:rFonts w:ascii="黑体"/>
        </w:rPr>
        <w:t>-</w:t>
      </w:r>
      <w:r>
        <w:t xml:space="preserve"> </w:t>
      </w:r>
      <w:r>
        <w:rPr>
          <w:rFonts w:ascii="黑体"/>
        </w:rPr>
        <w:fldChar w:fldCharType="begin"/>
      </w:r>
      <w:bookmarkStart w:id="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5"/>
      <w:r>
        <w:t xml:space="preserve"> </w:t>
      </w:r>
      <w:r>
        <w:rPr>
          <w:rFonts w:ascii="黑体"/>
        </w:rPr>
        <w:t>-</w:t>
      </w:r>
      <w:r>
        <w:t xml:space="preserve"> </w:t>
      </w:r>
      <w:r>
        <w:rPr>
          <w:rFonts w:ascii="黑体"/>
        </w:rPr>
        <w:fldChar w:fldCharType="begin"/>
      </w:r>
      <w:bookmarkStart w:id="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6"/>
      <w:r>
        <w:rPr>
          <w:rFonts w:hint="eastAsia"/>
        </w:rPr>
        <w:t>发布</w:t>
      </w:r>
    </w:p>
    <w:p w14:paraId="6C807A7E">
      <w:pPr>
        <w:pStyle w:val="43"/>
        <w:framePr w:wrap="around" w:y="14176"/>
      </w:pPr>
      <w:r>
        <w:rPr>
          <w:rFonts w:ascii="黑体"/>
        </w:rPr>
        <w:fldChar w:fldCharType="begin"/>
      </w:r>
      <w:bookmarkStart w:id="7"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7"/>
      <w:r>
        <w:t xml:space="preserve"> </w:t>
      </w:r>
      <w:r>
        <w:rPr>
          <w:rFonts w:ascii="黑体"/>
        </w:rPr>
        <w:t>-</w:t>
      </w:r>
      <w:r>
        <w:t xml:space="preserve"> </w:t>
      </w:r>
      <w:r>
        <w:rPr>
          <w:rFonts w:ascii="黑体"/>
        </w:rPr>
        <w:fldChar w:fldCharType="begin"/>
      </w:r>
      <w:bookmarkStart w:id="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8"/>
      <w:r>
        <w:t xml:space="preserve"> </w:t>
      </w:r>
      <w:r>
        <w:rPr>
          <w:rFonts w:ascii="黑体"/>
        </w:rPr>
        <w:t>-</w:t>
      </w:r>
      <w:r>
        <w:t xml:space="preserve"> </w:t>
      </w:r>
      <w:r>
        <w:rPr>
          <w:rFonts w:ascii="黑体"/>
        </w:rPr>
        <w:fldChar w:fldCharType="begin"/>
      </w:r>
      <w:bookmarkStart w:id="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9"/>
      <w:r>
        <w:rPr>
          <w:rFonts w:hint="eastAsia"/>
        </w:rPr>
        <w:t>实施</w:t>
      </w:r>
    </w:p>
    <w:p w14:paraId="17E818A1">
      <w:pPr>
        <w:pStyle w:val="35"/>
        <w:framePr w:h="584" w:hRule="exact" w:hSpace="181" w:vSpace="181" w:wrap="around" w:y="15027"/>
        <w:rPr>
          <w:rFonts w:hint="eastAsia" w:hAnsi="黑体"/>
        </w:rPr>
      </w:pPr>
      <w:r>
        <w:rPr>
          <w:rFonts w:hAnsi="黑体"/>
          <w:w w:val="100"/>
          <w:sz w:val="28"/>
        </w:rPr>
        <w:fldChar w:fldCharType="begin"/>
      </w:r>
      <w:bookmarkStart w:id="10" w:name="fm"/>
      <w:r>
        <w:rPr>
          <w:rFonts w:hAnsi="黑体"/>
          <w:w w:val="100"/>
          <w:sz w:val="28"/>
        </w:rPr>
        <w:instrText xml:space="preserve"> FORMTEXT </w:instrText>
      </w:r>
      <w:r>
        <w:rPr>
          <w:rFonts w:hAnsi="黑体"/>
          <w:w w:val="100"/>
          <w:sz w:val="28"/>
        </w:rPr>
        <w:fldChar w:fldCharType="separate"/>
      </w:r>
      <w:r>
        <w:rPr>
          <w:rFonts w:hint="eastAsia" w:hAnsi="黑体"/>
          <w:w w:val="100"/>
          <w:sz w:val="28"/>
        </w:rPr>
        <w:t>安徽省市场监督管理局</w:t>
      </w:r>
      <w:r>
        <w:rPr>
          <w:rFonts w:hAnsi="黑体"/>
          <w:w w:val="100"/>
          <w:sz w:val="28"/>
        </w:rPr>
        <w:fldChar w:fldCharType="end"/>
      </w:r>
      <w:bookmarkEnd w:id="10"/>
      <w:r>
        <w:rPr>
          <w:rFonts w:ascii="Times New Roman"/>
          <w:w w:val="100"/>
          <w:sz w:val="28"/>
        </w:rPr>
        <w:t>  </w:t>
      </w:r>
      <w:r>
        <w:rPr>
          <w:rStyle w:val="53"/>
          <w:rFonts w:hint="eastAsia" w:hAnsi="黑体"/>
        </w:rPr>
        <w:t>发布</w:t>
      </w:r>
    </w:p>
    <w:p w14:paraId="3E059ED9">
      <w:pPr>
        <w:pStyle w:val="67"/>
        <w:framePr w:w="5508" w:h="1666" w:hRule="exact" w:wrap="around" w:x="5088" w:y="1105"/>
        <w:wordWrap w:val="0"/>
        <w:ind w:firstLine="360"/>
        <w:rPr>
          <w:rFonts w:ascii="Calibri" w:hAnsi="Calibri" w:eastAsia="黑体"/>
        </w:rPr>
      </w:pPr>
      <w:r>
        <w:rPr>
          <w:rFonts w:eastAsia="黑体"/>
          <w:sz w:val="144"/>
        </w:rPr>
        <w:t>DB</w:t>
      </w:r>
      <w:r>
        <w:rPr>
          <w:rFonts w:hint="eastAsia" w:ascii="Calibri" w:hAnsi="Calibri" w:eastAsia="黑体"/>
          <w:sz w:val="144"/>
        </w:rPr>
        <w:t>34</w:t>
      </w:r>
    </w:p>
    <w:p w14:paraId="78ABB3CF">
      <w:pPr>
        <w:pStyle w:val="64"/>
        <w:jc w:val="both"/>
        <w:rPr>
          <w:rFonts w:ascii="Arial" w:hAnsi="Arial" w:cs="Arial"/>
        </w:rPr>
      </w:pPr>
      <w:r>
        <w:rPr>
          <w:rFonts w:ascii="Arial" w:hAnsi="Arial" w:cs="Arial"/>
        </w:rPr>
        <mc:AlternateContent>
          <mc:Choice Requires="wps">
            <w:drawing>
              <wp:anchor distT="0" distB="0" distL="114300" distR="114300" simplePos="0" relativeHeight="251663360" behindDoc="0" locked="1" layoutInCell="1" allowOverlap="1">
                <wp:simplePos x="0" y="0"/>
                <wp:positionH relativeFrom="margin">
                  <wp:posOffset>-419100</wp:posOffset>
                </wp:positionH>
                <wp:positionV relativeFrom="margin">
                  <wp:posOffset>22225</wp:posOffset>
                </wp:positionV>
                <wp:extent cx="2540000" cy="437515"/>
                <wp:effectExtent l="0" t="0" r="0" b="0"/>
                <wp:wrapNone/>
                <wp:docPr id="8" name="文本框 8"/>
                <wp:cNvGraphicFramePr/>
                <a:graphic xmlns:a="http://schemas.openxmlformats.org/drawingml/2006/main">
                  <a:graphicData uri="http://schemas.microsoft.com/office/word/2010/wordprocessingShape">
                    <wps:wsp>
                      <wps:cNvSpPr txBox="1">
                        <a:spLocks noChangeArrowheads="1"/>
                      </wps:cNvSpPr>
                      <wps:spPr bwMode="auto">
                        <a:xfrm>
                          <a:off x="0" y="0"/>
                          <a:ext cx="2540000" cy="437515"/>
                        </a:xfrm>
                        <a:prstGeom prst="rect">
                          <a:avLst/>
                        </a:prstGeom>
                        <a:solidFill>
                          <a:srgbClr val="FFFFFF"/>
                        </a:solidFill>
                        <a:ln>
                          <a:noFill/>
                        </a:ln>
                        <a:effectLst/>
                      </wps:spPr>
                      <wps:txbx>
                        <w:txbxContent>
                          <w:p w14:paraId="40C0B4B6">
                            <w:pPr>
                              <w:pStyle w:val="59"/>
                            </w:pPr>
                            <w:r>
                              <w:t>ICS</w:t>
                            </w:r>
                            <w:r>
                              <w:rPr>
                                <w:rFonts w:hint="eastAsia"/>
                              </w:rPr>
                              <w:t xml:space="preserve"> 11.120.01</w:t>
                            </w:r>
                          </w:p>
                          <w:p w14:paraId="3BE18827">
                            <w:pPr>
                              <w:pStyle w:val="59"/>
                            </w:pPr>
                            <w:r>
                              <w:t xml:space="preserve">CCS </w:t>
                            </w:r>
                            <w:r>
                              <w:rPr>
                                <w:rFonts w:hint="eastAsia"/>
                              </w:rPr>
                              <w:t>C 25</w:t>
                            </w:r>
                          </w:p>
                          <w:p w14:paraId="5631186F">
                            <w:pPr>
                              <w:pStyle w:val="59"/>
                            </w:pPr>
                          </w:p>
                        </w:txbxContent>
                      </wps:txbx>
                      <wps:bodyPr rot="0" vert="horz" wrap="square" lIns="0" tIns="0" rIns="0" bIns="0" anchor="t" anchorCtr="0" upright="1">
                        <a:noAutofit/>
                      </wps:bodyPr>
                    </wps:wsp>
                  </a:graphicData>
                </a:graphic>
              </wp:anchor>
            </w:drawing>
          </mc:Choice>
          <mc:Fallback>
            <w:pict>
              <v:shape id="_x0000_s1026" o:spid="_x0000_s1026" o:spt="202" type="#_x0000_t202" style="position:absolute;left:0pt;margin-left:-33pt;margin-top:1.75pt;height:34.45pt;width:200pt;mso-position-horizontal-relative:margin;mso-position-vertical-relative:margin;z-index:251663360;mso-width-relative:page;mso-height-relative:page;" fillcolor="#FFFFFF" filled="t" stroked="f" coordsize="21600,21600" o:gfxdata="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5sp3KtgAAAAIAQAADwAAAAAAAAABACAAAAAiAAAAZHJzL2Rvd25yZXYueG1sUEsBAhQAFAAAAAgA&#10;h07iQCz9jy4lAgAAPAQAAA4AAAAAAAAAAQAgAAAAJwEAAGRycy9lMm9Eb2MueG1sUEsFBgAAAAAG&#10;AAYAWQEAAL4FAAAAAA==&#10;">
                <v:fill on="t" focussize="0,0"/>
                <v:stroke on="f"/>
                <v:imagedata o:title=""/>
                <o:lock v:ext="edit" aspectratio="f"/>
                <v:textbox inset="0mm,0mm,0mm,0mm">
                  <w:txbxContent>
                    <w:p w14:paraId="40C0B4B6">
                      <w:pPr>
                        <w:pStyle w:val="59"/>
                      </w:pPr>
                      <w:r>
                        <w:t>ICS</w:t>
                      </w:r>
                      <w:r>
                        <w:rPr>
                          <w:rFonts w:hint="eastAsia"/>
                        </w:rPr>
                        <w:t xml:space="preserve"> 11.120.01</w:t>
                      </w:r>
                    </w:p>
                    <w:p w14:paraId="3BE18827">
                      <w:pPr>
                        <w:pStyle w:val="59"/>
                      </w:pPr>
                      <w:r>
                        <w:t xml:space="preserve">CCS </w:t>
                      </w:r>
                      <w:r>
                        <w:rPr>
                          <w:rFonts w:hint="eastAsia"/>
                        </w:rPr>
                        <w:t>C 25</w:t>
                      </w:r>
                    </w:p>
                    <w:p w14:paraId="5631186F">
                      <w:pPr>
                        <w:pStyle w:val="59"/>
                      </w:pPr>
                    </w:p>
                  </w:txbxContent>
                </v:textbox>
                <w10:anchorlock/>
              </v:shape>
            </w:pict>
          </mc:Fallback>
        </mc:AlternateContent>
      </w:r>
      <w:r>
        <w:rPr>
          <w:rFonts w:ascii="Arial" w:hAnsi="Arial" w:cs="Arial"/>
        </w:rPr>
        <mc:AlternateContent>
          <mc:Choice Requires="wps">
            <w:drawing>
              <wp:anchor distT="0" distB="0" distL="114300" distR="114300" simplePos="0" relativeHeight="251660288" behindDoc="0" locked="1" layoutInCell="1" allowOverlap="1">
                <wp:simplePos x="0" y="0"/>
                <wp:positionH relativeFrom="margin">
                  <wp:posOffset>-220345</wp:posOffset>
                </wp:positionH>
                <wp:positionV relativeFrom="margin">
                  <wp:posOffset>1078865</wp:posOffset>
                </wp:positionV>
                <wp:extent cx="5841365" cy="860425"/>
                <wp:effectExtent l="0" t="0" r="6985" b="0"/>
                <wp:wrapNone/>
                <wp:docPr id="11" name="文本框 11"/>
                <wp:cNvGraphicFramePr/>
                <a:graphic xmlns:a="http://schemas.openxmlformats.org/drawingml/2006/main">
                  <a:graphicData uri="http://schemas.microsoft.com/office/word/2010/wordprocessingShape">
                    <wps:wsp>
                      <wps:cNvSpPr txBox="1">
                        <a:spLocks noChangeArrowheads="1"/>
                      </wps:cNvSpPr>
                      <wps:spPr bwMode="auto">
                        <a:xfrm>
                          <a:off x="0" y="0"/>
                          <a:ext cx="5841365" cy="860425"/>
                        </a:xfrm>
                        <a:prstGeom prst="rect">
                          <a:avLst/>
                        </a:prstGeom>
                        <a:solidFill>
                          <a:srgbClr val="FFFFFF"/>
                        </a:solidFill>
                        <a:ln>
                          <a:noFill/>
                        </a:ln>
                      </wps:spPr>
                      <wps:txbx>
                        <w:txbxContent>
                          <w:p w14:paraId="284CC2BE">
                            <w:pPr>
                              <w:pStyle w:val="66"/>
                              <w:wordWrap w:val="0"/>
                              <w:ind w:left="5250"/>
                              <w:rPr>
                                <w:rFonts w:hint="eastAsia" w:ascii="黑体" w:hAnsi="黑体" w:eastAsia="黑体"/>
                              </w:rPr>
                            </w:pPr>
                            <w:r>
                              <w:rPr>
                                <w:rFonts w:eastAsia="黑体"/>
                              </w:rPr>
                              <w:t>DB</w:t>
                            </w:r>
                            <w:r>
                              <w:rPr>
                                <w:rFonts w:hint="eastAsia" w:ascii="黑体" w:hAnsi="黑体" w:eastAsia="黑体"/>
                              </w:rPr>
                              <w:t xml:space="preserve"> 34</w:t>
                            </w:r>
                            <w:r>
                              <w:rPr>
                                <w:rFonts w:ascii="黑体" w:hAnsi="黑体" w:eastAsia="黑体"/>
                              </w:rPr>
                              <w:t>/</w:t>
                            </w:r>
                            <w:r>
                              <w:rPr>
                                <w:rFonts w:hint="eastAsia" w:ascii="黑体" w:hAnsi="黑体" w:eastAsia="黑体"/>
                              </w:rPr>
                              <w:t>T XXXX</w:t>
                            </w:r>
                            <w:r>
                              <w:rPr>
                                <w:rFonts w:ascii="黑体" w:hAnsi="黑体" w:eastAsia="黑体"/>
                              </w:rPr>
                              <w:t>—</w:t>
                            </w:r>
                            <w:r>
                              <w:rPr>
                                <w:rFonts w:hint="eastAsia" w:ascii="黑体" w:hAnsi="黑体" w:eastAsia="黑体"/>
                              </w:rPr>
                              <w:t>XXXX</w:t>
                            </w:r>
                          </w:p>
                          <w:p w14:paraId="23D7B962">
                            <w:pPr>
                              <w:pStyle w:val="65"/>
                              <w:spacing w:before="156" w:after="156"/>
                            </w:pPr>
                          </w:p>
                        </w:txbxContent>
                      </wps:txbx>
                      <wps:bodyPr rot="0" vert="horz" wrap="square" lIns="0" tIns="0" rIns="0" bIns="0" anchor="t" anchorCtr="0" upright="1">
                        <a:noAutofit/>
                      </wps:bodyPr>
                    </wps:wsp>
                  </a:graphicData>
                </a:graphic>
              </wp:anchor>
            </w:drawing>
          </mc:Choice>
          <mc:Fallback>
            <w:pict>
              <v:shape id="_x0000_s1026" o:spid="_x0000_s1026" o:spt="202" type="#_x0000_t202" style="position:absolute;left:0pt;margin-left:-17.35pt;margin-top:84.95pt;height:67.75pt;width:459.95pt;mso-position-horizontal-relative:margin;mso-position-vertical-relative:margin;z-index:251660288;mso-width-relative:page;mso-height-relative:page;" fillcolor="#FFFFFF" filled="t" stroked="f" coordsize="21600,21600" o:gfxdata="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4&#10;EyKC2wAAAAsBAAAPAAAAAAAAAAEAIAAAACIAAABkcnMvZG93bnJldi54bWxQSwECFAAUAAAACACH&#10;TuJATbaMIyECAAAwBAAADgAAAAAAAAABACAAAAAqAQAAZHJzL2Uyb0RvYy54bWxQSwUGAAAAAAYA&#10;BgBZAQAAvQUAAAAA&#10;">
                <v:fill on="t" focussize="0,0"/>
                <v:stroke on="f"/>
                <v:imagedata o:title=""/>
                <o:lock v:ext="edit" aspectratio="f"/>
                <v:textbox inset="0mm,0mm,0mm,0mm">
                  <w:txbxContent>
                    <w:p w14:paraId="284CC2BE">
                      <w:pPr>
                        <w:pStyle w:val="66"/>
                        <w:wordWrap w:val="0"/>
                        <w:ind w:left="5250"/>
                        <w:rPr>
                          <w:rFonts w:hint="eastAsia" w:ascii="黑体" w:hAnsi="黑体" w:eastAsia="黑体"/>
                        </w:rPr>
                      </w:pPr>
                      <w:r>
                        <w:rPr>
                          <w:rFonts w:eastAsia="黑体"/>
                        </w:rPr>
                        <w:t>DB</w:t>
                      </w:r>
                      <w:r>
                        <w:rPr>
                          <w:rFonts w:hint="eastAsia" w:ascii="黑体" w:hAnsi="黑体" w:eastAsia="黑体"/>
                        </w:rPr>
                        <w:t xml:space="preserve"> 34</w:t>
                      </w:r>
                      <w:r>
                        <w:rPr>
                          <w:rFonts w:ascii="黑体" w:hAnsi="黑体" w:eastAsia="黑体"/>
                        </w:rPr>
                        <w:t>/</w:t>
                      </w:r>
                      <w:r>
                        <w:rPr>
                          <w:rFonts w:hint="eastAsia" w:ascii="黑体" w:hAnsi="黑体" w:eastAsia="黑体"/>
                        </w:rPr>
                        <w:t>T XXXX</w:t>
                      </w:r>
                      <w:r>
                        <w:rPr>
                          <w:rFonts w:ascii="黑体" w:hAnsi="黑体" w:eastAsia="黑体"/>
                        </w:rPr>
                        <w:t>—</w:t>
                      </w:r>
                      <w:r>
                        <w:rPr>
                          <w:rFonts w:hint="eastAsia" w:ascii="黑体" w:hAnsi="黑体" w:eastAsia="黑体"/>
                        </w:rPr>
                        <w:t>XXXX</w:t>
                      </w:r>
                    </w:p>
                    <w:p w14:paraId="23D7B962">
                      <w:pPr>
                        <w:pStyle w:val="65"/>
                        <w:spacing w:before="156" w:after="156"/>
                      </w:pPr>
                    </w:p>
                  </w:txbxContent>
                </v:textbox>
                <w10:anchorlock/>
              </v:shape>
            </w:pict>
          </mc:Fallback>
        </mc:AlternateContent>
      </w:r>
    </w:p>
    <w:p w14:paraId="6E1E0941">
      <w:pPr>
        <w:pStyle w:val="64"/>
        <w:rPr>
          <w:rFonts w:ascii="Arial" w:hAnsi="Arial" w:cs="Arial"/>
        </w:rPr>
      </w:pPr>
      <w:r>
        <w:rPr>
          <w:rFonts w:ascii="Arial" w:hAnsi="Arial" w:cs="Arial"/>
        </w:rPr>
        <mc:AlternateContent>
          <mc:Choice Requires="wps">
            <w:drawing>
              <wp:anchor distT="0" distB="0" distL="114300" distR="114300" simplePos="0" relativeHeight="251661312" behindDoc="0" locked="0" layoutInCell="1" allowOverlap="1">
                <wp:simplePos x="0" y="0"/>
                <wp:positionH relativeFrom="column">
                  <wp:posOffset>-301625</wp:posOffset>
                </wp:positionH>
                <wp:positionV relativeFrom="paragraph">
                  <wp:posOffset>135890</wp:posOffset>
                </wp:positionV>
                <wp:extent cx="6121400" cy="0"/>
                <wp:effectExtent l="0" t="0" r="0" b="0"/>
                <wp:wrapNone/>
                <wp:docPr id="13" name="直接连接符 13"/>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a:noFill/>
                        <a:ln w="12700">
                          <a:solidFill>
                            <a:srgbClr val="080000"/>
                          </a:solidFill>
                          <a:round/>
                        </a:ln>
                      </wps:spPr>
                      <wps:bodyPr/>
                    </wps:wsp>
                  </a:graphicData>
                </a:graphic>
              </wp:anchor>
            </w:drawing>
          </mc:Choice>
          <mc:Fallback>
            <w:pict>
              <v:line id="_x0000_s1026" o:spid="_x0000_s1026" o:spt="20" style="position:absolute;left:0pt;margin-left:-23.75pt;margin-top:10.7pt;height:0pt;width:482pt;z-index:251661312;mso-width-relative:page;mso-height-relative:page;" filled="f" stroked="t" coordsize="21600,21600" o:gfxdata="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BfOICnYAAAA&#10;CQEAAA8AAAAAAAAAAQAgAAAAIgAAAGRycy9kb3ducmV2LnhtbFBLAQIUABQAAAAIAIdO4kDG/QKb&#10;5AEAAK0DAAAOAAAAAAAAAAEAIAAAACcBAABkcnMvZTJvRG9jLnhtbFBLBQYAAAAABgAGAFkBAAB9&#10;BQAAAAA=&#10;">
                <v:fill on="f" focussize="0,0"/>
                <v:stroke weight="1pt" color="#080000" joinstyle="round"/>
                <v:imagedata o:title=""/>
                <o:lock v:ext="edit" aspectratio="f"/>
              </v:line>
            </w:pict>
          </mc:Fallback>
        </mc:AlternateContent>
      </w:r>
    </w:p>
    <w:p w14:paraId="1155E299">
      <w:pPr>
        <w:pStyle w:val="64"/>
        <w:rPr>
          <w:rFonts w:hint="eastAsia" w:ascii="宋体" w:hAnsi="宋体"/>
          <w:sz w:val="28"/>
          <w:szCs w:val="28"/>
        </w:rPr>
        <w:sectPr>
          <w:headerReference r:id="rId3" w:type="first"/>
          <w:footerReference r:id="rId4" w:type="even"/>
          <w:pgSz w:w="11906" w:h="16838"/>
          <w:pgMar w:top="1440" w:right="1800" w:bottom="1440" w:left="1800" w:header="851" w:footer="992" w:gutter="0"/>
          <w:cols w:space="425" w:num="1"/>
          <w:docGrid w:type="lines" w:linePitch="312" w:charSpace="0"/>
        </w:sectPr>
      </w:pPr>
      <w:r>
        <w:rPr>
          <w:rFonts w:ascii="Arial" w:hAnsi="Arial" w:cs="Arial"/>
        </w:rPr>
        <mc:AlternateContent>
          <mc:Choice Requires="wps">
            <w:drawing>
              <wp:anchor distT="0" distB="0" distL="114300" distR="114300" simplePos="0" relativeHeight="251662336" behindDoc="0" locked="1" layoutInCell="1" allowOverlap="1">
                <wp:simplePos x="0" y="0"/>
                <wp:positionH relativeFrom="margin">
                  <wp:posOffset>-385445</wp:posOffset>
                </wp:positionH>
                <wp:positionV relativeFrom="margin">
                  <wp:posOffset>845185</wp:posOffset>
                </wp:positionV>
                <wp:extent cx="6070600" cy="391160"/>
                <wp:effectExtent l="0" t="0" r="6350" b="8890"/>
                <wp:wrapNone/>
                <wp:docPr id="4" name="文本框 4"/>
                <wp:cNvGraphicFramePr/>
                <a:graphic xmlns:a="http://schemas.openxmlformats.org/drawingml/2006/main">
                  <a:graphicData uri="http://schemas.microsoft.com/office/word/2010/wordprocessingShape">
                    <wps:wsp>
                      <wps:cNvSpPr txBox="1">
                        <a:spLocks noChangeArrowheads="1"/>
                      </wps:cNvSpPr>
                      <wps:spPr bwMode="auto">
                        <a:xfrm>
                          <a:off x="0" y="0"/>
                          <a:ext cx="6070600" cy="391160"/>
                        </a:xfrm>
                        <a:prstGeom prst="rect">
                          <a:avLst/>
                        </a:prstGeom>
                        <a:solidFill>
                          <a:srgbClr val="FFFFFF"/>
                        </a:solidFill>
                        <a:ln>
                          <a:noFill/>
                        </a:ln>
                      </wps:spPr>
                      <wps:txbx>
                        <w:txbxContent>
                          <w:p w14:paraId="76E303D1">
                            <w:pPr>
                              <w:pStyle w:val="63"/>
                              <w:rPr>
                                <w:rFonts w:ascii="Times New Roman" w:hAnsi="Times New Roman"/>
                              </w:rPr>
                            </w:pPr>
                            <w:r>
                              <w:rPr>
                                <w:rFonts w:hint="eastAsia" w:hAnsi="黑体"/>
                              </w:rPr>
                              <w:t>安徽</w:t>
                            </w:r>
                            <w:r>
                              <w:rPr>
                                <w:rFonts w:hint="eastAsia"/>
                              </w:rPr>
                              <w:t>地方标</w:t>
                            </w:r>
                            <w:r>
                              <w:rPr>
                                <w:rFonts w:hint="eastAsia" w:ascii="Times New Roman" w:hAnsi="Times New Roman"/>
                              </w:rPr>
                              <w:t>准</w:t>
                            </w:r>
                          </w:p>
                        </w:txbxContent>
                      </wps:txbx>
                      <wps:bodyPr rot="0" vert="horz" wrap="square" lIns="0" tIns="0" rIns="0" bIns="0" anchor="t" anchorCtr="0" upright="1">
                        <a:noAutofit/>
                      </wps:bodyPr>
                    </wps:wsp>
                  </a:graphicData>
                </a:graphic>
              </wp:anchor>
            </w:drawing>
          </mc:Choice>
          <mc:Fallback>
            <w:pict>
              <v:shape id="_x0000_s1026" o:spid="_x0000_s1026" o:spt="202" type="#_x0000_t202" style="position:absolute;left:0pt;margin-left:-30.35pt;margin-top:66.55pt;height:30.8pt;width:478pt;mso-position-horizontal-relative:margin;mso-position-vertical-relative:margin;z-index:251662336;mso-width-relative:page;mso-height-relative:page;" fillcolor="#FFFFFF" filled="t" stroked="f" coordsize="21600,21600" o:gfxdata="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cg4m&#10;XNoAAAALAQAADwAAAAAAAAABACAAAAAiAAAAZHJzL2Rvd25yZXYueG1sUEsBAhQAFAAAAAgAh07i&#10;QP5uyEQgAgAALgQAAA4AAAAAAAAAAQAgAAAAKQEAAGRycy9lMm9Eb2MueG1sUEsFBgAAAAAGAAYA&#10;WQEAALsFAAAAAA==&#10;">
                <v:fill on="t" focussize="0,0"/>
                <v:stroke on="f"/>
                <v:imagedata o:title=""/>
                <o:lock v:ext="edit" aspectratio="f"/>
                <v:textbox inset="0mm,0mm,0mm,0mm">
                  <w:txbxContent>
                    <w:p w14:paraId="76E303D1">
                      <w:pPr>
                        <w:pStyle w:val="63"/>
                        <w:rPr>
                          <w:rFonts w:ascii="Times New Roman" w:hAnsi="Times New Roman"/>
                        </w:rPr>
                      </w:pPr>
                      <w:r>
                        <w:rPr>
                          <w:rFonts w:hint="eastAsia" w:hAnsi="黑体"/>
                        </w:rPr>
                        <w:t>安徽</w:t>
                      </w:r>
                      <w:r>
                        <w:rPr>
                          <w:rFonts w:hint="eastAsia"/>
                        </w:rPr>
                        <w:t>地方标</w:t>
                      </w:r>
                      <w:r>
                        <w:rPr>
                          <w:rFonts w:hint="eastAsia" w:ascii="Times New Roman" w:hAnsi="Times New Roman"/>
                        </w:rPr>
                        <w:t>准</w:t>
                      </w:r>
                    </w:p>
                  </w:txbxContent>
                </v:textbox>
                <w10:anchorlock/>
              </v:shape>
            </w:pict>
          </mc:Fallback>
        </mc:AlternateContent>
      </w:r>
      <w:r>
        <w:rPr>
          <w:rFonts w:hint="eastAsia" w:ascii="宋体" w:hAnsi="宋体"/>
          <w:sz w:val="28"/>
          <w:szCs w:val="28"/>
        </w:rPr>
        <mc:AlternateContent>
          <mc:Choice Requires="wps">
            <w:drawing>
              <wp:anchor distT="0" distB="0" distL="0" distR="0" simplePos="0" relativeHeight="251659264" behindDoc="0" locked="1" layoutInCell="1" allowOverlap="1">
                <wp:simplePos x="0" y="0"/>
                <wp:positionH relativeFrom="page">
                  <wp:posOffset>922020</wp:posOffset>
                </wp:positionH>
                <wp:positionV relativeFrom="page">
                  <wp:posOffset>9344660</wp:posOffset>
                </wp:positionV>
                <wp:extent cx="6120130" cy="0"/>
                <wp:effectExtent l="0" t="0" r="0" b="0"/>
                <wp:wrapNone/>
                <wp:docPr id="1028" name="直接连接符 5"/>
                <wp:cNvGraphicFramePr/>
                <a:graphic xmlns:a="http://schemas.openxmlformats.org/drawingml/2006/main">
                  <a:graphicData uri="http://schemas.microsoft.com/office/word/2010/wordprocessingShape">
                    <wps:wsp>
                      <wps:cNvCnPr/>
                      <wps:spPr>
                        <a:xfrm>
                          <a:off x="0" y="0"/>
                          <a:ext cx="6120130" cy="0"/>
                        </a:xfrm>
                        <a:prstGeom prst="line">
                          <a:avLst/>
                        </a:prstGeom>
                        <a:ln w="9525" cap="flat" cmpd="sng">
                          <a:solidFill>
                            <a:srgbClr val="000000"/>
                          </a:solidFill>
                          <a:prstDash val="solid"/>
                          <a:round/>
                        </a:ln>
                      </wps:spPr>
                      <wps:bodyPr/>
                    </wps:wsp>
                  </a:graphicData>
                </a:graphic>
              </wp:anchor>
            </w:drawing>
          </mc:Choice>
          <mc:Fallback>
            <w:pict>
              <v:line id="直接连接符 5" o:spid="_x0000_s1026" o:spt="20" style="position:absolute;left:0pt;margin-left:72.6pt;margin-top:735.8pt;height:0pt;width:481.9pt;mso-position-horizontal-relative:page;mso-position-vertical-relative:page;z-index:251659264;mso-width-relative:page;mso-height-relative:page;" filled="f" stroked="t" coordsize="21600,21600" o:gfxdata="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BYEYGS1wAAAA4BAAAPAAAAAAAAAAEAIAAAACIA&#10;AABkcnMvZG93bnJldi54bWxQSwECFAAUAAAACACHTuJAfsVaAdEBAACRAwAADgAAAAAAAAABACAA&#10;AAAmAQAAZHJzL2Uyb0RvYy54bWxQSwUGAAAAAAYABgBZAQAAaQUAAAAA&#10;">
                <v:fill on="f" focussize="0,0"/>
                <v:stroke color="#000000" joinstyle="round"/>
                <v:imagedata o:title=""/>
                <o:lock v:ext="edit" aspectratio="f"/>
                <w10:anchorlock/>
              </v:line>
            </w:pict>
          </mc:Fallback>
        </mc:AlternateContent>
      </w:r>
    </w:p>
    <w:p w14:paraId="26E2D549">
      <w:pPr>
        <w:pStyle w:val="25"/>
        <w:numPr>
          <w:ilvl w:val="0"/>
          <w:numId w:val="0"/>
        </w:numPr>
        <w:spacing w:before="900" w:after="468"/>
        <w:jc w:val="both"/>
      </w:pPr>
      <w:bookmarkStart w:id="11" w:name="BookMark2"/>
    </w:p>
    <w:p w14:paraId="671D12DB">
      <w:pPr>
        <w:pStyle w:val="25"/>
        <w:spacing w:before="900" w:after="468"/>
      </w:pPr>
      <w:r>
        <w:rPr>
          <w:spacing w:val="320"/>
        </w:rPr>
        <w:t>前</w:t>
      </w:r>
      <w:r>
        <w:t>言</w:t>
      </w:r>
    </w:p>
    <w:p w14:paraId="61694462">
      <w:pPr>
        <w:pStyle w:val="21"/>
        <w:ind w:firstLine="420"/>
      </w:pPr>
      <w:r>
        <w:rPr>
          <w:rFonts w:hint="eastAsia"/>
        </w:rPr>
        <w:t>本文件按照GB/T 1.1—2020《标准化工作导则  第1部分：标准化文件的结构和起草规则》的规定起草。</w:t>
      </w:r>
    </w:p>
    <w:p w14:paraId="1E7141DD">
      <w:pPr>
        <w:pStyle w:val="21"/>
        <w:ind w:firstLine="420"/>
      </w:pPr>
      <w:r>
        <w:rPr>
          <w:rFonts w:hint="eastAsia"/>
        </w:rPr>
        <w:t>请注意本文件的某些内容可能涉及专利。本文件的发布机构不承担识别专利的责任。</w:t>
      </w:r>
    </w:p>
    <w:p w14:paraId="79F88217">
      <w:pPr>
        <w:pStyle w:val="21"/>
        <w:ind w:firstLine="420"/>
      </w:pPr>
      <w:r>
        <w:rPr>
          <w:rFonts w:hint="eastAsia"/>
        </w:rPr>
        <w:t>本文件由中国科学技术大学附属第一医院（安徽省立医院﹚提出。</w:t>
      </w:r>
    </w:p>
    <w:p w14:paraId="4DA39F25">
      <w:pPr>
        <w:pStyle w:val="21"/>
        <w:ind w:firstLine="420"/>
      </w:pPr>
      <w:r>
        <w:rPr>
          <w:rFonts w:hint="eastAsia"/>
        </w:rPr>
        <w:t>本文件由</w:t>
      </w:r>
      <w:r>
        <w:rPr>
          <w:rFonts w:ascii="Arial" w:hAnsi="Arial" w:cs="Arial"/>
        </w:rPr>
        <w:t>安徽省卫生健康委员会</w:t>
      </w:r>
      <w:r>
        <w:rPr>
          <w:rFonts w:hint="eastAsia"/>
        </w:rPr>
        <w:t>归口。</w:t>
      </w:r>
    </w:p>
    <w:p w14:paraId="191D32C6">
      <w:pPr>
        <w:pStyle w:val="21"/>
        <w:ind w:firstLine="420"/>
      </w:pPr>
      <w:r>
        <w:rPr>
          <w:rFonts w:hint="eastAsia"/>
        </w:rPr>
        <w:t>本文件起草单位：</w:t>
      </w:r>
      <w:r>
        <w:rPr>
          <w:rFonts w:hint="eastAsia" w:ascii="Times New Roman"/>
          <w:szCs w:val="21"/>
        </w:rPr>
        <w:t>中国科学技术大学附属第一医院（安徽省立医院），蚌埠医科大学第一附属医院，安徽省公共卫生临床中心（安徽医科大学第一附属医院北区），合肥市第二人民医院，合肥国研汉因检测科技有限公司，安徽康泽生物技术有限公司，西安天隆科技有限公司。</w:t>
      </w:r>
    </w:p>
    <w:p w14:paraId="103191BA">
      <w:pPr>
        <w:pStyle w:val="21"/>
        <w:ind w:firstLine="420"/>
      </w:pPr>
      <w:r>
        <w:rPr>
          <w:rFonts w:hint="eastAsia"/>
        </w:rPr>
        <w:t>本文件主要起草人：</w:t>
      </w:r>
      <w:r>
        <w:rPr>
          <w:rFonts w:hint="eastAsia" w:ascii="Times New Roman"/>
          <w:szCs w:val="21"/>
        </w:rPr>
        <w:t>史天陆等。</w:t>
      </w:r>
    </w:p>
    <w:p w14:paraId="58B03E19">
      <w:pPr>
        <w:pStyle w:val="21"/>
        <w:ind w:firstLine="420"/>
      </w:pPr>
    </w:p>
    <w:p w14:paraId="7C4B2164">
      <w:pPr>
        <w:pStyle w:val="21"/>
        <w:ind w:firstLine="420"/>
      </w:pPr>
    </w:p>
    <w:p w14:paraId="694CF123">
      <w:pPr>
        <w:rPr>
          <w:rFonts w:hint="eastAsia"/>
        </w:rPr>
      </w:pPr>
    </w:p>
    <w:p w14:paraId="47CBB6A3">
      <w:pPr>
        <w:rPr>
          <w:rFonts w:hint="eastAsia"/>
        </w:rPr>
      </w:pPr>
    </w:p>
    <w:p w14:paraId="6D2A6CC5">
      <w:pPr>
        <w:rPr>
          <w:rFonts w:hint="eastAsia"/>
        </w:rPr>
      </w:pPr>
    </w:p>
    <w:p w14:paraId="0F9BAE71">
      <w:pPr>
        <w:rPr>
          <w:rFonts w:hint="eastAsia"/>
        </w:rPr>
      </w:pPr>
    </w:p>
    <w:p w14:paraId="627FD5AD">
      <w:pPr>
        <w:rPr>
          <w:rFonts w:hint="eastAsia"/>
        </w:rPr>
      </w:pPr>
    </w:p>
    <w:p w14:paraId="5D3549A1">
      <w:pPr>
        <w:rPr>
          <w:rFonts w:hint="eastAsia"/>
        </w:rPr>
      </w:pPr>
    </w:p>
    <w:p w14:paraId="60568206">
      <w:pPr>
        <w:rPr>
          <w:rFonts w:hint="eastAsia"/>
        </w:rPr>
      </w:pPr>
    </w:p>
    <w:p w14:paraId="71C70687">
      <w:pPr>
        <w:rPr>
          <w:rFonts w:hint="eastAsia"/>
        </w:rPr>
      </w:pPr>
    </w:p>
    <w:p w14:paraId="7B526DE3">
      <w:pPr>
        <w:rPr>
          <w:rFonts w:hint="eastAsia"/>
        </w:rPr>
      </w:pPr>
    </w:p>
    <w:p w14:paraId="244E9F9E">
      <w:pPr>
        <w:rPr>
          <w:rFonts w:hint="eastAsia"/>
        </w:rPr>
      </w:pPr>
    </w:p>
    <w:p w14:paraId="774E3781">
      <w:pPr>
        <w:tabs>
          <w:tab w:val="left" w:pos="1310"/>
        </w:tabs>
        <w:jc w:val="left"/>
        <w:rPr>
          <w:rFonts w:hint="eastAsia"/>
        </w:rPr>
        <w:sectPr>
          <w:headerReference r:id="rId5" w:type="default"/>
          <w:footerReference r:id="rId7" w:type="default"/>
          <w:headerReference r:id="rId6" w:type="even"/>
          <w:pgSz w:w="11906" w:h="16838"/>
          <w:pgMar w:top="1928" w:right="1134" w:bottom="1134" w:left="1134" w:header="1418" w:footer="1134" w:gutter="284"/>
          <w:pgNumType w:fmt="upperRoman" w:start="1"/>
          <w:cols w:space="425" w:num="1"/>
          <w:docGrid w:type="lines" w:linePitch="312" w:charSpace="0"/>
        </w:sectPr>
      </w:pPr>
      <w:r>
        <w:rPr>
          <w:rFonts w:hint="eastAsia"/>
        </w:rPr>
        <w:tab/>
      </w:r>
    </w:p>
    <w:bookmarkEnd w:id="11"/>
    <w:p w14:paraId="0EB4382B">
      <w:pPr>
        <w:spacing w:line="20" w:lineRule="exact"/>
        <w:jc w:val="center"/>
        <w:rPr>
          <w:rFonts w:hint="eastAsia" w:ascii="黑体" w:hAnsi="黑体" w:eastAsia="黑体"/>
          <w:sz w:val="32"/>
          <w:szCs w:val="32"/>
        </w:rPr>
      </w:pPr>
      <w:bookmarkStart w:id="12" w:name="BookMark4"/>
    </w:p>
    <w:p w14:paraId="32DB771B">
      <w:pPr>
        <w:spacing w:line="20" w:lineRule="exact"/>
        <w:jc w:val="center"/>
        <w:rPr>
          <w:rFonts w:hint="eastAsia" w:ascii="黑体" w:hAnsi="黑体" w:eastAsia="黑体"/>
          <w:sz w:val="32"/>
          <w:szCs w:val="32"/>
        </w:rPr>
      </w:pPr>
    </w:p>
    <w:p w14:paraId="2875041A">
      <w:pPr>
        <w:pStyle w:val="39"/>
        <w:spacing w:before="3" w:beforeLines="1" w:after="686" w:afterLines="220"/>
        <w:rPr>
          <w:rFonts w:hint="eastAsia"/>
        </w:rPr>
      </w:pPr>
      <w:bookmarkStart w:id="13" w:name="NEW_STAND_NAME"/>
      <w:r>
        <w:rPr>
          <w:rFonts w:hint="eastAsia"/>
        </w:rPr>
        <w:t>医疗机构药物基因检测实验室建设指南</w:t>
      </w:r>
    </w:p>
    <w:bookmarkEnd w:id="13"/>
    <w:p w14:paraId="2C2B2340">
      <w:pPr>
        <w:pStyle w:val="29"/>
      </w:pPr>
      <w:bookmarkStart w:id="14" w:name="_Toc24884218"/>
      <w:bookmarkStart w:id="15" w:name="_Toc26986530"/>
      <w:bookmarkStart w:id="16" w:name="_Toc17233325"/>
      <w:bookmarkStart w:id="17" w:name="_Toc17233333"/>
      <w:bookmarkStart w:id="18" w:name="_Toc26986771"/>
      <w:bookmarkStart w:id="19" w:name="_Toc97191423"/>
      <w:bookmarkStart w:id="20" w:name="_Toc24884211"/>
      <w:bookmarkStart w:id="21" w:name="_Toc26718930"/>
      <w:bookmarkStart w:id="22" w:name="_Toc26648465"/>
      <w:r>
        <w:rPr>
          <w:rFonts w:hint="eastAsia"/>
        </w:rPr>
        <w:t>范围</w:t>
      </w:r>
      <w:bookmarkEnd w:id="14"/>
      <w:bookmarkEnd w:id="15"/>
      <w:bookmarkEnd w:id="16"/>
      <w:bookmarkEnd w:id="17"/>
      <w:bookmarkEnd w:id="18"/>
      <w:bookmarkEnd w:id="19"/>
      <w:bookmarkEnd w:id="20"/>
      <w:bookmarkEnd w:id="21"/>
      <w:bookmarkEnd w:id="22"/>
    </w:p>
    <w:p w14:paraId="0DF424DF">
      <w:pPr>
        <w:pStyle w:val="8"/>
        <w:shd w:val="clear" w:color="auto" w:fill="FFFFFF"/>
        <w:spacing w:after="156"/>
        <w:ind w:firstLine="420" w:firstLineChars="200"/>
        <w:jc w:val="both"/>
        <w:rPr>
          <w:rFonts w:hint="eastAsia" w:cs="Times New Roman"/>
          <w:color w:val="000000"/>
          <w:sz w:val="21"/>
          <w:szCs w:val="21"/>
        </w:rPr>
      </w:pPr>
      <w:r>
        <w:rPr>
          <w:rFonts w:hint="eastAsia"/>
          <w:color w:val="000000"/>
          <w:sz w:val="21"/>
          <w:szCs w:val="21"/>
          <w:shd w:val="clear" w:color="auto" w:fill="FFFFFF"/>
        </w:rPr>
        <w:t>本文件确立了医疗机构药物基因检测实验室建设原则，并规范了药物基因检测实验室建设的环境、场地与分区、设施设备与试剂、信息系统、人员、管理制度、安全、质量控制要求。</w:t>
      </w:r>
      <w:r>
        <w:rPr>
          <w:rFonts w:hint="eastAsia" w:cs="Times New Roman"/>
          <w:color w:val="000000"/>
          <w:sz w:val="21"/>
          <w:szCs w:val="21"/>
        </w:rPr>
        <w:t xml:space="preserve">    </w:t>
      </w:r>
    </w:p>
    <w:p w14:paraId="6A373196">
      <w:pPr>
        <w:pStyle w:val="8"/>
        <w:shd w:val="clear" w:color="auto" w:fill="FFFFFF"/>
        <w:spacing w:after="156"/>
        <w:ind w:firstLine="420" w:firstLineChars="200"/>
        <w:jc w:val="both"/>
        <w:rPr>
          <w:rFonts w:hint="eastAsia" w:cs="Times New Roman"/>
          <w:color w:val="000000"/>
          <w:sz w:val="21"/>
          <w:szCs w:val="21"/>
        </w:rPr>
      </w:pPr>
      <w:r>
        <w:rPr>
          <w:rFonts w:hint="eastAsia" w:cs="Times New Roman"/>
          <w:color w:val="000000"/>
          <w:sz w:val="21"/>
          <w:szCs w:val="21"/>
        </w:rPr>
        <w:t>本文件适用于医疗机构药物基因检测实验室的建设。</w:t>
      </w:r>
    </w:p>
    <w:p w14:paraId="627638A2">
      <w:pPr>
        <w:pStyle w:val="29"/>
      </w:pPr>
      <w:bookmarkStart w:id="23" w:name="_Toc24884219"/>
      <w:bookmarkStart w:id="24" w:name="_Toc26986531"/>
      <w:bookmarkStart w:id="25" w:name="_Toc17233334"/>
      <w:bookmarkStart w:id="26" w:name="_Toc26986772"/>
      <w:bookmarkStart w:id="27" w:name="_Toc17233326"/>
      <w:bookmarkStart w:id="28" w:name="_Toc26718931"/>
      <w:bookmarkStart w:id="29" w:name="_Toc26648466"/>
      <w:bookmarkStart w:id="30" w:name="_Toc97191424"/>
      <w:bookmarkStart w:id="31" w:name="_Toc24884212"/>
      <w:r>
        <w:rPr>
          <w:rFonts w:hint="eastAsia"/>
        </w:rPr>
        <w:t>规范性引用文件</w:t>
      </w:r>
      <w:bookmarkEnd w:id="23"/>
      <w:bookmarkEnd w:id="24"/>
      <w:bookmarkEnd w:id="25"/>
      <w:bookmarkEnd w:id="26"/>
      <w:bookmarkEnd w:id="27"/>
      <w:bookmarkEnd w:id="28"/>
      <w:bookmarkEnd w:id="29"/>
      <w:bookmarkEnd w:id="30"/>
      <w:bookmarkEnd w:id="31"/>
    </w:p>
    <w:p w14:paraId="6C678354">
      <w:pPr>
        <w:pStyle w:val="21"/>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5A261D9B">
      <w:pPr>
        <w:pStyle w:val="21"/>
        <w:ind w:firstLine="420"/>
        <w:rPr>
          <w:rFonts w:ascii="Times New Roman"/>
          <w:color w:val="000000" w:themeColor="text1"/>
          <w14:textFill>
            <w14:solidFill>
              <w14:schemeClr w14:val="tx1"/>
            </w14:solidFill>
          </w14:textFill>
        </w:rPr>
      </w:pPr>
      <w:r>
        <w:rPr>
          <w:rFonts w:ascii="Times New Roman"/>
          <w:color w:val="000000" w:themeColor="text1"/>
          <w14:textFill>
            <w14:solidFill>
              <w14:schemeClr w14:val="tx1"/>
            </w14:solidFill>
          </w14:textFill>
        </w:rPr>
        <w:t>GB 19489</w:t>
      </w:r>
      <w:r>
        <w:rPr>
          <w:rFonts w:hint="eastAsia" w:ascii="Times New Roman"/>
          <w:color w:val="000000" w:themeColor="text1"/>
          <w14:textFill>
            <w14:solidFill>
              <w14:schemeClr w14:val="tx1"/>
            </w14:solidFill>
          </w14:textFill>
        </w:rPr>
        <w:t xml:space="preserve"> </w:t>
      </w:r>
      <w:r>
        <w:rPr>
          <w:rFonts w:ascii="Times New Roman"/>
          <w:color w:val="000000" w:themeColor="text1"/>
          <w14:textFill>
            <w14:solidFill>
              <w14:schemeClr w14:val="tx1"/>
            </w14:solidFill>
          </w14:textFill>
        </w:rPr>
        <w:t>实验室生物安全通用要求</w:t>
      </w:r>
      <w:r>
        <w:rPr>
          <w:rFonts w:hint="eastAsia" w:ascii="Times New Roman"/>
          <w:color w:val="000000" w:themeColor="text1"/>
          <w14:textFill>
            <w14:solidFill>
              <w14:schemeClr w14:val="tx1"/>
            </w14:solidFill>
          </w14:textFill>
        </w:rPr>
        <w:t>。</w:t>
      </w:r>
    </w:p>
    <w:p w14:paraId="034AB953">
      <w:pPr>
        <w:pStyle w:val="29"/>
      </w:pPr>
      <w:bookmarkStart w:id="32" w:name="_Toc97191425"/>
      <w:r>
        <w:rPr>
          <w:rFonts w:hint="eastAsia"/>
        </w:rPr>
        <w:t>术语和定义</w:t>
      </w:r>
      <w:bookmarkEnd w:id="32"/>
    </w:p>
    <w:p w14:paraId="64B45BD9">
      <w:pPr>
        <w:pStyle w:val="21"/>
        <w:spacing w:before="100" w:beforeAutospacing="1" w:after="100" w:afterAutospacing="1"/>
        <w:ind w:firstLine="420"/>
      </w:pPr>
      <w:bookmarkStart w:id="33" w:name="_Toc26986532"/>
      <w:bookmarkEnd w:id="33"/>
      <w:r>
        <w:t>下列术语和定义适用于本文件。</w:t>
      </w:r>
    </w:p>
    <w:p w14:paraId="76348499">
      <w:pPr>
        <w:pStyle w:val="29"/>
        <w:numPr>
          <w:ilvl w:val="0"/>
          <w:numId w:val="0"/>
        </w:numPr>
        <w:rPr>
          <w:lang w:bidi="ar"/>
        </w:rPr>
      </w:pPr>
      <w:r>
        <w:rPr>
          <w:rFonts w:hint="eastAsia"/>
          <w:lang w:bidi="ar"/>
        </w:rPr>
        <w:t xml:space="preserve">3.1 </w:t>
      </w:r>
    </w:p>
    <w:p w14:paraId="57CFE096">
      <w:pPr>
        <w:pStyle w:val="29"/>
        <w:numPr>
          <w:ilvl w:val="0"/>
          <w:numId w:val="0"/>
        </w:numPr>
        <w:ind w:firstLine="420" w:firstLineChars="200"/>
        <w:rPr>
          <w:lang w:bidi="ar"/>
        </w:rPr>
      </w:pPr>
      <w:r>
        <w:rPr>
          <w:lang w:bidi="ar"/>
        </w:rPr>
        <w:t xml:space="preserve">药物基因检测 </w:t>
      </w:r>
      <w:r>
        <w:rPr>
          <w:rFonts w:ascii="Times New Roman"/>
          <w:lang w:bidi="ar"/>
        </w:rPr>
        <w:t>pharmacogenetic testing</w:t>
      </w:r>
    </w:p>
    <w:p w14:paraId="5CE7AFD6">
      <w:pPr>
        <w:widowControl/>
        <w:spacing w:before="100" w:beforeAutospacing="1" w:after="100" w:afterAutospacing="1"/>
        <w:ind w:firstLine="420" w:firstLineChars="200"/>
        <w:rPr>
          <w:rFonts w:hint="eastAsia"/>
        </w:rPr>
      </w:pPr>
      <w:r>
        <w:rPr>
          <w:rFonts w:hint="eastAsia" w:ascii="宋体" w:hAnsi="宋体" w:eastAsia="宋体"/>
          <w:color w:val="000000"/>
          <w:kern w:val="0"/>
          <w:szCs w:val="21"/>
          <w:lang w:bidi="ar"/>
        </w:rPr>
        <w:t>通过特定的分子生物学检测手段，对人体药物代谢酶和效应靶点基因进行检测，以此预测患者对药物的反应性（包括药物疗效和不良反应发生风险），从而有利于协助临床在药物品种选择、剂量调整及 联合用药等方面制订患者个体化用药方案的一种检测技术。</w:t>
      </w:r>
    </w:p>
    <w:p w14:paraId="3F517A50">
      <w:pPr>
        <w:pStyle w:val="29"/>
        <w:numPr>
          <w:ilvl w:val="0"/>
          <w:numId w:val="0"/>
        </w:numPr>
      </w:pPr>
      <w:r>
        <w:rPr>
          <w:rFonts w:hint="eastAsia"/>
        </w:rPr>
        <w:t xml:space="preserve">3.2 </w:t>
      </w:r>
    </w:p>
    <w:p w14:paraId="33CE132C">
      <w:pPr>
        <w:pStyle w:val="29"/>
        <w:numPr>
          <w:ilvl w:val="0"/>
          <w:numId w:val="0"/>
        </w:numPr>
        <w:ind w:firstLine="420" w:firstLineChars="200"/>
      </w:pPr>
      <w:r>
        <w:rPr>
          <w:rFonts w:hint="eastAsia"/>
        </w:rPr>
        <w:t>临床检验实验室</w:t>
      </w:r>
      <w:r>
        <w:rPr>
          <w:rFonts w:ascii="Times New Roman"/>
        </w:rPr>
        <w:t xml:space="preserve"> clinical testing laboratory</w:t>
      </w:r>
    </w:p>
    <w:p w14:paraId="03C25D19">
      <w:pPr>
        <w:spacing w:before="100" w:beforeAutospacing="1" w:after="100" w:afterAutospacing="1"/>
        <w:ind w:firstLine="420" w:firstLineChars="200"/>
        <w:rPr>
          <w:rFonts w:ascii="Times New Roman" w:hAnsi="Times New Roman" w:eastAsia="宋体"/>
          <w:color w:val="000000" w:themeColor="text1"/>
          <w14:textFill>
            <w14:solidFill>
              <w14:schemeClr w14:val="tx1"/>
            </w14:solidFill>
          </w14:textFill>
        </w:rPr>
      </w:pPr>
      <w:r>
        <w:rPr>
          <w:rFonts w:ascii="Times New Roman" w:hAnsi="Times New Roman" w:eastAsia="宋体"/>
          <w:color w:val="000000" w:themeColor="text1"/>
          <w14:textFill>
            <w14:solidFill>
              <w14:schemeClr w14:val="tx1"/>
            </w14:solidFill>
          </w14:textFill>
        </w:rPr>
        <w:t>是指对取自</w:t>
      </w:r>
      <w:r>
        <w:rPr>
          <w:rFonts w:hint="eastAsia" w:ascii="Times New Roman" w:hAnsi="Times New Roman" w:eastAsia="宋体"/>
          <w:color w:val="000000" w:themeColor="text1"/>
          <w14:textFill>
            <w14:solidFill>
              <w14:schemeClr w14:val="tx1"/>
            </w14:solidFill>
          </w14:textFill>
        </w:rPr>
        <w:t>临床</w:t>
      </w:r>
      <w:r>
        <w:rPr>
          <w:rFonts w:ascii="Times New Roman" w:hAnsi="Times New Roman" w:eastAsia="宋体"/>
          <w:color w:val="000000" w:themeColor="text1"/>
          <w14:textFill>
            <w14:solidFill>
              <w14:schemeClr w14:val="tx1"/>
            </w14:solidFill>
          </w14:textFill>
        </w:rPr>
        <w:t>的各种标本进行生物学、微生物学、免疫学、化学、血液免疫学、血液学、生物物理学、细胞学等检验，并为临床提供医学检验服务的</w:t>
      </w:r>
      <w:r>
        <w:rPr>
          <w:rFonts w:hint="eastAsia" w:ascii="Times New Roman" w:hAnsi="Times New Roman" w:eastAsia="宋体"/>
          <w:color w:val="000000" w:themeColor="text1"/>
          <w14:textFill>
            <w14:solidFill>
              <w14:schemeClr w14:val="tx1"/>
            </w14:solidFill>
          </w14:textFill>
        </w:rPr>
        <w:t>场所</w:t>
      </w:r>
      <w:r>
        <w:rPr>
          <w:rFonts w:ascii="Times New Roman" w:hAnsi="Times New Roman" w:eastAsia="宋体"/>
          <w:color w:val="000000" w:themeColor="text1"/>
          <w14:textFill>
            <w14:solidFill>
              <w14:schemeClr w14:val="tx1"/>
            </w14:solidFill>
          </w14:textFill>
        </w:rPr>
        <w:t>。</w:t>
      </w:r>
    </w:p>
    <w:p w14:paraId="527A40F4">
      <w:pPr>
        <w:pStyle w:val="29"/>
      </w:pPr>
      <w:r>
        <w:rPr>
          <w:rFonts w:hint="eastAsia"/>
        </w:rPr>
        <w:t>符号缩略语</w:t>
      </w:r>
    </w:p>
    <w:p w14:paraId="371AA54F">
      <w:pPr>
        <w:pStyle w:val="21"/>
        <w:ind w:firstLine="420"/>
      </w:pPr>
      <w:r>
        <w:rPr>
          <w:rFonts w:hint="eastAsia"/>
        </w:rPr>
        <w:t>下列缩略语适用于本文件。</w:t>
      </w:r>
    </w:p>
    <w:p w14:paraId="1444AB48">
      <w:pPr>
        <w:pStyle w:val="21"/>
        <w:ind w:firstLine="420"/>
        <w:rPr>
          <w:rFonts w:ascii="Times New Roman"/>
          <w:bCs/>
        </w:rPr>
      </w:pPr>
      <w:r>
        <w:rPr>
          <w:rFonts w:hint="eastAsia" w:ascii="Times New Roman"/>
          <w:bCs/>
        </w:rPr>
        <w:t>SOP：</w:t>
      </w:r>
      <w:r>
        <w:rPr>
          <w:rFonts w:ascii="Times New Roman"/>
          <w:bCs/>
        </w:rPr>
        <w:t>标准作业程序</w:t>
      </w:r>
      <w:r>
        <w:rPr>
          <w:rFonts w:hint="eastAsia" w:ascii="Times New Roman"/>
          <w:bCs/>
        </w:rPr>
        <w:t>（St</w:t>
      </w:r>
      <w:r>
        <w:rPr>
          <w:rFonts w:ascii="Times New Roman"/>
          <w:bCs/>
        </w:rPr>
        <w:t xml:space="preserve">andard </w:t>
      </w:r>
      <w:r>
        <w:rPr>
          <w:rFonts w:hint="eastAsia" w:ascii="Times New Roman"/>
          <w:bCs/>
        </w:rPr>
        <w:t>O</w:t>
      </w:r>
      <w:r>
        <w:rPr>
          <w:rFonts w:ascii="Times New Roman"/>
          <w:bCs/>
        </w:rPr>
        <w:t xml:space="preserve">perating </w:t>
      </w:r>
      <w:r>
        <w:rPr>
          <w:rFonts w:hint="eastAsia" w:ascii="Times New Roman"/>
          <w:bCs/>
        </w:rPr>
        <w:t>P</w:t>
      </w:r>
      <w:r>
        <w:rPr>
          <w:rFonts w:ascii="Times New Roman"/>
          <w:bCs/>
        </w:rPr>
        <w:t>rocedure</w:t>
      </w:r>
      <w:r>
        <w:rPr>
          <w:rFonts w:hint="eastAsia" w:ascii="Times New Roman"/>
          <w:bCs/>
        </w:rPr>
        <w:t>）</w:t>
      </w:r>
    </w:p>
    <w:p w14:paraId="296BABFE">
      <w:pPr>
        <w:ind w:firstLine="420" w:firstLineChars="200"/>
        <w:rPr>
          <w:rFonts w:ascii="Times New Roman" w:hAnsi="Times New Roman" w:eastAsia="宋体"/>
          <w:bCs/>
        </w:rPr>
      </w:pPr>
      <w:r>
        <w:rPr>
          <w:rFonts w:hint="eastAsia" w:ascii="Times New Roman" w:hAnsi="Times New Roman" w:eastAsia="宋体"/>
          <w:bCs/>
        </w:rPr>
        <w:t>PCR：</w:t>
      </w:r>
      <w:r>
        <w:rPr>
          <w:rFonts w:ascii="Times New Roman" w:hAnsi="Times New Roman" w:eastAsia="宋体"/>
          <w:bCs/>
        </w:rPr>
        <w:t>聚合酶链</w:t>
      </w:r>
      <w:r>
        <w:rPr>
          <w:rFonts w:hint="eastAsia" w:ascii="Times New Roman" w:hAnsi="Times New Roman" w:eastAsia="宋体"/>
          <w:bCs/>
        </w:rPr>
        <w:t>式</w:t>
      </w:r>
      <w:r>
        <w:rPr>
          <w:rFonts w:ascii="Times New Roman" w:hAnsi="Times New Roman" w:eastAsia="宋体"/>
          <w:bCs/>
        </w:rPr>
        <w:t>反应（</w:t>
      </w:r>
      <w:r>
        <w:rPr>
          <w:rFonts w:hint="eastAsia" w:ascii="Times New Roman" w:hAnsi="Times New Roman" w:eastAsia="宋体"/>
          <w:bCs/>
        </w:rPr>
        <w:t>P</w:t>
      </w:r>
      <w:r>
        <w:rPr>
          <w:rFonts w:ascii="Times New Roman" w:hAnsi="Times New Roman" w:eastAsia="宋体"/>
          <w:bCs/>
        </w:rPr>
        <w:t xml:space="preserve">olymerase </w:t>
      </w:r>
      <w:r>
        <w:rPr>
          <w:rFonts w:hint="eastAsia" w:ascii="Times New Roman" w:hAnsi="Times New Roman" w:eastAsia="宋体"/>
          <w:bCs/>
        </w:rPr>
        <w:t>C</w:t>
      </w:r>
      <w:r>
        <w:rPr>
          <w:rFonts w:ascii="Times New Roman" w:hAnsi="Times New Roman" w:eastAsia="宋体"/>
          <w:bCs/>
        </w:rPr>
        <w:t xml:space="preserve">hain </w:t>
      </w:r>
      <w:r>
        <w:rPr>
          <w:rFonts w:hint="eastAsia" w:ascii="Times New Roman" w:hAnsi="Times New Roman" w:eastAsia="宋体"/>
          <w:bCs/>
        </w:rPr>
        <w:t>R</w:t>
      </w:r>
      <w:r>
        <w:rPr>
          <w:rFonts w:ascii="Times New Roman" w:hAnsi="Times New Roman" w:eastAsia="宋体"/>
          <w:bCs/>
        </w:rPr>
        <w:t>eaction）</w:t>
      </w:r>
    </w:p>
    <w:p w14:paraId="22B20A04">
      <w:pPr>
        <w:ind w:firstLine="420" w:firstLineChars="200"/>
        <w:rPr>
          <w:rFonts w:ascii="Times New Roman" w:hAnsi="Times New Roman" w:eastAsia="宋体"/>
          <w:bCs/>
        </w:rPr>
      </w:pPr>
      <w:r>
        <w:rPr>
          <w:rFonts w:ascii="Times New Roman" w:hAnsi="Times New Roman" w:eastAsia="宋体"/>
          <w:bCs/>
        </w:rPr>
        <w:t>DNA</w:t>
      </w:r>
      <w:r>
        <w:rPr>
          <w:rFonts w:hint="eastAsia" w:ascii="Times New Roman" w:hAnsi="Times New Roman" w:eastAsia="宋体"/>
          <w:bCs/>
        </w:rPr>
        <w:t>：</w:t>
      </w:r>
      <w:r>
        <w:rPr>
          <w:rFonts w:ascii="Times New Roman" w:hAnsi="Times New Roman" w:eastAsia="宋体"/>
          <w:bCs/>
        </w:rPr>
        <w:t>脱氧核糖核酸（DeoxyriboNucleic Acid）</w:t>
      </w:r>
    </w:p>
    <w:p w14:paraId="2336EDA8">
      <w:pPr>
        <w:ind w:firstLine="420" w:firstLineChars="200"/>
        <w:rPr>
          <w:rFonts w:ascii="Times New Roman" w:hAnsi="Times New Roman" w:eastAsia="宋体"/>
          <w:color w:val="000000" w:themeColor="text1"/>
          <w14:textFill>
            <w14:solidFill>
              <w14:schemeClr w14:val="tx1"/>
            </w14:solidFill>
          </w14:textFill>
        </w:rPr>
      </w:pPr>
      <w:r>
        <w:rPr>
          <w:rFonts w:hint="eastAsia" w:ascii="Times New Roman" w:hAnsi="Times New Roman" w:eastAsia="宋体"/>
          <w:color w:val="000000" w:themeColor="text1"/>
          <w14:textFill>
            <w14:solidFill>
              <w14:schemeClr w14:val="tx1"/>
            </w14:solidFill>
          </w14:textFill>
        </w:rPr>
        <w:t>RNA：核糖核酸（Ribonucleic Acid）</w:t>
      </w:r>
    </w:p>
    <w:p w14:paraId="78B39EE7">
      <w:pPr>
        <w:ind w:firstLine="420" w:firstLineChars="200"/>
        <w:rPr>
          <w:rFonts w:ascii="Times New Roman" w:hAnsi="Times New Roman" w:eastAsia="宋体"/>
          <w:bCs/>
        </w:rPr>
      </w:pPr>
      <w:r>
        <w:rPr>
          <w:rFonts w:hint="eastAsia" w:ascii="Times New Roman" w:hAnsi="Times New Roman" w:eastAsia="宋体"/>
          <w:bCs/>
        </w:rPr>
        <w:t>HIS：医院信息系统（hospital information system）</w:t>
      </w:r>
    </w:p>
    <w:p w14:paraId="0D481456">
      <w:pPr>
        <w:pStyle w:val="29"/>
      </w:pPr>
      <w:r>
        <w:rPr>
          <w:rFonts w:hint="eastAsia"/>
        </w:rPr>
        <w:t>建设原则</w:t>
      </w:r>
    </w:p>
    <w:p w14:paraId="2140D39A">
      <w:pPr>
        <w:pStyle w:val="29"/>
        <w:numPr>
          <w:ilvl w:val="0"/>
          <w:numId w:val="0"/>
        </w:numPr>
      </w:pPr>
      <w:r>
        <w:rPr>
          <w:rFonts w:hint="eastAsia"/>
        </w:rPr>
        <w:t>5.1 科学性</w:t>
      </w:r>
    </w:p>
    <w:p w14:paraId="535D10D5">
      <w:pPr>
        <w:pStyle w:val="21"/>
        <w:ind w:firstLine="420"/>
      </w:pPr>
      <w:r>
        <w:rPr>
          <w:rFonts w:hint="eastAsia"/>
        </w:rPr>
        <w:t>应科学合理，优化场地分区、设施设备与试剂、信息系统及人员的配置资源，提高综合利用效益。</w:t>
      </w:r>
    </w:p>
    <w:p w14:paraId="2E60D3BB">
      <w:pPr>
        <w:pStyle w:val="29"/>
        <w:numPr>
          <w:ilvl w:val="0"/>
          <w:numId w:val="0"/>
        </w:numPr>
      </w:pPr>
      <w:r>
        <w:rPr>
          <w:rFonts w:hint="eastAsia"/>
        </w:rPr>
        <w:t>5.2 规范性</w:t>
      </w:r>
    </w:p>
    <w:p w14:paraId="53A77DEE">
      <w:pPr>
        <w:pStyle w:val="21"/>
        <w:ind w:firstLine="420"/>
        <w:rPr>
          <w:rFonts w:hint="eastAsia" w:hAnsi="宋体" w:cs="宋体"/>
        </w:rPr>
      </w:pPr>
      <w:r>
        <w:rPr>
          <w:rFonts w:hint="eastAsia" w:hAnsi="宋体" w:cs="宋体"/>
        </w:rPr>
        <w:t>应遵循各项</w:t>
      </w:r>
      <w:r>
        <w:rPr>
          <w:rFonts w:hint="eastAsia" w:hAnsi="宋体" w:cs="宋体"/>
          <w:lang w:eastAsia="zh-CN"/>
        </w:rPr>
        <w:t>法律法规</w:t>
      </w:r>
      <w:r>
        <w:rPr>
          <w:rFonts w:hint="eastAsia" w:hAnsi="宋体" w:cs="宋体"/>
        </w:rPr>
        <w:t>，编制规范合理的规章制度，加强规范化管理。</w:t>
      </w:r>
    </w:p>
    <w:p w14:paraId="71278B4C">
      <w:pPr>
        <w:pStyle w:val="29"/>
        <w:numPr>
          <w:ilvl w:val="0"/>
          <w:numId w:val="0"/>
        </w:numPr>
      </w:pPr>
      <w:r>
        <w:rPr>
          <w:rFonts w:hint="eastAsia"/>
        </w:rPr>
        <w:t>5.3 前瞻性</w:t>
      </w:r>
    </w:p>
    <w:p w14:paraId="2CEBF578">
      <w:pPr>
        <w:pStyle w:val="21"/>
        <w:ind w:firstLine="420"/>
      </w:pPr>
      <w:r>
        <w:rPr>
          <w:rFonts w:hint="eastAsia"/>
        </w:rPr>
        <w:t>应建立适应科技发展的实验室管理模式，发挥行业引领的先进性与前瞻性。</w:t>
      </w:r>
    </w:p>
    <w:p w14:paraId="5B96FADC">
      <w:pPr>
        <w:pStyle w:val="29"/>
        <w:numPr>
          <w:ilvl w:val="0"/>
          <w:numId w:val="0"/>
        </w:numPr>
      </w:pPr>
      <w:r>
        <w:rPr>
          <w:rFonts w:hint="eastAsia"/>
        </w:rPr>
        <w:t>5.4 安全性</w:t>
      </w:r>
    </w:p>
    <w:p w14:paraId="62F40DED">
      <w:pPr>
        <w:pStyle w:val="21"/>
        <w:ind w:firstLine="420"/>
      </w:pPr>
      <w:r>
        <w:rPr>
          <w:rFonts w:hint="eastAsia"/>
        </w:rPr>
        <w:t>应建立必要的生物、设备、人员、消防及信息安全管理措施。</w:t>
      </w:r>
    </w:p>
    <w:p w14:paraId="57DE4B59">
      <w:pPr>
        <w:pStyle w:val="29"/>
        <w:numPr>
          <w:ilvl w:val="0"/>
          <w:numId w:val="0"/>
        </w:numPr>
      </w:pPr>
      <w:r>
        <w:rPr>
          <w:rFonts w:hint="eastAsia"/>
        </w:rPr>
        <w:t>6  建设内容</w:t>
      </w:r>
    </w:p>
    <w:p w14:paraId="05FD7F5C">
      <w:pPr>
        <w:pStyle w:val="29"/>
        <w:numPr>
          <w:ilvl w:val="0"/>
          <w:numId w:val="0"/>
        </w:numPr>
      </w:pPr>
      <w:r>
        <w:rPr>
          <w:rFonts w:hint="eastAsia"/>
        </w:rPr>
        <w:t>6.1环境</w:t>
      </w:r>
    </w:p>
    <w:p w14:paraId="690BA0B8">
      <w:pPr>
        <w:pStyle w:val="29"/>
        <w:numPr>
          <w:ilvl w:val="0"/>
          <w:numId w:val="0"/>
        </w:numPr>
      </w:pPr>
      <w:r>
        <w:rPr>
          <w:rFonts w:hint="eastAsia"/>
        </w:rPr>
        <w:t xml:space="preserve">6.1.1空气（通风、气压） </w:t>
      </w:r>
    </w:p>
    <w:p w14:paraId="459C3FE9">
      <w:pPr>
        <w:spacing w:before="120" w:after="120"/>
        <w:ind w:firstLine="420" w:firstLineChars="200"/>
        <w:rPr>
          <w:rFonts w:ascii="宋体" w:hAnsi="Times New Roman" w:eastAsia="宋体" w:cs="Times New Roman"/>
          <w:kern w:val="0"/>
          <w:szCs w:val="20"/>
        </w:rPr>
      </w:pPr>
      <w:r>
        <w:rPr>
          <w:rFonts w:ascii="宋体" w:hAnsi="Times New Roman" w:eastAsia="宋体" w:cs="Times New Roman"/>
          <w:kern w:val="0"/>
          <w:szCs w:val="20"/>
        </w:rPr>
        <w:t>试剂准备区、标本制备区、扩增区、扩增产物分析区在物理空间上完全相互独立，应当处于完全的分隔状态，</w:t>
      </w:r>
      <w:r>
        <w:rPr>
          <w:rFonts w:hint="eastAsia" w:ascii="宋体" w:hAnsi="Times New Roman" w:eastAsia="宋体" w:cs="Times New Roman"/>
          <w:kern w:val="0"/>
          <w:szCs w:val="20"/>
        </w:rPr>
        <w:t>不能有空气的直接相通</w:t>
      </w:r>
      <w:r>
        <w:rPr>
          <w:rFonts w:ascii="宋体" w:hAnsi="Times New Roman" w:eastAsia="宋体" w:cs="Times New Roman"/>
          <w:kern w:val="0"/>
          <w:szCs w:val="20"/>
        </w:rPr>
        <w:t>。每个分区应设置缓冲区和缓冲走廊，相邻的工作区域设置传递窗。应采用空气过滤系统</w:t>
      </w:r>
      <w:r>
        <w:rPr>
          <w:rFonts w:hint="eastAsia" w:ascii="宋体" w:hAnsi="Times New Roman" w:eastAsia="宋体" w:cs="Times New Roman"/>
          <w:kern w:val="0"/>
          <w:szCs w:val="20"/>
        </w:rPr>
        <w:t>，</w:t>
      </w:r>
      <w:r>
        <w:rPr>
          <w:rFonts w:ascii="宋体" w:hAnsi="Times New Roman" w:eastAsia="宋体" w:cs="Times New Roman"/>
          <w:kern w:val="0"/>
          <w:szCs w:val="20"/>
        </w:rPr>
        <w:t>样本制备区中进行核酸提取操作应在生物安全柜中进行。空气流向依次按照试剂准备区、标本制备区、产物扩增区、产物分析区进行流动。宜</w:t>
      </w:r>
      <w:r>
        <w:rPr>
          <w:rFonts w:hint="eastAsia" w:ascii="宋体" w:hAnsi="Times New Roman" w:eastAsia="宋体" w:cs="Times New Roman"/>
          <w:kern w:val="0"/>
          <w:szCs w:val="20"/>
        </w:rPr>
        <w:t>安装</w:t>
      </w:r>
      <w:r>
        <w:rPr>
          <w:rFonts w:ascii="宋体" w:hAnsi="Times New Roman" w:eastAsia="宋体" w:cs="Times New Roman"/>
          <w:kern w:val="0"/>
          <w:szCs w:val="20"/>
        </w:rPr>
        <w:t>空气过滤系统和负压排风装置。</w:t>
      </w:r>
    </w:p>
    <w:p w14:paraId="6CA27341">
      <w:pPr>
        <w:pStyle w:val="29"/>
        <w:numPr>
          <w:ilvl w:val="0"/>
          <w:numId w:val="0"/>
        </w:numPr>
        <w:rPr>
          <w:rFonts w:hint="eastAsia"/>
        </w:rPr>
      </w:pPr>
      <w:r>
        <w:t>6.1.2</w:t>
      </w:r>
      <w:r>
        <w:rPr>
          <w:rFonts w:hint="eastAsia"/>
        </w:rPr>
        <w:t xml:space="preserve">温湿度 </w:t>
      </w:r>
    </w:p>
    <w:p w14:paraId="2F2C7D53">
      <w:pPr>
        <w:spacing w:before="120" w:after="120"/>
        <w:ind w:firstLine="420" w:firstLineChars="200"/>
        <w:rPr>
          <w:rFonts w:ascii="Times New Roman" w:hAnsi="Times New Roman" w:eastAsia="宋体"/>
          <w:bCs/>
        </w:rPr>
      </w:pPr>
      <w:r>
        <w:rPr>
          <w:rFonts w:hint="eastAsia" w:ascii="Times New Roman" w:hAnsi="Times New Roman" w:eastAsia="宋体"/>
          <w:bCs/>
        </w:rPr>
        <w:t>环境温湿度应符合医疗机构临床检验实验室管理的相关要求。</w:t>
      </w:r>
    </w:p>
    <w:p w14:paraId="58D0A49B">
      <w:pPr>
        <w:pStyle w:val="29"/>
        <w:numPr>
          <w:ilvl w:val="0"/>
          <w:numId w:val="0"/>
        </w:numPr>
      </w:pPr>
      <w:r>
        <w:rPr>
          <w:rFonts w:hint="eastAsia"/>
        </w:rPr>
        <w:t>6.2 场地与分区</w:t>
      </w:r>
    </w:p>
    <w:p w14:paraId="5747A4C6">
      <w:pPr>
        <w:pStyle w:val="29"/>
        <w:numPr>
          <w:ilvl w:val="0"/>
          <w:numId w:val="0"/>
        </w:numPr>
        <w:rPr>
          <w:rFonts w:ascii="宋体" w:eastAsia="宋体"/>
        </w:rPr>
      </w:pPr>
      <w:r>
        <w:rPr>
          <w:rFonts w:hint="eastAsia"/>
        </w:rPr>
        <w:t>6.2.1</w:t>
      </w:r>
      <w:r>
        <w:rPr>
          <w:rFonts w:ascii="宋体" w:eastAsia="宋体"/>
        </w:rPr>
        <w:t>应有充足的空间</w:t>
      </w:r>
      <w:r>
        <w:rPr>
          <w:rFonts w:hint="eastAsia" w:ascii="宋体" w:eastAsia="宋体"/>
        </w:rPr>
        <w:t>开展检测工作，面积不低于</w:t>
      </w:r>
      <w:r>
        <w:rPr>
          <w:rFonts w:ascii="Times New Roman" w:eastAsia="宋体"/>
        </w:rPr>
        <w:t>50m</w:t>
      </w:r>
      <w:r>
        <w:rPr>
          <w:rFonts w:ascii="Times New Roman" w:eastAsia="宋体"/>
          <w:vertAlign w:val="superscript"/>
        </w:rPr>
        <w:t>2</w:t>
      </w:r>
      <w:r>
        <w:rPr>
          <w:rFonts w:hint="eastAsia" w:ascii="宋体" w:eastAsia="宋体"/>
        </w:rPr>
        <w:t>；</w:t>
      </w:r>
    </w:p>
    <w:p w14:paraId="7289314B">
      <w:pPr>
        <w:pStyle w:val="29"/>
        <w:numPr>
          <w:ilvl w:val="0"/>
          <w:numId w:val="0"/>
        </w:numPr>
        <w:spacing w:before="0" w:beforeLines="0" w:after="0" w:afterLines="0"/>
        <w:rPr>
          <w:rFonts w:ascii="Times New Roman" w:eastAsia="宋体"/>
        </w:rPr>
      </w:pPr>
      <w:r>
        <w:rPr>
          <w:rFonts w:hint="eastAsia"/>
        </w:rPr>
        <w:t>6.2.2</w:t>
      </w:r>
      <w:r>
        <w:rPr>
          <w:rFonts w:ascii="宋体" w:eastAsia="宋体"/>
        </w:rPr>
        <w:t>应有独立且完全隔离的工作区域，包括试剂准备区、标本制备区、扩增区、</w:t>
      </w:r>
      <w:r>
        <w:rPr>
          <w:rFonts w:hint="eastAsia" w:ascii="宋体" w:eastAsia="宋体"/>
        </w:rPr>
        <w:t>扩增</w:t>
      </w:r>
      <w:r>
        <w:rPr>
          <w:rFonts w:ascii="宋体" w:eastAsia="宋体"/>
        </w:rPr>
        <w:t>产物分析区</w:t>
      </w:r>
      <w:r>
        <w:rPr>
          <w:rFonts w:ascii="Times New Roman" w:eastAsia="宋体"/>
        </w:rPr>
        <w:t>，各区域面积不小于8m</w:t>
      </w:r>
      <w:r>
        <w:rPr>
          <w:rFonts w:ascii="Times New Roman" w:eastAsia="宋体"/>
          <w:vertAlign w:val="superscript"/>
        </w:rPr>
        <w:t>2</w:t>
      </w:r>
      <w:r>
        <w:rPr>
          <w:rFonts w:ascii="Times New Roman" w:eastAsia="宋体"/>
        </w:rPr>
        <w:t>，设立缓冲区，有独立的通风设施和明确标识。各工作区域功能为：</w:t>
      </w:r>
    </w:p>
    <w:p w14:paraId="143503A2">
      <w:pPr>
        <w:pStyle w:val="57"/>
        <w:ind w:firstLine="0" w:firstLineChars="0"/>
        <w:rPr>
          <w:rFonts w:ascii="Times New Roman" w:hAnsi="Times New Roman" w:eastAsia="宋体" w:cs="Times New Roman"/>
          <w:kern w:val="0"/>
          <w:szCs w:val="20"/>
        </w:rPr>
      </w:pPr>
      <w:r>
        <w:rPr>
          <w:rFonts w:ascii="Times New Roman" w:hAnsi="Times New Roman" w:eastAsia="宋体" w:cs="Times New Roman"/>
          <w:kern w:val="0"/>
          <w:szCs w:val="20"/>
        </w:rPr>
        <w:t>a) 试剂准备区：试剂的贮存、分装及制备，以及离心管、吸头等消耗品的贮存和准备；</w:t>
      </w:r>
    </w:p>
    <w:p w14:paraId="50D91B38">
      <w:pPr>
        <w:pStyle w:val="57"/>
        <w:ind w:firstLine="0" w:firstLineChars="0"/>
        <w:rPr>
          <w:rFonts w:ascii="Times New Roman" w:hAnsi="Times New Roman" w:eastAsia="宋体" w:cs="Times New Roman"/>
          <w:kern w:val="0"/>
          <w:szCs w:val="20"/>
        </w:rPr>
      </w:pPr>
      <w:r>
        <w:rPr>
          <w:rFonts w:ascii="Times New Roman" w:hAnsi="Times New Roman" w:eastAsia="宋体" w:cs="Times New Roman"/>
          <w:kern w:val="0"/>
          <w:szCs w:val="20"/>
        </w:rPr>
        <w:t>b) 标本制备区：核酸</w:t>
      </w:r>
      <w:r>
        <w:rPr>
          <w:rFonts w:hint="eastAsia" w:ascii="Times New Roman" w:hAnsi="Times New Roman" w:eastAsia="宋体" w:cs="Times New Roman"/>
          <w:kern w:val="0"/>
          <w:szCs w:val="20"/>
        </w:rPr>
        <w:t>(</w:t>
      </w:r>
      <w:r>
        <w:rPr>
          <w:rFonts w:ascii="Times New Roman" w:hAnsi="Times New Roman" w:eastAsia="宋体" w:cs="Times New Roman"/>
          <w:kern w:val="0"/>
          <w:szCs w:val="20"/>
        </w:rPr>
        <w:t>RNA、DNA</w:t>
      </w:r>
      <w:r>
        <w:rPr>
          <w:rFonts w:hint="eastAsia" w:ascii="Times New Roman" w:hAnsi="Times New Roman" w:eastAsia="宋体" w:cs="Times New Roman"/>
          <w:kern w:val="0"/>
          <w:szCs w:val="20"/>
        </w:rPr>
        <w:t>)</w:t>
      </w:r>
      <w:r>
        <w:rPr>
          <w:rFonts w:ascii="Times New Roman" w:hAnsi="Times New Roman" w:eastAsia="宋体" w:cs="Times New Roman"/>
          <w:kern w:val="0"/>
          <w:szCs w:val="20"/>
        </w:rPr>
        <w:t>提取、配置PCR反应体系</w:t>
      </w:r>
      <w:r>
        <w:rPr>
          <w:rFonts w:hint="eastAsia" w:ascii="Times New Roman" w:hAnsi="Times New Roman" w:eastAsia="宋体" w:cs="Times New Roman"/>
          <w:kern w:val="0"/>
          <w:szCs w:val="20"/>
        </w:rPr>
        <w:t>；</w:t>
      </w:r>
    </w:p>
    <w:p w14:paraId="33F6041E">
      <w:pPr>
        <w:rPr>
          <w:rFonts w:ascii="Times New Roman" w:hAnsi="Times New Roman" w:eastAsia="宋体" w:cs="Times New Roman"/>
          <w:kern w:val="0"/>
          <w:szCs w:val="20"/>
        </w:rPr>
      </w:pPr>
      <w:r>
        <w:rPr>
          <w:rFonts w:ascii="Times New Roman" w:hAnsi="Times New Roman" w:eastAsia="宋体" w:cs="Times New Roman"/>
          <w:kern w:val="0"/>
          <w:szCs w:val="20"/>
        </w:rPr>
        <w:t>c) 扩增区：基因扩增及检测；</w:t>
      </w:r>
    </w:p>
    <w:p w14:paraId="0008C566">
      <w:pPr>
        <w:rPr>
          <w:rFonts w:ascii="Times New Roman" w:hAnsi="Times New Roman" w:eastAsia="宋体" w:cs="Times New Roman"/>
          <w:kern w:val="0"/>
          <w:szCs w:val="20"/>
        </w:rPr>
      </w:pPr>
      <w:r>
        <w:rPr>
          <w:rFonts w:ascii="Times New Roman" w:hAnsi="Times New Roman" w:eastAsia="宋体" w:cs="Times New Roman"/>
          <w:kern w:val="0"/>
          <w:szCs w:val="20"/>
        </w:rPr>
        <w:t>d) 扩增产物分析区：扩增片段的进一步分析测定，如杂交、酶切电泳、变性高效液相分析、测序等。</w:t>
      </w:r>
    </w:p>
    <w:p w14:paraId="6B898D01">
      <w:pPr>
        <w:rPr>
          <w:rFonts w:ascii="宋体" w:hAnsi="Times New Roman" w:eastAsia="宋体" w:cs="Times New Roman"/>
          <w:kern w:val="0"/>
          <w:szCs w:val="20"/>
        </w:rPr>
      </w:pPr>
      <w:r>
        <w:rPr>
          <w:rFonts w:ascii="Times New Roman" w:hAnsi="Times New Roman" w:eastAsia="宋体" w:cs="Times New Roman"/>
          <w:kern w:val="0"/>
          <w:szCs w:val="20"/>
        </w:rPr>
        <w:t>根据使用仪器的功能，区域可适当合并。如使用基因测序仪或荧光原位杂交仪，试剂准备区、标本制备区、扩增区、扩增产物分析区必须独立存在；如使用实时荧光PCR仪，扩增区、扩增产物分析区可合并；如使用样本处</w:t>
      </w:r>
      <w:r>
        <w:rPr>
          <w:rFonts w:hint="eastAsia" w:ascii="宋体" w:hAnsi="Times New Roman" w:eastAsia="宋体" w:cs="Times New Roman"/>
          <w:kern w:val="0"/>
          <w:szCs w:val="20"/>
        </w:rPr>
        <w:t>理、核酸提取及扩增检测为一体的自动化分析仪，则标本制备区、扩增区、扩增产物分析区可合并。</w:t>
      </w:r>
    </w:p>
    <w:p w14:paraId="16F34CFD">
      <w:pPr>
        <w:pStyle w:val="29"/>
        <w:numPr>
          <w:ilvl w:val="0"/>
          <w:numId w:val="0"/>
        </w:numPr>
      </w:pPr>
      <w:r>
        <w:rPr>
          <w:rFonts w:hint="eastAsia"/>
        </w:rPr>
        <w:t>6.3</w:t>
      </w:r>
      <w:r>
        <w:t xml:space="preserve"> </w:t>
      </w:r>
      <w:r>
        <w:rPr>
          <w:rFonts w:hint="eastAsia"/>
        </w:rPr>
        <w:t>设施设备与试剂</w:t>
      </w:r>
    </w:p>
    <w:p w14:paraId="0EDD3D23">
      <w:pPr>
        <w:pStyle w:val="29"/>
        <w:numPr>
          <w:ilvl w:val="0"/>
          <w:numId w:val="0"/>
        </w:numPr>
      </w:pPr>
      <w:r>
        <w:rPr>
          <w:rFonts w:hint="eastAsia"/>
        </w:rPr>
        <w:t>6.3.1 设施</w:t>
      </w:r>
    </w:p>
    <w:p w14:paraId="587F162B">
      <w:pPr>
        <w:rPr>
          <w:rFonts w:ascii="宋体" w:hAnsi="Times New Roman" w:eastAsia="宋体" w:cs="Times New Roman"/>
          <w:kern w:val="0"/>
          <w:szCs w:val="20"/>
        </w:rPr>
      </w:pPr>
      <w:r>
        <w:rPr>
          <w:rFonts w:hint="eastAsia" w:ascii="宋体" w:hAnsi="Times New Roman" w:eastAsia="宋体" w:cs="Times New Roman"/>
          <w:kern w:val="0"/>
          <w:szCs w:val="20"/>
        </w:rPr>
        <w:t>基础设施包括但不限于：</w:t>
      </w:r>
    </w:p>
    <w:p w14:paraId="1E826124">
      <w:pPr>
        <w:rPr>
          <w:rFonts w:ascii="Times New Roman" w:hAnsi="Times New Roman" w:eastAsia="宋体" w:cs="Times New Roman"/>
          <w:kern w:val="0"/>
          <w:szCs w:val="20"/>
        </w:rPr>
      </w:pPr>
      <w:r>
        <w:rPr>
          <w:rFonts w:ascii="Times New Roman" w:hAnsi="Times New Roman" w:eastAsia="宋体" w:cs="Times New Roman"/>
          <w:kern w:val="0"/>
          <w:szCs w:val="20"/>
        </w:rPr>
        <w:t>a) 通风系统：负压通风系统；</w:t>
      </w:r>
    </w:p>
    <w:p w14:paraId="0AD55CAD">
      <w:pPr>
        <w:rPr>
          <w:rFonts w:ascii="Times New Roman" w:hAnsi="Times New Roman" w:eastAsia="宋体" w:cs="Times New Roman"/>
          <w:kern w:val="0"/>
          <w:szCs w:val="20"/>
        </w:rPr>
      </w:pPr>
      <w:r>
        <w:rPr>
          <w:rFonts w:ascii="Times New Roman" w:hAnsi="Times New Roman" w:eastAsia="宋体" w:cs="Times New Roman"/>
          <w:kern w:val="0"/>
          <w:szCs w:val="20"/>
        </w:rPr>
        <w:t>b) 操作台：中央实验台、边台实验台、洗涤台；</w:t>
      </w:r>
    </w:p>
    <w:p w14:paraId="36510DF9">
      <w:pPr>
        <w:rPr>
          <w:rFonts w:ascii="Times New Roman" w:hAnsi="Times New Roman" w:eastAsia="宋体" w:cs="Times New Roman"/>
          <w:kern w:val="0"/>
          <w:szCs w:val="20"/>
        </w:rPr>
      </w:pPr>
      <w:r>
        <w:rPr>
          <w:rFonts w:ascii="Times New Roman" w:hAnsi="Times New Roman" w:eastAsia="宋体" w:cs="Times New Roman"/>
          <w:kern w:val="0"/>
          <w:szCs w:val="20"/>
        </w:rPr>
        <w:t>c) 洁净设备：超净工作台、生物安全柜、不锈钢传递窗；</w:t>
      </w:r>
    </w:p>
    <w:p w14:paraId="5E91DAFA">
      <w:pPr>
        <w:rPr>
          <w:rFonts w:ascii="Times New Roman" w:hAnsi="Times New Roman" w:eastAsia="宋体" w:cs="Times New Roman"/>
          <w:kern w:val="0"/>
          <w:szCs w:val="20"/>
        </w:rPr>
      </w:pPr>
      <w:r>
        <w:rPr>
          <w:rFonts w:ascii="Times New Roman" w:hAnsi="Times New Roman" w:eastAsia="宋体" w:cs="Times New Roman"/>
          <w:kern w:val="0"/>
          <w:szCs w:val="20"/>
        </w:rPr>
        <w:t>d) 水斗系列：洗眼器、紧急冲淋器、实验室专用水龙头；</w:t>
      </w:r>
    </w:p>
    <w:p w14:paraId="1C8A9AA4">
      <w:pPr>
        <w:rPr>
          <w:rFonts w:ascii="宋体" w:hAnsi="Times New Roman" w:eastAsia="宋体" w:cs="Times New Roman"/>
          <w:kern w:val="0"/>
          <w:szCs w:val="20"/>
        </w:rPr>
      </w:pPr>
      <w:r>
        <w:rPr>
          <w:rFonts w:ascii="Times New Roman" w:hAnsi="Times New Roman" w:eastAsia="宋体" w:cs="Times New Roman"/>
          <w:kern w:val="0"/>
          <w:szCs w:val="20"/>
        </w:rPr>
        <w:t>e) 安全设施：灭</w:t>
      </w:r>
      <w:r>
        <w:rPr>
          <w:rFonts w:hint="eastAsia" w:ascii="宋体" w:hAnsi="Times New Roman" w:eastAsia="宋体" w:cs="Times New Roman"/>
          <w:kern w:val="0"/>
          <w:szCs w:val="20"/>
        </w:rPr>
        <w:t>火器、消防栓、防火毯、消防沙箱。</w:t>
      </w:r>
    </w:p>
    <w:p w14:paraId="0C5B35B0">
      <w:pPr>
        <w:pStyle w:val="29"/>
        <w:numPr>
          <w:ilvl w:val="0"/>
          <w:numId w:val="0"/>
        </w:numPr>
        <w:rPr>
          <w:rFonts w:ascii="Times New Roman" w:eastAsia="宋体"/>
          <w:color w:val="000000" w:themeColor="text1"/>
          <w14:textFill>
            <w14:solidFill>
              <w14:schemeClr w14:val="tx1"/>
            </w14:solidFill>
          </w14:textFill>
        </w:rPr>
      </w:pPr>
      <w:r>
        <w:t>6.3.2</w:t>
      </w:r>
      <w:r>
        <w:rPr>
          <w:rFonts w:ascii="Times New Roman"/>
        </w:rPr>
        <w:t xml:space="preserve"> 设备 </w:t>
      </w:r>
    </w:p>
    <w:p w14:paraId="22274594">
      <w:pPr>
        <w:rPr>
          <w:rFonts w:ascii="Times New Roman" w:hAnsi="Times New Roman" w:eastAsia="宋体" w:cs="Times New Roman"/>
          <w:kern w:val="0"/>
          <w:szCs w:val="20"/>
        </w:rPr>
      </w:pPr>
      <w:r>
        <w:rPr>
          <w:rFonts w:ascii="Times New Roman" w:hAnsi="Times New Roman" w:eastAsia="宋体" w:cs="Times New Roman"/>
          <w:kern w:val="0"/>
          <w:szCs w:val="20"/>
        </w:rPr>
        <w:t>各分区主要设备包括但不限于：</w:t>
      </w:r>
    </w:p>
    <w:p w14:paraId="57A511C9">
      <w:pPr>
        <w:rPr>
          <w:rFonts w:ascii="Times New Roman" w:hAnsi="Times New Roman" w:eastAsia="宋体" w:cs="Times New Roman"/>
          <w:kern w:val="0"/>
          <w:szCs w:val="20"/>
        </w:rPr>
      </w:pPr>
      <w:r>
        <w:rPr>
          <w:rFonts w:ascii="Times New Roman" w:hAnsi="Times New Roman" w:eastAsia="宋体" w:cs="Times New Roman"/>
          <w:kern w:val="0"/>
          <w:szCs w:val="20"/>
        </w:rPr>
        <w:t>a) 试剂准备区：</w:t>
      </w:r>
      <w:r>
        <w:rPr>
          <w:rFonts w:hint="eastAsia" w:ascii="Times New Roman" w:hAnsi="Times New Roman" w:eastAsia="宋体" w:cs="Times New Roman"/>
          <w:kern w:val="0"/>
          <w:szCs w:val="20"/>
        </w:rPr>
        <w:t>如</w:t>
      </w:r>
      <w:r>
        <w:rPr>
          <w:rFonts w:ascii="Times New Roman" w:hAnsi="Times New Roman" w:eastAsia="宋体" w:cs="Times New Roman"/>
          <w:kern w:val="0"/>
          <w:szCs w:val="20"/>
        </w:rPr>
        <w:t>混匀仪，掌</w:t>
      </w:r>
      <w:r>
        <w:rPr>
          <w:rFonts w:hint="eastAsia" w:ascii="Times New Roman" w:hAnsi="Times New Roman" w:eastAsia="宋体" w:cs="Times New Roman"/>
          <w:kern w:val="0"/>
          <w:szCs w:val="20"/>
        </w:rPr>
        <w:t>上</w:t>
      </w:r>
      <w:r>
        <w:rPr>
          <w:rFonts w:ascii="Times New Roman" w:hAnsi="Times New Roman" w:eastAsia="宋体" w:cs="Times New Roman"/>
          <w:kern w:val="0"/>
          <w:szCs w:val="20"/>
        </w:rPr>
        <w:t>离心机等；</w:t>
      </w:r>
    </w:p>
    <w:p w14:paraId="72A82FBF">
      <w:pPr>
        <w:rPr>
          <w:rFonts w:ascii="Times New Roman" w:hAnsi="Times New Roman" w:eastAsia="宋体" w:cs="Times New Roman"/>
          <w:kern w:val="0"/>
          <w:szCs w:val="20"/>
        </w:rPr>
      </w:pPr>
      <w:r>
        <w:rPr>
          <w:rFonts w:ascii="Times New Roman" w:hAnsi="Times New Roman" w:eastAsia="宋体" w:cs="Times New Roman"/>
          <w:kern w:val="0"/>
          <w:szCs w:val="20"/>
        </w:rPr>
        <w:t>b) 标本制备区：</w:t>
      </w:r>
      <w:r>
        <w:rPr>
          <w:rFonts w:hint="eastAsia" w:ascii="Times New Roman" w:hAnsi="Times New Roman" w:eastAsia="宋体" w:cs="Times New Roman"/>
          <w:kern w:val="0"/>
          <w:szCs w:val="20"/>
        </w:rPr>
        <w:t>如</w:t>
      </w:r>
      <w:r>
        <w:rPr>
          <w:rFonts w:ascii="Times New Roman" w:hAnsi="Times New Roman" w:eastAsia="宋体" w:cs="Times New Roman"/>
          <w:kern w:val="0"/>
          <w:szCs w:val="20"/>
        </w:rPr>
        <w:t>核酸提取仪、全自动核酸分析系统、医用冰箱等；</w:t>
      </w:r>
    </w:p>
    <w:p w14:paraId="14679E0D">
      <w:pPr>
        <w:rPr>
          <w:rFonts w:ascii="Times New Roman" w:hAnsi="Times New Roman" w:eastAsia="宋体" w:cs="Times New Roman"/>
          <w:kern w:val="0"/>
          <w:szCs w:val="20"/>
        </w:rPr>
      </w:pPr>
      <w:r>
        <w:rPr>
          <w:rFonts w:ascii="Times New Roman" w:hAnsi="Times New Roman" w:eastAsia="宋体" w:cs="Times New Roman"/>
          <w:kern w:val="0"/>
          <w:szCs w:val="20"/>
        </w:rPr>
        <w:t>c) 扩增</w:t>
      </w:r>
      <w:r>
        <w:rPr>
          <w:rFonts w:hint="eastAsia" w:ascii="Times New Roman" w:hAnsi="Times New Roman" w:eastAsia="宋体" w:cs="Times New Roman"/>
          <w:kern w:val="0"/>
          <w:szCs w:val="20"/>
        </w:rPr>
        <w:t>区：如基因扩增仪，荧光定量PCR仪等；</w:t>
      </w:r>
    </w:p>
    <w:p w14:paraId="393CA986">
      <w:pPr>
        <w:rPr>
          <w:rFonts w:ascii="Times New Roman" w:hAnsi="Times New Roman" w:eastAsia="宋体" w:cs="Times New Roman"/>
          <w:kern w:val="0"/>
          <w:szCs w:val="20"/>
        </w:rPr>
      </w:pPr>
      <w:r>
        <w:rPr>
          <w:rFonts w:hint="eastAsia" w:ascii="Times New Roman" w:hAnsi="Times New Roman" w:eastAsia="宋体" w:cs="Times New Roman"/>
          <w:kern w:val="0"/>
          <w:szCs w:val="20"/>
        </w:rPr>
        <w:t>d）扩增</w:t>
      </w:r>
      <w:r>
        <w:rPr>
          <w:rFonts w:ascii="Times New Roman" w:hAnsi="Times New Roman" w:eastAsia="宋体" w:cs="Times New Roman"/>
          <w:kern w:val="0"/>
          <w:szCs w:val="20"/>
        </w:rPr>
        <w:t>产物分析区：如</w:t>
      </w:r>
      <w:r>
        <w:rPr>
          <w:rFonts w:hint="eastAsia" w:ascii="Times New Roman" w:hAnsi="Times New Roman" w:eastAsia="宋体" w:cs="Times New Roman"/>
          <w:kern w:val="0"/>
          <w:szCs w:val="20"/>
        </w:rPr>
        <w:t>杂交仪，基因测序仪</w:t>
      </w:r>
      <w:r>
        <w:rPr>
          <w:rFonts w:ascii="Times New Roman" w:hAnsi="Times New Roman" w:eastAsia="宋体" w:cs="Times New Roman"/>
          <w:kern w:val="0"/>
          <w:szCs w:val="20"/>
        </w:rPr>
        <w:t>等。</w:t>
      </w:r>
    </w:p>
    <w:p w14:paraId="67404C53">
      <w:pPr>
        <w:rPr>
          <w:rFonts w:ascii="宋体" w:hAnsi="Times New Roman" w:eastAsia="宋体" w:cs="Times New Roman"/>
          <w:kern w:val="0"/>
          <w:szCs w:val="20"/>
        </w:rPr>
      </w:pPr>
      <w:r>
        <w:rPr>
          <w:rFonts w:ascii="Times New Roman" w:hAnsi="Times New Roman" w:eastAsia="宋体" w:cs="Times New Roman"/>
          <w:kern w:val="0"/>
          <w:szCs w:val="20"/>
        </w:rPr>
        <w:t>注：根据使用仪器功能，区域适当合并的实验室，保证仪器设备符合实验室功能基本需求，设备类型及数量与检测平台及服</w:t>
      </w:r>
      <w:r>
        <w:rPr>
          <w:rFonts w:hint="eastAsia" w:ascii="宋体" w:hAnsi="Times New Roman" w:eastAsia="宋体" w:cs="Times New Roman"/>
          <w:kern w:val="0"/>
          <w:szCs w:val="20"/>
        </w:rPr>
        <w:t>务量相适应。设备列表可参见附录A。</w:t>
      </w:r>
    </w:p>
    <w:p w14:paraId="28BCF368">
      <w:pPr>
        <w:pStyle w:val="29"/>
        <w:numPr>
          <w:ilvl w:val="0"/>
          <w:numId w:val="0"/>
        </w:numPr>
      </w:pPr>
      <w:r>
        <w:rPr>
          <w:rFonts w:hint="eastAsia"/>
        </w:rPr>
        <w:t>6.3.3 试剂</w:t>
      </w:r>
    </w:p>
    <w:p w14:paraId="73D29BCB">
      <w:pPr>
        <w:rPr>
          <w:rFonts w:ascii="Times New Roman" w:hAnsi="Times New Roman" w:eastAsia="宋体"/>
          <w:color w:val="000000" w:themeColor="text1"/>
          <w14:textFill>
            <w14:solidFill>
              <w14:schemeClr w14:val="tx1"/>
            </w14:solidFill>
          </w14:textFill>
        </w:rPr>
      </w:pPr>
      <w:r>
        <w:rPr>
          <w:rFonts w:hint="eastAsia" w:ascii="Times New Roman" w:hAnsi="Times New Roman" w:eastAsia="宋体"/>
          <w:color w:val="000000" w:themeColor="text1"/>
          <w14:textFill>
            <w14:solidFill>
              <w14:schemeClr w14:val="tx1"/>
            </w14:solidFill>
          </w14:textFill>
        </w:rPr>
        <w:t>包括但不限于：</w:t>
      </w:r>
    </w:p>
    <w:p w14:paraId="71AFB1BB">
      <w:pPr>
        <w:rPr>
          <w:rFonts w:ascii="Times New Roman" w:hAnsi="Times New Roman" w:eastAsia="宋体"/>
          <w:color w:val="000000" w:themeColor="text1"/>
          <w14:textFill>
            <w14:solidFill>
              <w14:schemeClr w14:val="tx1"/>
            </w14:solidFill>
          </w14:textFill>
        </w:rPr>
      </w:pPr>
      <w:r>
        <w:rPr>
          <w:rFonts w:hint="eastAsia" w:ascii="Times New Roman" w:hAnsi="Times New Roman" w:eastAsia="宋体"/>
          <w:color w:val="000000" w:themeColor="text1"/>
          <w14:textFill>
            <w14:solidFill>
              <w14:schemeClr w14:val="tx1"/>
            </w14:solidFill>
          </w14:textFill>
        </w:rPr>
        <w:t>——提取样本核酸的试剂；</w:t>
      </w:r>
    </w:p>
    <w:p w14:paraId="7C423DDA">
      <w:pPr>
        <w:rPr>
          <w:rFonts w:ascii="Times New Roman" w:hAnsi="Times New Roman" w:eastAsia="宋体"/>
          <w:color w:val="000000" w:themeColor="text1"/>
          <w14:textFill>
            <w14:solidFill>
              <w14:schemeClr w14:val="tx1"/>
            </w14:solidFill>
          </w14:textFill>
        </w:rPr>
      </w:pPr>
      <w:r>
        <w:rPr>
          <w:rFonts w:hint="eastAsia" w:ascii="Times New Roman" w:hAnsi="Times New Roman" w:eastAsia="宋体"/>
          <w:color w:val="000000" w:themeColor="text1"/>
          <w14:textFill>
            <w14:solidFill>
              <w14:schemeClr w14:val="tx1"/>
            </w14:solidFill>
          </w14:textFill>
        </w:rPr>
        <w:t>——目标基因扩增及检测的试剂；</w:t>
      </w:r>
    </w:p>
    <w:p w14:paraId="144BDC31">
      <w:pPr>
        <w:rPr>
          <w:rFonts w:ascii="Times New Roman" w:hAnsi="Times New Roman" w:eastAsia="宋体"/>
          <w:color w:val="000000" w:themeColor="text1"/>
          <w14:textFill>
            <w14:solidFill>
              <w14:schemeClr w14:val="tx1"/>
            </w14:solidFill>
          </w14:textFill>
        </w:rPr>
      </w:pPr>
      <w:r>
        <w:rPr>
          <w:rFonts w:hint="eastAsia" w:ascii="Times New Roman" w:hAnsi="Times New Roman" w:eastAsia="宋体"/>
          <w:color w:val="000000" w:themeColor="text1"/>
          <w14:textFill>
            <w14:solidFill>
              <w14:schemeClr w14:val="tx1"/>
            </w14:solidFill>
          </w14:textFill>
        </w:rPr>
        <w:t>注：药物基因检测相关试剂应符合医疗器械注册管理要求。</w:t>
      </w:r>
    </w:p>
    <w:p w14:paraId="3D4B115A">
      <w:pPr>
        <w:pStyle w:val="29"/>
        <w:numPr>
          <w:ilvl w:val="0"/>
          <w:numId w:val="0"/>
        </w:numPr>
      </w:pPr>
      <w:r>
        <w:t>6.</w:t>
      </w:r>
      <w:r>
        <w:rPr>
          <w:rFonts w:hint="eastAsia"/>
        </w:rPr>
        <w:t xml:space="preserve">4 信息系统 </w:t>
      </w:r>
    </w:p>
    <w:p w14:paraId="03E58377">
      <w:pPr>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应配备标本检验管理系统和实验室管理系统：</w:t>
      </w:r>
    </w:p>
    <w:p w14:paraId="16F11093">
      <w:pPr>
        <w:numPr>
          <w:ilvl w:val="0"/>
          <w:numId w:val="5"/>
        </w:numPr>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标本检验管理系统具备样本的核收、信息采集、质量控制、管理报告生成、数据查询及统计分析等功能；</w:t>
      </w:r>
    </w:p>
    <w:p w14:paraId="39158E8D">
      <w:pPr>
        <w:numPr>
          <w:ilvl w:val="0"/>
          <w:numId w:val="5"/>
        </w:numPr>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实验室管理系统具备实验室技术人员操作权限的管理、人员档案管理、设备使用与维护、耗材储存管理以及数据备份等功能</w:t>
      </w:r>
      <w:r>
        <w:rPr>
          <w:rFonts w:hint="eastAsia" w:ascii="Times New Roman" w:hAnsi="Times New Roman" w:eastAsia="宋体" w:cs="Times New Roman"/>
          <w:color w:val="000000" w:themeColor="text1"/>
          <w14:textFill>
            <w14:solidFill>
              <w14:schemeClr w14:val="tx1"/>
            </w14:solidFill>
          </w14:textFill>
        </w:rPr>
        <w:t>；</w:t>
      </w:r>
    </w:p>
    <w:p w14:paraId="4DB06AB1">
      <w:pPr>
        <w:numPr>
          <w:ilvl w:val="0"/>
          <w:numId w:val="5"/>
        </w:numPr>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应与HIS实现对接。</w:t>
      </w:r>
    </w:p>
    <w:p w14:paraId="2D9FF92E">
      <w:pPr>
        <w:pStyle w:val="29"/>
        <w:numPr>
          <w:ilvl w:val="0"/>
          <w:numId w:val="0"/>
        </w:numPr>
      </w:pPr>
      <w:r>
        <w:rPr>
          <w:rFonts w:hint="eastAsia"/>
        </w:rPr>
        <w:t>6.5 人员</w:t>
      </w:r>
    </w:p>
    <w:p w14:paraId="6D2713EE">
      <w:pPr>
        <w:numPr>
          <w:ilvl w:val="255"/>
          <w:numId w:val="0"/>
        </w:numPr>
        <w:rPr>
          <w:rFonts w:ascii="Times New Roman" w:hAnsi="Times New Roman" w:eastAsia="宋体" w:cs="Times New Roman"/>
          <w:color w:val="000000" w:themeColor="text1"/>
          <w14:textFill>
            <w14:solidFill>
              <w14:schemeClr w14:val="tx1"/>
            </w14:solidFill>
          </w14:textFill>
        </w:rPr>
      </w:pPr>
      <w:r>
        <w:rPr>
          <w:rFonts w:hint="eastAsia" w:ascii="黑体" w:hAnsi="Times New Roman" w:eastAsia="黑体" w:cs="Times New Roman"/>
          <w:kern w:val="0"/>
          <w:szCs w:val="20"/>
        </w:rPr>
        <w:t xml:space="preserve">6.5.1 </w:t>
      </w:r>
      <w:r>
        <w:rPr>
          <w:rFonts w:ascii="Times New Roman" w:hAnsi="Times New Roman" w:eastAsia="宋体" w:cs="Times New Roman"/>
          <w:color w:val="000000" w:themeColor="text1"/>
          <w14:textFill>
            <w14:solidFill>
              <w14:schemeClr w14:val="tx1"/>
            </w14:solidFill>
          </w14:textFill>
        </w:rPr>
        <w:t>应具有</w:t>
      </w:r>
      <w:r>
        <w:rPr>
          <w:rFonts w:hint="eastAsia" w:ascii="Times New Roman" w:hAnsi="Times New Roman" w:eastAsia="宋体" w:cs="Times New Roman"/>
          <w:color w:val="000000" w:themeColor="text1"/>
          <w14:textFill>
            <w14:solidFill>
              <w14:schemeClr w14:val="tx1"/>
            </w14:solidFill>
          </w14:textFill>
        </w:rPr>
        <w:t>药学或生物医学等相关</w:t>
      </w:r>
      <w:r>
        <w:rPr>
          <w:rFonts w:ascii="Times New Roman" w:hAnsi="Times New Roman" w:eastAsia="宋体" w:cs="Times New Roman"/>
          <w:color w:val="000000" w:themeColor="text1"/>
          <w14:textFill>
            <w14:solidFill>
              <w14:schemeClr w14:val="tx1"/>
            </w14:solidFill>
          </w14:textFill>
        </w:rPr>
        <w:t>专业</w:t>
      </w:r>
      <w:r>
        <w:rPr>
          <w:rFonts w:hint="eastAsia" w:ascii="Times New Roman" w:hAnsi="Times New Roman" w:eastAsia="宋体" w:cs="Times New Roman"/>
          <w:color w:val="000000" w:themeColor="text1"/>
          <w14:textFill>
            <w14:solidFill>
              <w14:schemeClr w14:val="tx1"/>
            </w14:solidFill>
          </w14:textFill>
        </w:rPr>
        <w:t>知识背景，及相应的专业技术岗位任职资格；</w:t>
      </w:r>
    </w:p>
    <w:p w14:paraId="0F347079">
      <w:pPr>
        <w:numPr>
          <w:ilvl w:val="255"/>
          <w:numId w:val="0"/>
        </w:numPr>
        <w:rPr>
          <w:rFonts w:ascii="Times New Roman" w:hAnsi="Times New Roman" w:eastAsia="宋体" w:cs="Times New Roman"/>
          <w:color w:val="000000" w:themeColor="text1"/>
          <w14:textFill>
            <w14:solidFill>
              <w14:schemeClr w14:val="tx1"/>
            </w14:solidFill>
          </w14:textFill>
        </w:rPr>
      </w:pPr>
      <w:r>
        <w:rPr>
          <w:rFonts w:hint="eastAsia" w:ascii="黑体" w:hAnsi="Times New Roman" w:eastAsia="黑体" w:cs="Times New Roman"/>
          <w:kern w:val="0"/>
          <w:szCs w:val="20"/>
        </w:rPr>
        <w:t xml:space="preserve">6.5.2 </w:t>
      </w:r>
      <w:r>
        <w:rPr>
          <w:rFonts w:hint="eastAsia" w:ascii="Times New Roman" w:hAnsi="Times New Roman" w:eastAsia="宋体" w:cs="Times New Roman"/>
          <w:color w:val="000000" w:themeColor="text1"/>
          <w14:textFill>
            <w14:solidFill>
              <w14:schemeClr w14:val="tx1"/>
            </w14:solidFill>
          </w14:textFill>
        </w:rPr>
        <w:t>应通过卫生行政部门指定机构组织的相关培训考核，并定期参加相关技术培训。</w:t>
      </w:r>
    </w:p>
    <w:p w14:paraId="69CB91B8">
      <w:pPr>
        <w:pStyle w:val="29"/>
        <w:numPr>
          <w:ilvl w:val="0"/>
          <w:numId w:val="0"/>
        </w:numPr>
      </w:pPr>
      <w:r>
        <w:rPr>
          <w:rFonts w:hint="eastAsia"/>
        </w:rPr>
        <w:t>6.6 管理制度</w:t>
      </w:r>
    </w:p>
    <w:p w14:paraId="41A22FC9">
      <w:pPr>
        <w:rPr>
          <w:rFonts w:hint="eastAsia" w:ascii="宋体" w:hAnsi="宋体" w:eastAsia="宋体"/>
          <w:bCs/>
          <w:szCs w:val="21"/>
        </w:rPr>
      </w:pPr>
      <w:r>
        <w:rPr>
          <w:rFonts w:hint="eastAsia" w:ascii="黑体" w:hAnsi="Times New Roman" w:eastAsia="黑体" w:cs="Times New Roman"/>
          <w:kern w:val="0"/>
          <w:szCs w:val="20"/>
        </w:rPr>
        <w:t xml:space="preserve">6.6.1 人事管理  </w:t>
      </w:r>
      <w:r>
        <w:rPr>
          <w:rFonts w:hint="eastAsia" w:ascii="宋体" w:hAnsi="宋体" w:eastAsia="宋体"/>
          <w:bCs/>
          <w:szCs w:val="21"/>
        </w:rPr>
        <w:t>应建立考勤、交接班及节假日值班管理制度；</w:t>
      </w:r>
    </w:p>
    <w:p w14:paraId="06101A19">
      <w:pPr>
        <w:rPr>
          <w:rFonts w:hint="eastAsia" w:ascii="宋体" w:hAnsi="宋体" w:eastAsia="宋体"/>
          <w:bCs/>
          <w:szCs w:val="21"/>
        </w:rPr>
      </w:pPr>
      <w:r>
        <w:rPr>
          <w:rFonts w:hint="eastAsia" w:ascii="黑体" w:hAnsi="Times New Roman" w:eastAsia="黑体" w:cs="Times New Roman"/>
          <w:kern w:val="0"/>
          <w:szCs w:val="20"/>
        </w:rPr>
        <w:t>6.6.2 岗位管理</w:t>
      </w:r>
      <w:r>
        <w:rPr>
          <w:rFonts w:hint="eastAsia" w:ascii="宋体" w:hAnsi="宋体" w:eastAsia="宋体"/>
          <w:bCs/>
          <w:szCs w:val="21"/>
        </w:rPr>
        <w:t xml:space="preserve">  应建立员工岗位职责及管理规范；</w:t>
      </w:r>
    </w:p>
    <w:p w14:paraId="32C5F006">
      <w:pPr>
        <w:rPr>
          <w:rFonts w:hint="eastAsia" w:ascii="宋体" w:hAnsi="宋体" w:eastAsia="宋体"/>
          <w:bCs/>
          <w:szCs w:val="21"/>
        </w:rPr>
      </w:pPr>
      <w:r>
        <w:rPr>
          <w:rFonts w:hint="eastAsia" w:ascii="黑体" w:hAnsi="Times New Roman" w:eastAsia="黑体" w:cs="Times New Roman"/>
          <w:kern w:val="0"/>
          <w:szCs w:val="20"/>
        </w:rPr>
        <w:t>6.6.3 档案管理</w:t>
      </w:r>
      <w:r>
        <w:rPr>
          <w:rFonts w:hint="eastAsia" w:ascii="宋体" w:hAnsi="宋体" w:eastAsia="宋体"/>
          <w:bCs/>
          <w:szCs w:val="21"/>
        </w:rPr>
        <w:t xml:space="preserve">  应建立药物基因检测实验相关程序文件、SOP文件、实验报告等档案的管理制度；</w:t>
      </w:r>
    </w:p>
    <w:p w14:paraId="1A25DEB6">
      <w:pPr>
        <w:rPr>
          <w:rFonts w:hint="eastAsia" w:ascii="宋体" w:hAnsi="宋体" w:eastAsia="宋体"/>
          <w:bCs/>
          <w:szCs w:val="21"/>
        </w:rPr>
      </w:pPr>
      <w:r>
        <w:rPr>
          <w:rFonts w:hint="eastAsia" w:ascii="黑体" w:hAnsi="Times New Roman" w:eastAsia="黑体" w:cs="Times New Roman"/>
          <w:kern w:val="0"/>
          <w:szCs w:val="20"/>
        </w:rPr>
        <w:t xml:space="preserve">6.6.4 设施设备及试剂管理 </w:t>
      </w:r>
      <w:r>
        <w:rPr>
          <w:rFonts w:hint="eastAsia" w:ascii="宋体" w:hAnsi="宋体" w:eastAsia="宋体"/>
          <w:bCs/>
          <w:szCs w:val="21"/>
        </w:rPr>
        <w:t xml:space="preserve"> 应建立设施设备运行、维护相关</w:t>
      </w:r>
      <w:r>
        <w:rPr>
          <w:rFonts w:hint="eastAsia" w:ascii="宋体" w:hAnsi="宋体" w:eastAsia="宋体"/>
          <w:bCs/>
          <w:szCs w:val="21"/>
          <w:lang w:eastAsia="zh-CN"/>
        </w:rPr>
        <w:t>管理制度</w:t>
      </w:r>
      <w:r>
        <w:rPr>
          <w:rFonts w:hint="eastAsia" w:ascii="宋体" w:hAnsi="宋体" w:eastAsia="宋体"/>
          <w:bCs/>
          <w:szCs w:val="21"/>
        </w:rPr>
        <w:t>，试剂入库、存储及使用管理制度。</w:t>
      </w:r>
    </w:p>
    <w:p w14:paraId="39DDB493">
      <w:pPr>
        <w:rPr>
          <w:rFonts w:hint="eastAsia" w:ascii="宋体" w:hAnsi="宋体" w:eastAsia="宋体"/>
          <w:bCs/>
          <w:szCs w:val="21"/>
        </w:rPr>
      </w:pPr>
      <w:r>
        <w:rPr>
          <w:rFonts w:hint="eastAsia" w:ascii="黑体" w:hAnsi="Times New Roman" w:eastAsia="黑体" w:cs="Times New Roman"/>
          <w:kern w:val="0"/>
          <w:szCs w:val="20"/>
        </w:rPr>
        <w:t>6.6.5 信息管理</w:t>
      </w:r>
      <w:r>
        <w:rPr>
          <w:rFonts w:hint="eastAsia" w:ascii="宋体" w:hAnsi="宋体" w:eastAsia="宋体"/>
          <w:bCs/>
          <w:szCs w:val="21"/>
        </w:rPr>
        <w:t xml:space="preserve">  应配备临床实验室信息系统相关的检验管理、报告管理及质控管理制度。</w:t>
      </w:r>
    </w:p>
    <w:p w14:paraId="096537AF">
      <w:pPr>
        <w:rPr>
          <w:rFonts w:hint="eastAsia" w:ascii="宋体" w:hAnsi="宋体" w:eastAsia="宋体"/>
          <w:bCs/>
          <w:szCs w:val="21"/>
        </w:rPr>
      </w:pPr>
      <w:r>
        <w:rPr>
          <w:rFonts w:hint="eastAsia" w:ascii="黑体" w:hAnsi="Times New Roman" w:eastAsia="黑体" w:cs="Times New Roman"/>
          <w:kern w:val="0"/>
          <w:szCs w:val="20"/>
        </w:rPr>
        <w:t>6.6.6 安全管理</w:t>
      </w:r>
      <w:r>
        <w:rPr>
          <w:rFonts w:hint="eastAsia" w:ascii="宋体" w:hAnsi="宋体" w:eastAsia="宋体"/>
          <w:bCs/>
          <w:szCs w:val="21"/>
        </w:rPr>
        <w:t xml:space="preserve">  应建立实验室生物安全，危险化学品安全，设施设备操作安全，消防安全及信息安全等相关管理制度，医疗废弃物处理应符合《医疗废物管理条例》和《医疗卫生机构医疗废物管理办法》的要求。</w:t>
      </w:r>
    </w:p>
    <w:p w14:paraId="3749FE96">
      <w:pPr>
        <w:rPr>
          <w:rFonts w:hint="eastAsia" w:ascii="宋体" w:hAnsi="宋体" w:eastAsia="宋体"/>
          <w:bCs/>
          <w:szCs w:val="21"/>
        </w:rPr>
      </w:pPr>
    </w:p>
    <w:p w14:paraId="7D135990">
      <w:pPr>
        <w:pStyle w:val="29"/>
        <w:numPr>
          <w:ilvl w:val="0"/>
          <w:numId w:val="0"/>
        </w:numPr>
      </w:pPr>
      <w:r>
        <w:rPr>
          <w:rFonts w:hint="eastAsia"/>
        </w:rPr>
        <w:t>6.7安全</w:t>
      </w:r>
    </w:p>
    <w:p w14:paraId="6A5FE7A4">
      <w:pPr>
        <w:widowControl/>
        <w:tabs>
          <w:tab w:val="left" w:pos="1266"/>
        </w:tabs>
        <w:rPr>
          <w:rFonts w:ascii="Times New Roman" w:hAnsi="Times New Roman" w:eastAsia="宋体"/>
        </w:rPr>
      </w:pPr>
      <w:r>
        <w:rPr>
          <w:rFonts w:hint="eastAsia" w:ascii="黑体" w:hAnsi="Times New Roman" w:eastAsia="黑体" w:cs="Times New Roman"/>
          <w:kern w:val="0"/>
          <w:szCs w:val="20"/>
        </w:rPr>
        <w:t xml:space="preserve">6.7.1 生物安全  </w:t>
      </w:r>
      <w:r>
        <w:rPr>
          <w:rFonts w:hint="eastAsia" w:ascii="Times New Roman" w:hAnsi="Times New Roman" w:eastAsia="宋体"/>
        </w:rPr>
        <w:t>生物安全设施及防护应符合</w:t>
      </w:r>
      <w:r>
        <w:rPr>
          <w:rFonts w:ascii="Times New Roman" w:hAnsi="Times New Roman" w:eastAsia="宋体"/>
        </w:rPr>
        <w:t>GB 19489</w:t>
      </w:r>
      <w:r>
        <w:rPr>
          <w:rFonts w:hint="eastAsia" w:ascii="Times New Roman" w:hAnsi="Times New Roman" w:eastAsia="宋体"/>
        </w:rPr>
        <w:t>的要求，实验室应满足生物安全实验室二级标准。</w:t>
      </w:r>
    </w:p>
    <w:p w14:paraId="7C466201">
      <w:pPr>
        <w:widowControl/>
        <w:tabs>
          <w:tab w:val="left" w:pos="1266"/>
        </w:tabs>
        <w:rPr>
          <w:rFonts w:ascii="Times New Roman" w:hAnsi="Times New Roman" w:eastAsia="宋体"/>
        </w:rPr>
      </w:pPr>
      <w:r>
        <w:rPr>
          <w:rFonts w:hint="eastAsia" w:ascii="黑体" w:hAnsi="Times New Roman" w:eastAsia="黑体" w:cs="Times New Roman"/>
          <w:kern w:val="0"/>
          <w:szCs w:val="20"/>
        </w:rPr>
        <w:t xml:space="preserve">6.7.2 设施设备安全  </w:t>
      </w:r>
      <w:r>
        <w:rPr>
          <w:rFonts w:hint="eastAsia" w:ascii="Times New Roman" w:hAnsi="Times New Roman" w:eastAsia="宋体"/>
        </w:rPr>
        <w:t>设备安装、调试要按照标准要求操作，并且定期进行校准。所有仪器设备应有明显标识，包括仪器设备管理标识和状态标识。若仪器设备出现故障，应立即停止使用，并加上故障标识。故障修复后的设备必须经校准</w:t>
      </w:r>
      <w:r>
        <w:rPr>
          <w:rFonts w:ascii="Times New Roman" w:hAnsi="Times New Roman" w:eastAsia="宋体"/>
        </w:rPr>
        <w:t>/</w:t>
      </w:r>
      <w:r>
        <w:rPr>
          <w:rFonts w:hint="eastAsia" w:ascii="Times New Roman" w:hAnsi="Times New Roman" w:eastAsia="宋体"/>
        </w:rPr>
        <w:t>检定（验证）或检测，满足要求后方能再次投入使用，并留存相应记录。</w:t>
      </w:r>
    </w:p>
    <w:p w14:paraId="0E0631BE">
      <w:pPr>
        <w:widowControl/>
        <w:tabs>
          <w:tab w:val="left" w:pos="1266"/>
        </w:tabs>
        <w:rPr>
          <w:rFonts w:ascii="Times New Roman" w:hAnsi="Times New Roman" w:eastAsia="宋体"/>
        </w:rPr>
      </w:pPr>
      <w:r>
        <w:rPr>
          <w:rFonts w:hint="eastAsia" w:ascii="黑体" w:hAnsi="Times New Roman" w:eastAsia="黑体" w:cs="Times New Roman"/>
          <w:kern w:val="0"/>
          <w:szCs w:val="20"/>
        </w:rPr>
        <w:t xml:space="preserve">6.7.3 人员安全  </w:t>
      </w:r>
      <w:r>
        <w:rPr>
          <w:rFonts w:hint="eastAsia" w:ascii="Times New Roman" w:hAnsi="Times New Roman" w:eastAsia="宋体"/>
        </w:rPr>
        <w:t>应熟练掌握实验室安全应急预案及处理办法，实验操作中应完全按照SOP规范操作，完善进出登记，与实验无关的人员不得随意进出。</w:t>
      </w:r>
    </w:p>
    <w:p w14:paraId="0A60EA0B">
      <w:pPr>
        <w:widowControl/>
        <w:tabs>
          <w:tab w:val="left" w:pos="1266"/>
        </w:tabs>
        <w:rPr>
          <w:rFonts w:ascii="Times New Roman" w:hAnsi="Times New Roman" w:eastAsia="宋体"/>
        </w:rPr>
      </w:pPr>
      <w:r>
        <w:rPr>
          <w:rFonts w:hint="eastAsia" w:ascii="黑体" w:hAnsi="Times New Roman" w:eastAsia="黑体" w:cs="Times New Roman"/>
          <w:kern w:val="0"/>
          <w:szCs w:val="20"/>
        </w:rPr>
        <w:t xml:space="preserve">6.7.4 消防安全  </w:t>
      </w:r>
      <w:r>
        <w:rPr>
          <w:rFonts w:hint="eastAsia" w:ascii="Times New Roman" w:hAnsi="Times New Roman" w:eastAsia="宋体"/>
        </w:rPr>
        <w:t>消防设施应符合</w:t>
      </w:r>
      <w:r>
        <w:rPr>
          <w:rFonts w:ascii="Times New Roman" w:hAnsi="Times New Roman" w:eastAsia="宋体"/>
        </w:rPr>
        <w:t>GB50016</w:t>
      </w:r>
      <w:r>
        <w:rPr>
          <w:rFonts w:hint="eastAsia" w:ascii="Times New Roman" w:hAnsi="Times New Roman" w:eastAsia="宋体"/>
        </w:rPr>
        <w:t>的规定。应在明显位置张贴实验室平面图，标注逃生路线。应张贴用电、用水和防火等安全警示标志。实验室内所有区域内不应吸烟。所有楼层应安装烟感报警器，并配有相应灭火装置。</w:t>
      </w:r>
    </w:p>
    <w:bookmarkEnd w:id="12"/>
    <w:p w14:paraId="42FF6763">
      <w:pPr>
        <w:pStyle w:val="29"/>
        <w:numPr>
          <w:ilvl w:val="0"/>
          <w:numId w:val="0"/>
        </w:numPr>
      </w:pPr>
      <w:bookmarkStart w:id="34" w:name="BookMark6"/>
      <w:r>
        <w:rPr>
          <w:rFonts w:hint="eastAsia"/>
        </w:rPr>
        <w:t>6.8 质量控制</w:t>
      </w:r>
    </w:p>
    <w:p w14:paraId="5B2E0E11">
      <w:pPr>
        <w:rPr>
          <w:rFonts w:ascii="Times New Roman" w:hAnsi="Times New Roman" w:eastAsia="宋体"/>
        </w:rPr>
      </w:pPr>
      <w:r>
        <w:rPr>
          <w:rFonts w:ascii="黑体" w:hAnsi="Times New Roman" w:eastAsia="黑体" w:cs="Times New Roman"/>
          <w:kern w:val="0"/>
          <w:szCs w:val="20"/>
        </w:rPr>
        <w:t>6.</w:t>
      </w:r>
      <w:r>
        <w:rPr>
          <w:rFonts w:hint="eastAsia" w:ascii="黑体" w:hAnsi="Times New Roman" w:eastAsia="黑体" w:cs="Times New Roman"/>
          <w:kern w:val="0"/>
          <w:szCs w:val="20"/>
        </w:rPr>
        <w:t>8</w:t>
      </w:r>
      <w:r>
        <w:rPr>
          <w:rFonts w:ascii="黑体" w:hAnsi="Times New Roman" w:eastAsia="黑体" w:cs="Times New Roman"/>
          <w:kern w:val="0"/>
          <w:szCs w:val="20"/>
        </w:rPr>
        <w:t>.1</w:t>
      </w:r>
      <w:r>
        <w:rPr>
          <w:rFonts w:hint="eastAsia" w:ascii="黑体" w:hAnsi="Times New Roman" w:eastAsia="黑体" w:cs="Times New Roman"/>
          <w:kern w:val="0"/>
          <w:szCs w:val="20"/>
        </w:rPr>
        <w:t xml:space="preserve"> </w:t>
      </w:r>
      <w:r>
        <w:rPr>
          <w:rFonts w:hint="eastAsia" w:ascii="Times New Roman" w:hAnsi="Times New Roman" w:eastAsia="宋体"/>
        </w:rPr>
        <w:t>应建立完善的质量管理体系，对实验室人员、仪器设备、试剂耗材、样本、实验方法、实验环境以及检测能力等进行全面规范、验证和评估。</w:t>
      </w:r>
    </w:p>
    <w:p w14:paraId="10DE787F">
      <w:pPr>
        <w:rPr>
          <w:rFonts w:ascii="Times New Roman" w:hAnsi="Times New Roman" w:eastAsia="宋体"/>
        </w:rPr>
      </w:pPr>
      <w:r>
        <w:rPr>
          <w:rFonts w:ascii="黑体" w:hAnsi="Times New Roman" w:eastAsia="黑体" w:cs="Times New Roman"/>
          <w:kern w:val="0"/>
          <w:szCs w:val="20"/>
        </w:rPr>
        <w:t>6.</w:t>
      </w:r>
      <w:r>
        <w:rPr>
          <w:rFonts w:hint="eastAsia" w:ascii="黑体" w:hAnsi="Times New Roman" w:eastAsia="黑体" w:cs="Times New Roman"/>
          <w:kern w:val="0"/>
          <w:szCs w:val="20"/>
        </w:rPr>
        <w:t>8</w:t>
      </w:r>
      <w:r>
        <w:rPr>
          <w:rFonts w:ascii="黑体" w:hAnsi="Times New Roman" w:eastAsia="黑体" w:cs="Times New Roman"/>
          <w:kern w:val="0"/>
          <w:szCs w:val="20"/>
        </w:rPr>
        <w:t>.2</w:t>
      </w:r>
      <w:r>
        <w:rPr>
          <w:rFonts w:hint="eastAsia" w:ascii="黑体" w:hAnsi="Times New Roman" w:eastAsia="黑体" w:cs="Times New Roman"/>
          <w:kern w:val="0"/>
          <w:szCs w:val="20"/>
        </w:rPr>
        <w:t xml:space="preserve"> </w:t>
      </w:r>
      <w:r>
        <w:rPr>
          <w:rFonts w:hint="eastAsia" w:ascii="Times New Roman" w:hAnsi="Times New Roman" w:eastAsia="宋体"/>
        </w:rPr>
        <w:t>应规范开展质量控制活动，进行室内质控、室间质评等，并对质量进行持续改进。</w:t>
      </w:r>
    </w:p>
    <w:p w14:paraId="41C15D34">
      <w:pPr>
        <w:rPr>
          <w:rFonts w:ascii="Times New Roman" w:hAnsi="Times New Roman" w:eastAsia="宋体"/>
        </w:rPr>
      </w:pPr>
      <w:r>
        <w:rPr>
          <w:rFonts w:ascii="黑体" w:hAnsi="Times New Roman" w:eastAsia="黑体" w:cs="Times New Roman"/>
          <w:kern w:val="0"/>
          <w:szCs w:val="20"/>
        </w:rPr>
        <w:t>6.</w:t>
      </w:r>
      <w:r>
        <w:rPr>
          <w:rFonts w:hint="eastAsia" w:ascii="黑体" w:hAnsi="Times New Roman" w:eastAsia="黑体" w:cs="Times New Roman"/>
          <w:kern w:val="0"/>
          <w:szCs w:val="20"/>
        </w:rPr>
        <w:t>8</w:t>
      </w:r>
      <w:r>
        <w:rPr>
          <w:rFonts w:ascii="黑体" w:hAnsi="Times New Roman" w:eastAsia="黑体" w:cs="Times New Roman"/>
          <w:kern w:val="0"/>
          <w:szCs w:val="20"/>
        </w:rPr>
        <w:t>.3</w:t>
      </w:r>
      <w:r>
        <w:rPr>
          <w:rFonts w:hint="eastAsia" w:ascii="黑体" w:hAnsi="Times New Roman" w:eastAsia="黑体" w:cs="Times New Roman"/>
          <w:kern w:val="0"/>
          <w:szCs w:val="20"/>
        </w:rPr>
        <w:t xml:space="preserve"> </w:t>
      </w:r>
      <w:r>
        <w:rPr>
          <w:rFonts w:hint="eastAsia" w:ascii="Times New Roman" w:hAnsi="Times New Roman" w:eastAsia="宋体"/>
        </w:rPr>
        <w:t>应进行实验过程的质量控制，包括样品的代表性、实验操作的规范性、试剂质量的稳定性等。</w:t>
      </w:r>
    </w:p>
    <w:p w14:paraId="32216F28">
      <w:pPr>
        <w:rPr>
          <w:rFonts w:hint="eastAsia" w:ascii="宋体" w:hAnsi="宋体" w:eastAsia="宋体"/>
          <w:szCs w:val="21"/>
        </w:rPr>
      </w:pPr>
      <w:r>
        <w:rPr>
          <w:rFonts w:ascii="黑体" w:hAnsi="Times New Roman" w:eastAsia="黑体" w:cs="Times New Roman"/>
          <w:kern w:val="0"/>
          <w:szCs w:val="20"/>
        </w:rPr>
        <w:t>6.</w:t>
      </w:r>
      <w:r>
        <w:rPr>
          <w:rFonts w:hint="eastAsia" w:ascii="黑体" w:hAnsi="Times New Roman" w:eastAsia="黑体" w:cs="Times New Roman"/>
          <w:kern w:val="0"/>
          <w:szCs w:val="20"/>
        </w:rPr>
        <w:t>8.</w:t>
      </w:r>
      <w:r>
        <w:rPr>
          <w:rFonts w:ascii="黑体" w:hAnsi="Times New Roman" w:eastAsia="黑体" w:cs="Times New Roman"/>
          <w:kern w:val="0"/>
          <w:szCs w:val="20"/>
        </w:rPr>
        <w:t>4</w:t>
      </w:r>
      <w:r>
        <w:rPr>
          <w:rFonts w:hint="eastAsia" w:ascii="黑体" w:hAnsi="Times New Roman" w:eastAsia="黑体" w:cs="Times New Roman"/>
          <w:kern w:val="0"/>
          <w:szCs w:val="20"/>
        </w:rPr>
        <w:t xml:space="preserve"> </w:t>
      </w:r>
      <w:r>
        <w:rPr>
          <w:rFonts w:hint="eastAsia" w:ascii="Times New Roman" w:hAnsi="Times New Roman" w:eastAsia="宋体"/>
        </w:rPr>
        <w:t>应进行实验结果的质量控制，如重复性实验，阳性对照品检测等。</w:t>
      </w:r>
    </w:p>
    <w:p w14:paraId="47B20E26">
      <w:pPr>
        <w:pStyle w:val="34"/>
        <w:numPr>
          <w:ilvl w:val="0"/>
          <w:numId w:val="0"/>
        </w:numPr>
        <w:jc w:val="both"/>
      </w:pPr>
    </w:p>
    <w:p w14:paraId="14D59FA0">
      <w:pPr>
        <w:pStyle w:val="34"/>
        <w:numPr>
          <w:ilvl w:val="0"/>
          <w:numId w:val="0"/>
        </w:numPr>
        <w:jc w:val="both"/>
        <w:sectPr>
          <w:pgSz w:w="11906" w:h="16838"/>
          <w:pgMar w:top="1928" w:right="1134" w:bottom="1134" w:left="1134" w:header="1418" w:footer="1134" w:gutter="284"/>
          <w:pgNumType w:start="1"/>
          <w:cols w:space="425" w:num="1"/>
          <w:docGrid w:type="lines" w:linePitch="312" w:charSpace="0"/>
        </w:sectPr>
      </w:pPr>
    </w:p>
    <w:p w14:paraId="62596C1A">
      <w:pPr>
        <w:spacing w:line="360" w:lineRule="auto"/>
        <w:jc w:val="center"/>
        <w:rPr>
          <w:rFonts w:hint="eastAsia" w:ascii="黑体" w:hAnsi="黑体" w:eastAsia="黑体" w:cs="黑体"/>
          <w:b/>
          <w:color w:val="000000" w:themeColor="text1"/>
          <w14:textFill>
            <w14:solidFill>
              <w14:schemeClr w14:val="tx1"/>
            </w14:solidFill>
          </w14:textFill>
        </w:rPr>
      </w:pPr>
      <w:r>
        <w:rPr>
          <w:rFonts w:hint="eastAsia" w:ascii="黑体" w:hAnsi="黑体" w:eastAsia="黑体" w:cs="黑体"/>
          <w:b/>
          <w:color w:val="000000" w:themeColor="text1"/>
          <w14:textFill>
            <w14:solidFill>
              <w14:schemeClr w14:val="tx1"/>
            </w14:solidFill>
          </w14:textFill>
        </w:rPr>
        <w:t>附录A</w:t>
      </w:r>
    </w:p>
    <w:p w14:paraId="1B951D61">
      <w:pPr>
        <w:spacing w:line="360" w:lineRule="auto"/>
        <w:jc w:val="center"/>
        <w:rPr>
          <w:rFonts w:hint="eastAsia" w:ascii="黑体" w:hAnsi="黑体" w:eastAsia="黑体" w:cs="黑体"/>
          <w:b/>
          <w:color w:val="000000" w:themeColor="text1"/>
          <w14:textFill>
            <w14:solidFill>
              <w14:schemeClr w14:val="tx1"/>
            </w14:solidFill>
          </w14:textFill>
        </w:rPr>
      </w:pPr>
      <w:r>
        <w:rPr>
          <w:rFonts w:hint="eastAsia" w:ascii="黑体" w:hAnsi="黑体" w:eastAsia="黑体" w:cs="黑体"/>
          <w:b/>
          <w:color w:val="000000" w:themeColor="text1"/>
          <w14:textFill>
            <w14:solidFill>
              <w14:schemeClr w14:val="tx1"/>
            </w14:solidFill>
          </w14:textFill>
        </w:rPr>
        <w:t>（资料性）</w:t>
      </w:r>
    </w:p>
    <w:p w14:paraId="4294D659">
      <w:pPr>
        <w:spacing w:line="360" w:lineRule="auto"/>
        <w:jc w:val="center"/>
        <w:rPr>
          <w:rFonts w:hint="eastAsia"/>
          <w:b/>
          <w:bCs/>
        </w:rPr>
      </w:pPr>
      <w:r>
        <w:rPr>
          <w:rFonts w:hint="eastAsia"/>
          <w:b/>
          <w:bCs/>
        </w:rPr>
        <w:t>医疗机构药物基因检测实验室设备</w:t>
      </w:r>
    </w:p>
    <w:tbl>
      <w:tblPr>
        <w:tblStyle w:val="10"/>
        <w:tblW w:w="4931" w:type="pct"/>
        <w:tblInd w:w="0" w:type="dxa"/>
        <w:tblLayout w:type="autofit"/>
        <w:tblCellMar>
          <w:top w:w="0" w:type="dxa"/>
          <w:left w:w="108" w:type="dxa"/>
          <w:bottom w:w="0" w:type="dxa"/>
          <w:right w:w="108" w:type="dxa"/>
        </w:tblCellMar>
      </w:tblPr>
      <w:tblGrid>
        <w:gridCol w:w="2142"/>
        <w:gridCol w:w="5298"/>
        <w:gridCol w:w="1998"/>
      </w:tblGrid>
      <w:tr w14:paraId="7459235A">
        <w:tblPrEx>
          <w:tblCellMar>
            <w:top w:w="0" w:type="dxa"/>
            <w:left w:w="108" w:type="dxa"/>
            <w:bottom w:w="0" w:type="dxa"/>
            <w:right w:w="108" w:type="dxa"/>
          </w:tblCellMar>
        </w:tblPrEx>
        <w:trPr>
          <w:trHeight w:val="601" w:hRule="atLeast"/>
        </w:trPr>
        <w:tc>
          <w:tcPr>
            <w:tcW w:w="1135" w:type="pct"/>
            <w:tcBorders>
              <w:top w:val="single" w:color="auto" w:sz="4" w:space="0"/>
              <w:left w:val="single" w:color="auto" w:sz="4" w:space="0"/>
              <w:bottom w:val="single" w:color="auto" w:sz="4" w:space="0"/>
              <w:right w:val="single" w:color="auto" w:sz="4" w:space="0"/>
            </w:tcBorders>
            <w:shd w:val="clear" w:color="auto" w:fill="auto"/>
            <w:vAlign w:val="center"/>
          </w:tcPr>
          <w:p w14:paraId="67A47857">
            <w:pPr>
              <w:widowControl/>
              <w:jc w:val="center"/>
              <w:rPr>
                <w:rFonts w:ascii="Times New Roman" w:hAnsi="Times New Roman" w:eastAsia="宋体" w:cs="Times New Roman"/>
                <w:b/>
                <w:bCs/>
                <w:color w:val="000000"/>
                <w:kern w:val="0"/>
                <w:szCs w:val="21"/>
              </w:rPr>
            </w:pPr>
            <w:r>
              <w:rPr>
                <w:rFonts w:ascii="Times New Roman" w:hAnsi="Times New Roman" w:eastAsia="宋体" w:cs="Times New Roman"/>
                <w:b/>
                <w:bCs/>
                <w:color w:val="000000"/>
                <w:kern w:val="0"/>
                <w:szCs w:val="21"/>
              </w:rPr>
              <w:t>分区</w:t>
            </w:r>
          </w:p>
        </w:tc>
        <w:tc>
          <w:tcPr>
            <w:tcW w:w="2807" w:type="pct"/>
            <w:tcBorders>
              <w:top w:val="single" w:color="auto" w:sz="4" w:space="0"/>
              <w:left w:val="nil"/>
              <w:bottom w:val="single" w:color="auto" w:sz="4" w:space="0"/>
              <w:right w:val="single" w:color="auto" w:sz="4" w:space="0"/>
            </w:tcBorders>
            <w:shd w:val="clear" w:color="000000" w:fill="FFFFFF"/>
            <w:vAlign w:val="center"/>
          </w:tcPr>
          <w:p w14:paraId="2BA983B0">
            <w:pPr>
              <w:widowControl/>
              <w:jc w:val="center"/>
              <w:rPr>
                <w:rFonts w:ascii="Times New Roman" w:hAnsi="Times New Roman" w:cs="Times New Roman"/>
                <w:b/>
                <w:bCs/>
                <w:color w:val="000000"/>
                <w:kern w:val="0"/>
                <w:szCs w:val="21"/>
              </w:rPr>
            </w:pPr>
            <w:r>
              <w:rPr>
                <w:rFonts w:ascii="Times New Roman" w:hAnsi="Times New Roman" w:eastAsia="宋体" w:cs="Times New Roman"/>
                <w:b/>
                <w:bCs/>
                <w:color w:val="000000"/>
                <w:kern w:val="0"/>
                <w:szCs w:val="21"/>
              </w:rPr>
              <w:t>设备名称</w:t>
            </w:r>
          </w:p>
        </w:tc>
        <w:tc>
          <w:tcPr>
            <w:tcW w:w="1058" w:type="pct"/>
            <w:tcBorders>
              <w:top w:val="single" w:color="auto" w:sz="4" w:space="0"/>
              <w:left w:val="nil"/>
              <w:bottom w:val="single" w:color="auto" w:sz="4" w:space="0"/>
              <w:right w:val="single" w:color="auto" w:sz="4" w:space="0"/>
            </w:tcBorders>
            <w:shd w:val="clear" w:color="000000" w:fill="FFFFFF"/>
            <w:vAlign w:val="center"/>
          </w:tcPr>
          <w:p w14:paraId="212DC7DD">
            <w:pPr>
              <w:widowControl/>
              <w:jc w:val="center"/>
              <w:rPr>
                <w:rFonts w:ascii="Times New Roman" w:hAnsi="Times New Roman" w:cs="Times New Roman"/>
                <w:b/>
                <w:bCs/>
                <w:color w:val="000000"/>
                <w:kern w:val="0"/>
                <w:szCs w:val="21"/>
              </w:rPr>
            </w:pPr>
            <w:r>
              <w:rPr>
                <w:rFonts w:hint="eastAsia" w:ascii="Times New Roman" w:hAnsi="Times New Roman" w:eastAsia="宋体" w:cs="Times New Roman"/>
                <w:b/>
                <w:bCs/>
                <w:color w:val="000000"/>
                <w:kern w:val="0"/>
                <w:szCs w:val="21"/>
              </w:rPr>
              <w:t>备注</w:t>
            </w:r>
          </w:p>
        </w:tc>
      </w:tr>
      <w:tr w14:paraId="5D5E1B26">
        <w:tblPrEx>
          <w:tblCellMar>
            <w:top w:w="0" w:type="dxa"/>
            <w:left w:w="108" w:type="dxa"/>
            <w:bottom w:w="0" w:type="dxa"/>
            <w:right w:w="108" w:type="dxa"/>
          </w:tblCellMar>
        </w:tblPrEx>
        <w:trPr>
          <w:trHeight w:val="361" w:hRule="atLeast"/>
        </w:trPr>
        <w:tc>
          <w:tcPr>
            <w:tcW w:w="1135" w:type="pct"/>
            <w:vMerge w:val="restart"/>
            <w:tcBorders>
              <w:top w:val="single" w:color="auto" w:sz="4" w:space="0"/>
              <w:left w:val="single" w:color="auto" w:sz="4" w:space="0"/>
              <w:right w:val="single" w:color="auto" w:sz="4" w:space="0"/>
            </w:tcBorders>
            <w:shd w:val="clear" w:color="auto" w:fill="auto"/>
            <w:vAlign w:val="center"/>
          </w:tcPr>
          <w:p w14:paraId="1AAE2B22">
            <w:pPr>
              <w:widowControl/>
              <w:jc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试剂准备区</w:t>
            </w:r>
          </w:p>
        </w:tc>
        <w:tc>
          <w:tcPr>
            <w:tcW w:w="2807" w:type="pct"/>
            <w:tcBorders>
              <w:top w:val="single" w:color="auto" w:sz="4" w:space="0"/>
              <w:left w:val="nil"/>
              <w:bottom w:val="single" w:color="auto" w:sz="4" w:space="0"/>
              <w:right w:val="single" w:color="auto" w:sz="4" w:space="0"/>
            </w:tcBorders>
            <w:shd w:val="clear" w:color="000000" w:fill="FFFFFF"/>
            <w:vAlign w:val="center"/>
          </w:tcPr>
          <w:p w14:paraId="26B97F82">
            <w:pPr>
              <w:widowControl/>
              <w:jc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超净工作台</w:t>
            </w:r>
          </w:p>
        </w:tc>
        <w:tc>
          <w:tcPr>
            <w:tcW w:w="1058" w:type="pct"/>
            <w:tcBorders>
              <w:top w:val="single" w:color="auto" w:sz="4" w:space="0"/>
              <w:left w:val="nil"/>
              <w:bottom w:val="single" w:color="auto" w:sz="4" w:space="0"/>
              <w:right w:val="single" w:color="auto" w:sz="4" w:space="0"/>
            </w:tcBorders>
            <w:shd w:val="clear" w:color="000000" w:fill="FFFFFF"/>
            <w:vAlign w:val="center"/>
          </w:tcPr>
          <w:p w14:paraId="355D74FF">
            <w:pPr>
              <w:widowControl/>
              <w:jc w:val="center"/>
              <w:rPr>
                <w:rFonts w:ascii="Times New Roman" w:hAnsi="Times New Roman" w:eastAsia="宋体" w:cs="Times New Roman"/>
                <w:color w:val="000000"/>
                <w:kern w:val="0"/>
                <w:szCs w:val="21"/>
              </w:rPr>
            </w:pPr>
          </w:p>
        </w:tc>
      </w:tr>
      <w:tr w14:paraId="3D40C173">
        <w:tblPrEx>
          <w:tblCellMar>
            <w:top w:w="0" w:type="dxa"/>
            <w:left w:w="108" w:type="dxa"/>
            <w:bottom w:w="0" w:type="dxa"/>
            <w:right w:w="108" w:type="dxa"/>
          </w:tblCellMar>
        </w:tblPrEx>
        <w:trPr>
          <w:trHeight w:val="361" w:hRule="atLeast"/>
        </w:trPr>
        <w:tc>
          <w:tcPr>
            <w:tcW w:w="1135" w:type="pct"/>
            <w:vMerge w:val="continue"/>
            <w:tcBorders>
              <w:left w:val="single" w:color="auto" w:sz="4" w:space="0"/>
              <w:right w:val="single" w:color="auto" w:sz="4" w:space="0"/>
            </w:tcBorders>
            <w:vAlign w:val="center"/>
          </w:tcPr>
          <w:p w14:paraId="7E4469B3">
            <w:pPr>
              <w:widowControl/>
              <w:jc w:val="left"/>
              <w:rPr>
                <w:rFonts w:ascii="Times New Roman" w:hAnsi="Times New Roman" w:eastAsia="宋体" w:cs="Times New Roman"/>
                <w:color w:val="000000"/>
                <w:kern w:val="0"/>
                <w:szCs w:val="21"/>
              </w:rPr>
            </w:pPr>
          </w:p>
        </w:tc>
        <w:tc>
          <w:tcPr>
            <w:tcW w:w="2807" w:type="pct"/>
            <w:tcBorders>
              <w:top w:val="nil"/>
              <w:left w:val="nil"/>
              <w:bottom w:val="single" w:color="auto" w:sz="4" w:space="0"/>
              <w:right w:val="single" w:color="auto" w:sz="4" w:space="0"/>
            </w:tcBorders>
            <w:shd w:val="clear" w:color="000000" w:fill="FFFFFF"/>
            <w:vAlign w:val="center"/>
          </w:tcPr>
          <w:p w14:paraId="2198039F">
            <w:pPr>
              <w:widowControl/>
              <w:jc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移液器</w:t>
            </w:r>
          </w:p>
        </w:tc>
        <w:tc>
          <w:tcPr>
            <w:tcW w:w="1058" w:type="pct"/>
            <w:tcBorders>
              <w:top w:val="nil"/>
              <w:left w:val="nil"/>
              <w:bottom w:val="single" w:color="auto" w:sz="4" w:space="0"/>
              <w:right w:val="single" w:color="auto" w:sz="4" w:space="0"/>
            </w:tcBorders>
            <w:shd w:val="clear" w:color="auto" w:fill="auto"/>
            <w:vAlign w:val="center"/>
          </w:tcPr>
          <w:p w14:paraId="5FCFAD85">
            <w:pPr>
              <w:widowControl/>
              <w:jc w:val="center"/>
              <w:rPr>
                <w:rFonts w:ascii="Times New Roman" w:hAnsi="Times New Roman" w:eastAsia="宋体" w:cs="Times New Roman"/>
                <w:color w:val="000000"/>
                <w:kern w:val="0"/>
                <w:szCs w:val="21"/>
              </w:rPr>
            </w:pPr>
          </w:p>
        </w:tc>
      </w:tr>
      <w:tr w14:paraId="44B99064">
        <w:tblPrEx>
          <w:tblCellMar>
            <w:top w:w="0" w:type="dxa"/>
            <w:left w:w="108" w:type="dxa"/>
            <w:bottom w:w="0" w:type="dxa"/>
            <w:right w:w="108" w:type="dxa"/>
          </w:tblCellMar>
        </w:tblPrEx>
        <w:trPr>
          <w:trHeight w:val="361" w:hRule="atLeast"/>
        </w:trPr>
        <w:tc>
          <w:tcPr>
            <w:tcW w:w="1135" w:type="pct"/>
            <w:vMerge w:val="continue"/>
            <w:tcBorders>
              <w:left w:val="single" w:color="auto" w:sz="4" w:space="0"/>
              <w:right w:val="single" w:color="auto" w:sz="4" w:space="0"/>
            </w:tcBorders>
            <w:vAlign w:val="center"/>
          </w:tcPr>
          <w:p w14:paraId="784A3576">
            <w:pPr>
              <w:widowControl/>
              <w:jc w:val="left"/>
              <w:rPr>
                <w:rFonts w:ascii="Times New Roman" w:hAnsi="Times New Roman" w:eastAsia="宋体" w:cs="Times New Roman"/>
                <w:color w:val="000000"/>
                <w:kern w:val="0"/>
                <w:szCs w:val="21"/>
              </w:rPr>
            </w:pPr>
          </w:p>
        </w:tc>
        <w:tc>
          <w:tcPr>
            <w:tcW w:w="2807" w:type="pct"/>
            <w:tcBorders>
              <w:top w:val="nil"/>
              <w:left w:val="nil"/>
              <w:bottom w:val="single" w:color="auto" w:sz="4" w:space="0"/>
              <w:right w:val="single" w:color="auto" w:sz="4" w:space="0"/>
            </w:tcBorders>
            <w:shd w:val="clear" w:color="000000" w:fill="FFFFFF"/>
            <w:vAlign w:val="center"/>
          </w:tcPr>
          <w:p w14:paraId="51F1E428">
            <w:pPr>
              <w:widowControl/>
              <w:jc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掌上离心机</w:t>
            </w:r>
          </w:p>
        </w:tc>
        <w:tc>
          <w:tcPr>
            <w:tcW w:w="1058" w:type="pct"/>
            <w:tcBorders>
              <w:top w:val="nil"/>
              <w:left w:val="nil"/>
              <w:bottom w:val="single" w:color="auto" w:sz="4" w:space="0"/>
              <w:right w:val="single" w:color="auto" w:sz="4" w:space="0"/>
            </w:tcBorders>
            <w:shd w:val="clear" w:color="auto" w:fill="auto"/>
            <w:vAlign w:val="center"/>
          </w:tcPr>
          <w:p w14:paraId="47CAA8C6">
            <w:pPr>
              <w:widowControl/>
              <w:jc w:val="center"/>
              <w:rPr>
                <w:rFonts w:ascii="Times New Roman" w:hAnsi="Times New Roman" w:eastAsia="宋体" w:cs="Times New Roman"/>
                <w:color w:val="000000"/>
                <w:kern w:val="0"/>
                <w:szCs w:val="21"/>
              </w:rPr>
            </w:pPr>
          </w:p>
        </w:tc>
      </w:tr>
      <w:tr w14:paraId="5EF8C185">
        <w:tblPrEx>
          <w:tblCellMar>
            <w:top w:w="0" w:type="dxa"/>
            <w:left w:w="108" w:type="dxa"/>
            <w:bottom w:w="0" w:type="dxa"/>
            <w:right w:w="108" w:type="dxa"/>
          </w:tblCellMar>
        </w:tblPrEx>
        <w:trPr>
          <w:trHeight w:val="361" w:hRule="atLeast"/>
        </w:trPr>
        <w:tc>
          <w:tcPr>
            <w:tcW w:w="1135" w:type="pct"/>
            <w:vMerge w:val="continue"/>
            <w:tcBorders>
              <w:left w:val="single" w:color="auto" w:sz="4" w:space="0"/>
              <w:right w:val="single" w:color="auto" w:sz="4" w:space="0"/>
            </w:tcBorders>
            <w:vAlign w:val="center"/>
          </w:tcPr>
          <w:p w14:paraId="1DE52BB7">
            <w:pPr>
              <w:widowControl/>
              <w:jc w:val="left"/>
              <w:rPr>
                <w:rFonts w:ascii="Times New Roman" w:hAnsi="Times New Roman" w:eastAsia="宋体" w:cs="Times New Roman"/>
                <w:color w:val="000000"/>
                <w:kern w:val="0"/>
                <w:szCs w:val="21"/>
              </w:rPr>
            </w:pPr>
          </w:p>
        </w:tc>
        <w:tc>
          <w:tcPr>
            <w:tcW w:w="2807" w:type="pct"/>
            <w:tcBorders>
              <w:top w:val="nil"/>
              <w:left w:val="nil"/>
              <w:bottom w:val="single" w:color="auto" w:sz="4" w:space="0"/>
              <w:right w:val="single" w:color="auto" w:sz="4" w:space="0"/>
            </w:tcBorders>
            <w:shd w:val="clear" w:color="000000" w:fill="FFFFFF"/>
            <w:vAlign w:val="center"/>
          </w:tcPr>
          <w:p w14:paraId="7BCAC7B8">
            <w:pPr>
              <w:widowControl/>
              <w:jc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可调式混匀仪</w:t>
            </w:r>
          </w:p>
        </w:tc>
        <w:tc>
          <w:tcPr>
            <w:tcW w:w="1058" w:type="pct"/>
            <w:tcBorders>
              <w:top w:val="nil"/>
              <w:left w:val="nil"/>
              <w:bottom w:val="single" w:color="auto" w:sz="4" w:space="0"/>
              <w:right w:val="single" w:color="auto" w:sz="4" w:space="0"/>
            </w:tcBorders>
            <w:shd w:val="clear" w:color="auto" w:fill="auto"/>
            <w:vAlign w:val="center"/>
          </w:tcPr>
          <w:p w14:paraId="2D5CDF8C">
            <w:pPr>
              <w:widowControl/>
              <w:jc w:val="center"/>
              <w:rPr>
                <w:rFonts w:ascii="Times New Roman" w:hAnsi="Times New Roman" w:eastAsia="宋体" w:cs="Times New Roman"/>
                <w:color w:val="000000"/>
                <w:kern w:val="0"/>
                <w:szCs w:val="21"/>
              </w:rPr>
            </w:pPr>
          </w:p>
        </w:tc>
      </w:tr>
      <w:tr w14:paraId="362C679D">
        <w:tblPrEx>
          <w:tblCellMar>
            <w:top w:w="0" w:type="dxa"/>
            <w:left w:w="108" w:type="dxa"/>
            <w:bottom w:w="0" w:type="dxa"/>
            <w:right w:w="108" w:type="dxa"/>
          </w:tblCellMar>
        </w:tblPrEx>
        <w:trPr>
          <w:trHeight w:val="361" w:hRule="atLeast"/>
        </w:trPr>
        <w:tc>
          <w:tcPr>
            <w:tcW w:w="1135" w:type="pct"/>
            <w:vMerge w:val="continue"/>
            <w:tcBorders>
              <w:left w:val="single" w:color="auto" w:sz="4" w:space="0"/>
              <w:right w:val="single" w:color="auto" w:sz="4" w:space="0"/>
            </w:tcBorders>
            <w:vAlign w:val="center"/>
          </w:tcPr>
          <w:p w14:paraId="0824E5FC">
            <w:pPr>
              <w:widowControl/>
              <w:jc w:val="left"/>
              <w:rPr>
                <w:rFonts w:ascii="Times New Roman" w:hAnsi="Times New Roman" w:eastAsia="宋体" w:cs="Times New Roman"/>
                <w:color w:val="000000"/>
                <w:kern w:val="0"/>
                <w:szCs w:val="21"/>
              </w:rPr>
            </w:pPr>
          </w:p>
        </w:tc>
        <w:tc>
          <w:tcPr>
            <w:tcW w:w="2807" w:type="pct"/>
            <w:tcBorders>
              <w:top w:val="nil"/>
              <w:left w:val="nil"/>
              <w:bottom w:val="single" w:color="auto" w:sz="4" w:space="0"/>
              <w:right w:val="single" w:color="auto" w:sz="4" w:space="0"/>
            </w:tcBorders>
            <w:shd w:val="clear" w:color="auto" w:fill="auto"/>
            <w:vAlign w:val="center"/>
          </w:tcPr>
          <w:p w14:paraId="0A979FC9">
            <w:pPr>
              <w:widowControl/>
              <w:jc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医用冷藏冷冻箱</w:t>
            </w:r>
          </w:p>
        </w:tc>
        <w:tc>
          <w:tcPr>
            <w:tcW w:w="1058" w:type="pct"/>
            <w:tcBorders>
              <w:top w:val="nil"/>
              <w:left w:val="nil"/>
              <w:bottom w:val="single" w:color="auto" w:sz="4" w:space="0"/>
              <w:right w:val="single" w:color="auto" w:sz="4" w:space="0"/>
            </w:tcBorders>
            <w:shd w:val="clear" w:color="auto" w:fill="auto"/>
            <w:vAlign w:val="center"/>
          </w:tcPr>
          <w:p w14:paraId="75D98E13">
            <w:pPr>
              <w:widowControl/>
              <w:jc w:val="center"/>
              <w:rPr>
                <w:rFonts w:ascii="Times New Roman" w:hAnsi="Times New Roman" w:eastAsia="宋体" w:cs="Times New Roman"/>
                <w:color w:val="000000"/>
                <w:kern w:val="0"/>
                <w:szCs w:val="21"/>
              </w:rPr>
            </w:pPr>
          </w:p>
        </w:tc>
      </w:tr>
      <w:tr w14:paraId="29E4558D">
        <w:tblPrEx>
          <w:tblCellMar>
            <w:top w:w="0" w:type="dxa"/>
            <w:left w:w="108" w:type="dxa"/>
            <w:bottom w:w="0" w:type="dxa"/>
            <w:right w:w="108" w:type="dxa"/>
          </w:tblCellMar>
        </w:tblPrEx>
        <w:trPr>
          <w:trHeight w:val="361" w:hRule="atLeast"/>
        </w:trPr>
        <w:tc>
          <w:tcPr>
            <w:tcW w:w="1135" w:type="pct"/>
            <w:vMerge w:val="restart"/>
            <w:tcBorders>
              <w:top w:val="single" w:color="auto" w:sz="4" w:space="0"/>
              <w:left w:val="single" w:color="auto" w:sz="4" w:space="0"/>
              <w:bottom w:val="nil"/>
              <w:right w:val="single" w:color="auto" w:sz="4" w:space="0"/>
            </w:tcBorders>
            <w:shd w:val="clear" w:color="auto" w:fill="auto"/>
            <w:vAlign w:val="center"/>
          </w:tcPr>
          <w:p w14:paraId="441F59BA">
            <w:pPr>
              <w:widowControl/>
              <w:jc w:val="center"/>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rPr>
              <w:t>标本</w:t>
            </w:r>
            <w:r>
              <w:rPr>
                <w:rFonts w:ascii="Times New Roman" w:hAnsi="Times New Roman" w:eastAsia="宋体" w:cs="Times New Roman"/>
                <w:color w:val="000000"/>
                <w:kern w:val="0"/>
                <w:szCs w:val="21"/>
              </w:rPr>
              <w:t>制备区</w:t>
            </w:r>
          </w:p>
        </w:tc>
        <w:tc>
          <w:tcPr>
            <w:tcW w:w="2807" w:type="pct"/>
            <w:tcBorders>
              <w:top w:val="nil"/>
              <w:left w:val="nil"/>
              <w:bottom w:val="single" w:color="auto" w:sz="4" w:space="0"/>
              <w:right w:val="single" w:color="auto" w:sz="4" w:space="0"/>
            </w:tcBorders>
            <w:shd w:val="clear" w:color="000000" w:fill="FFFFFF"/>
            <w:vAlign w:val="center"/>
          </w:tcPr>
          <w:p w14:paraId="01C20559">
            <w:pPr>
              <w:widowControl/>
              <w:jc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生物安全柜</w:t>
            </w:r>
          </w:p>
        </w:tc>
        <w:tc>
          <w:tcPr>
            <w:tcW w:w="1058" w:type="pct"/>
            <w:tcBorders>
              <w:top w:val="nil"/>
              <w:left w:val="nil"/>
              <w:bottom w:val="single" w:color="auto" w:sz="4" w:space="0"/>
              <w:right w:val="single" w:color="auto" w:sz="4" w:space="0"/>
            </w:tcBorders>
            <w:shd w:val="clear" w:color="000000" w:fill="FFFFFF"/>
            <w:vAlign w:val="center"/>
          </w:tcPr>
          <w:p w14:paraId="0B53D378">
            <w:pPr>
              <w:widowControl/>
              <w:jc w:val="center"/>
              <w:rPr>
                <w:rFonts w:ascii="Times New Roman" w:hAnsi="Times New Roman" w:eastAsia="宋体" w:cs="Times New Roman"/>
                <w:color w:val="000000"/>
                <w:kern w:val="0"/>
                <w:szCs w:val="21"/>
              </w:rPr>
            </w:pPr>
          </w:p>
        </w:tc>
      </w:tr>
      <w:tr w14:paraId="311BEF56">
        <w:tblPrEx>
          <w:tblCellMar>
            <w:top w:w="0" w:type="dxa"/>
            <w:left w:w="108" w:type="dxa"/>
            <w:bottom w:w="0" w:type="dxa"/>
            <w:right w:w="108" w:type="dxa"/>
          </w:tblCellMar>
        </w:tblPrEx>
        <w:trPr>
          <w:trHeight w:val="361" w:hRule="atLeast"/>
        </w:trPr>
        <w:tc>
          <w:tcPr>
            <w:tcW w:w="1135" w:type="pct"/>
            <w:vMerge w:val="continue"/>
            <w:tcBorders>
              <w:top w:val="single" w:color="auto" w:sz="4" w:space="0"/>
              <w:left w:val="single" w:color="auto" w:sz="4" w:space="0"/>
              <w:bottom w:val="nil"/>
              <w:right w:val="single" w:color="auto" w:sz="4" w:space="0"/>
            </w:tcBorders>
            <w:vAlign w:val="center"/>
          </w:tcPr>
          <w:p w14:paraId="37B2BA1C">
            <w:pPr>
              <w:widowControl/>
              <w:jc w:val="left"/>
              <w:rPr>
                <w:rFonts w:ascii="Times New Roman" w:hAnsi="Times New Roman" w:eastAsia="宋体" w:cs="Times New Roman"/>
                <w:color w:val="000000"/>
                <w:kern w:val="0"/>
                <w:szCs w:val="21"/>
              </w:rPr>
            </w:pPr>
          </w:p>
        </w:tc>
        <w:tc>
          <w:tcPr>
            <w:tcW w:w="2807" w:type="pct"/>
            <w:tcBorders>
              <w:top w:val="nil"/>
              <w:left w:val="nil"/>
              <w:bottom w:val="single" w:color="auto" w:sz="4" w:space="0"/>
              <w:right w:val="single" w:color="auto" w:sz="4" w:space="0"/>
            </w:tcBorders>
            <w:shd w:val="clear" w:color="000000" w:fill="FFFFFF"/>
            <w:vAlign w:val="center"/>
          </w:tcPr>
          <w:p w14:paraId="5E9AA218">
            <w:pPr>
              <w:widowControl/>
              <w:jc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移液器</w:t>
            </w:r>
          </w:p>
        </w:tc>
        <w:tc>
          <w:tcPr>
            <w:tcW w:w="1058" w:type="pct"/>
            <w:tcBorders>
              <w:top w:val="nil"/>
              <w:left w:val="nil"/>
              <w:bottom w:val="single" w:color="auto" w:sz="4" w:space="0"/>
              <w:right w:val="single" w:color="auto" w:sz="4" w:space="0"/>
            </w:tcBorders>
            <w:shd w:val="clear" w:color="auto" w:fill="auto"/>
            <w:vAlign w:val="center"/>
          </w:tcPr>
          <w:p w14:paraId="6D4953AC">
            <w:pPr>
              <w:widowControl/>
              <w:jc w:val="center"/>
              <w:rPr>
                <w:rFonts w:ascii="Times New Roman" w:hAnsi="Times New Roman" w:eastAsia="宋体" w:cs="Times New Roman"/>
                <w:color w:val="000000"/>
                <w:kern w:val="0"/>
                <w:szCs w:val="21"/>
              </w:rPr>
            </w:pPr>
          </w:p>
        </w:tc>
      </w:tr>
      <w:tr w14:paraId="17E1FDB5">
        <w:tblPrEx>
          <w:tblCellMar>
            <w:top w:w="0" w:type="dxa"/>
            <w:left w:w="108" w:type="dxa"/>
            <w:bottom w:w="0" w:type="dxa"/>
            <w:right w:w="108" w:type="dxa"/>
          </w:tblCellMar>
        </w:tblPrEx>
        <w:trPr>
          <w:trHeight w:val="361" w:hRule="atLeast"/>
        </w:trPr>
        <w:tc>
          <w:tcPr>
            <w:tcW w:w="1135" w:type="pct"/>
            <w:vMerge w:val="continue"/>
            <w:tcBorders>
              <w:top w:val="single" w:color="auto" w:sz="4" w:space="0"/>
              <w:left w:val="single" w:color="auto" w:sz="4" w:space="0"/>
              <w:bottom w:val="nil"/>
              <w:right w:val="single" w:color="auto" w:sz="4" w:space="0"/>
            </w:tcBorders>
            <w:vAlign w:val="center"/>
          </w:tcPr>
          <w:p w14:paraId="17B987D8">
            <w:pPr>
              <w:widowControl/>
              <w:jc w:val="left"/>
              <w:rPr>
                <w:rFonts w:ascii="Times New Roman" w:hAnsi="Times New Roman" w:eastAsia="宋体" w:cs="Times New Roman"/>
                <w:color w:val="000000"/>
                <w:kern w:val="0"/>
                <w:szCs w:val="21"/>
              </w:rPr>
            </w:pPr>
          </w:p>
        </w:tc>
        <w:tc>
          <w:tcPr>
            <w:tcW w:w="2807" w:type="pct"/>
            <w:tcBorders>
              <w:top w:val="nil"/>
              <w:left w:val="nil"/>
              <w:bottom w:val="single" w:color="auto" w:sz="4" w:space="0"/>
              <w:right w:val="single" w:color="auto" w:sz="4" w:space="0"/>
            </w:tcBorders>
            <w:shd w:val="clear" w:color="000000" w:fill="FFFFFF"/>
            <w:vAlign w:val="center"/>
          </w:tcPr>
          <w:p w14:paraId="439D1587">
            <w:pPr>
              <w:widowControl/>
              <w:jc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掌上离心机</w:t>
            </w:r>
          </w:p>
        </w:tc>
        <w:tc>
          <w:tcPr>
            <w:tcW w:w="1058" w:type="pct"/>
            <w:tcBorders>
              <w:top w:val="nil"/>
              <w:left w:val="nil"/>
              <w:bottom w:val="single" w:color="auto" w:sz="4" w:space="0"/>
              <w:right w:val="single" w:color="auto" w:sz="4" w:space="0"/>
            </w:tcBorders>
            <w:shd w:val="clear" w:color="auto" w:fill="auto"/>
            <w:vAlign w:val="center"/>
          </w:tcPr>
          <w:p w14:paraId="7C4FAE63">
            <w:pPr>
              <w:widowControl/>
              <w:jc w:val="center"/>
              <w:rPr>
                <w:rFonts w:ascii="Times New Roman" w:hAnsi="Times New Roman" w:eastAsia="宋体" w:cs="Times New Roman"/>
                <w:color w:val="000000"/>
                <w:kern w:val="0"/>
                <w:szCs w:val="21"/>
              </w:rPr>
            </w:pPr>
          </w:p>
        </w:tc>
      </w:tr>
      <w:tr w14:paraId="3CFBCCFE">
        <w:tblPrEx>
          <w:tblCellMar>
            <w:top w:w="0" w:type="dxa"/>
            <w:left w:w="108" w:type="dxa"/>
            <w:bottom w:w="0" w:type="dxa"/>
            <w:right w:w="108" w:type="dxa"/>
          </w:tblCellMar>
        </w:tblPrEx>
        <w:trPr>
          <w:trHeight w:val="361" w:hRule="atLeast"/>
        </w:trPr>
        <w:tc>
          <w:tcPr>
            <w:tcW w:w="1135" w:type="pct"/>
            <w:vMerge w:val="continue"/>
            <w:tcBorders>
              <w:top w:val="single" w:color="auto" w:sz="4" w:space="0"/>
              <w:left w:val="single" w:color="auto" w:sz="4" w:space="0"/>
              <w:bottom w:val="nil"/>
              <w:right w:val="single" w:color="auto" w:sz="4" w:space="0"/>
            </w:tcBorders>
            <w:vAlign w:val="center"/>
          </w:tcPr>
          <w:p w14:paraId="53CED867">
            <w:pPr>
              <w:widowControl/>
              <w:jc w:val="left"/>
              <w:rPr>
                <w:rFonts w:ascii="Times New Roman" w:hAnsi="Times New Roman" w:eastAsia="宋体" w:cs="Times New Roman"/>
                <w:color w:val="000000"/>
                <w:kern w:val="0"/>
                <w:szCs w:val="21"/>
              </w:rPr>
            </w:pPr>
          </w:p>
        </w:tc>
        <w:tc>
          <w:tcPr>
            <w:tcW w:w="2807" w:type="pct"/>
            <w:tcBorders>
              <w:top w:val="nil"/>
              <w:left w:val="nil"/>
              <w:bottom w:val="single" w:color="auto" w:sz="4" w:space="0"/>
              <w:right w:val="single" w:color="auto" w:sz="4" w:space="0"/>
            </w:tcBorders>
            <w:shd w:val="clear" w:color="auto" w:fill="auto"/>
            <w:vAlign w:val="center"/>
          </w:tcPr>
          <w:p w14:paraId="4150C47B">
            <w:pPr>
              <w:widowControl/>
              <w:jc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医用冷藏冷冻箱</w:t>
            </w:r>
          </w:p>
        </w:tc>
        <w:tc>
          <w:tcPr>
            <w:tcW w:w="1058" w:type="pct"/>
            <w:tcBorders>
              <w:top w:val="nil"/>
              <w:left w:val="nil"/>
              <w:bottom w:val="nil"/>
              <w:right w:val="single" w:color="auto" w:sz="4" w:space="0"/>
            </w:tcBorders>
            <w:shd w:val="clear" w:color="auto" w:fill="auto"/>
            <w:vAlign w:val="center"/>
          </w:tcPr>
          <w:p w14:paraId="528E6D16">
            <w:pPr>
              <w:widowControl/>
              <w:jc w:val="center"/>
              <w:rPr>
                <w:rFonts w:ascii="Times New Roman" w:hAnsi="Times New Roman" w:eastAsia="宋体" w:cs="Times New Roman"/>
                <w:color w:val="000000"/>
                <w:kern w:val="0"/>
                <w:szCs w:val="21"/>
              </w:rPr>
            </w:pPr>
          </w:p>
        </w:tc>
      </w:tr>
      <w:tr w14:paraId="5581CE55">
        <w:tblPrEx>
          <w:tblCellMar>
            <w:top w:w="0" w:type="dxa"/>
            <w:left w:w="108" w:type="dxa"/>
            <w:bottom w:w="0" w:type="dxa"/>
            <w:right w:w="108" w:type="dxa"/>
          </w:tblCellMar>
        </w:tblPrEx>
        <w:trPr>
          <w:trHeight w:val="361" w:hRule="atLeast"/>
        </w:trPr>
        <w:tc>
          <w:tcPr>
            <w:tcW w:w="1135" w:type="pct"/>
            <w:vMerge w:val="continue"/>
            <w:tcBorders>
              <w:top w:val="single" w:color="auto" w:sz="4" w:space="0"/>
              <w:left w:val="single" w:color="auto" w:sz="4" w:space="0"/>
              <w:bottom w:val="nil"/>
              <w:right w:val="single" w:color="auto" w:sz="4" w:space="0"/>
            </w:tcBorders>
            <w:vAlign w:val="center"/>
          </w:tcPr>
          <w:p w14:paraId="22F40A9C">
            <w:pPr>
              <w:widowControl/>
              <w:jc w:val="left"/>
              <w:rPr>
                <w:rFonts w:ascii="Times New Roman" w:hAnsi="Times New Roman" w:eastAsia="宋体" w:cs="Times New Roman"/>
                <w:color w:val="000000"/>
                <w:kern w:val="0"/>
                <w:szCs w:val="21"/>
              </w:rPr>
            </w:pPr>
          </w:p>
        </w:tc>
        <w:tc>
          <w:tcPr>
            <w:tcW w:w="2807" w:type="pct"/>
            <w:tcBorders>
              <w:top w:val="nil"/>
              <w:left w:val="nil"/>
              <w:bottom w:val="single" w:color="auto" w:sz="4" w:space="0"/>
              <w:right w:val="single" w:color="auto" w:sz="4" w:space="0"/>
            </w:tcBorders>
            <w:shd w:val="clear" w:color="auto" w:fill="auto"/>
            <w:vAlign w:val="center"/>
          </w:tcPr>
          <w:p w14:paraId="0747D074">
            <w:pPr>
              <w:widowControl/>
              <w:jc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全自动核酸提取仪</w:t>
            </w:r>
          </w:p>
        </w:tc>
        <w:tc>
          <w:tcPr>
            <w:tcW w:w="1058" w:type="pct"/>
            <w:tcBorders>
              <w:top w:val="single" w:color="auto" w:sz="4" w:space="0"/>
              <w:left w:val="nil"/>
              <w:bottom w:val="single" w:color="auto" w:sz="4" w:space="0"/>
              <w:right w:val="single" w:color="auto" w:sz="4" w:space="0"/>
            </w:tcBorders>
            <w:shd w:val="clear" w:color="auto" w:fill="auto"/>
            <w:vAlign w:val="center"/>
          </w:tcPr>
          <w:p w14:paraId="69149415">
            <w:pPr>
              <w:widowControl/>
              <w:jc w:val="center"/>
              <w:rPr>
                <w:rFonts w:ascii="Times New Roman" w:hAnsi="Times New Roman" w:eastAsia="宋体" w:cs="Times New Roman"/>
                <w:color w:val="000000"/>
                <w:kern w:val="0"/>
                <w:szCs w:val="21"/>
              </w:rPr>
            </w:pPr>
          </w:p>
        </w:tc>
      </w:tr>
      <w:tr w14:paraId="5109E7E9">
        <w:tblPrEx>
          <w:tblCellMar>
            <w:top w:w="0" w:type="dxa"/>
            <w:left w:w="108" w:type="dxa"/>
            <w:bottom w:w="0" w:type="dxa"/>
            <w:right w:w="108" w:type="dxa"/>
          </w:tblCellMar>
        </w:tblPrEx>
        <w:trPr>
          <w:trHeight w:val="361" w:hRule="atLeast"/>
        </w:trPr>
        <w:tc>
          <w:tcPr>
            <w:tcW w:w="1135" w:type="pct"/>
            <w:vMerge w:val="continue"/>
            <w:tcBorders>
              <w:top w:val="single" w:color="auto" w:sz="4" w:space="0"/>
              <w:left w:val="single" w:color="auto" w:sz="4" w:space="0"/>
              <w:bottom w:val="nil"/>
              <w:right w:val="single" w:color="auto" w:sz="4" w:space="0"/>
            </w:tcBorders>
            <w:vAlign w:val="center"/>
          </w:tcPr>
          <w:p w14:paraId="6FD57183">
            <w:pPr>
              <w:widowControl/>
              <w:jc w:val="left"/>
              <w:rPr>
                <w:rFonts w:ascii="Times New Roman" w:hAnsi="Times New Roman" w:eastAsia="宋体" w:cs="Times New Roman"/>
                <w:color w:val="000000"/>
                <w:kern w:val="0"/>
                <w:szCs w:val="21"/>
              </w:rPr>
            </w:pPr>
          </w:p>
        </w:tc>
        <w:tc>
          <w:tcPr>
            <w:tcW w:w="2807" w:type="pct"/>
            <w:tcBorders>
              <w:top w:val="nil"/>
              <w:left w:val="nil"/>
              <w:bottom w:val="single" w:color="auto" w:sz="4" w:space="0"/>
              <w:right w:val="single" w:color="auto" w:sz="4" w:space="0"/>
            </w:tcBorders>
            <w:shd w:val="clear" w:color="auto" w:fill="auto"/>
            <w:vAlign w:val="center"/>
          </w:tcPr>
          <w:p w14:paraId="6A70983D">
            <w:pPr>
              <w:widowControl/>
              <w:jc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紫外线消毒车</w:t>
            </w:r>
          </w:p>
        </w:tc>
        <w:tc>
          <w:tcPr>
            <w:tcW w:w="1058" w:type="pct"/>
            <w:tcBorders>
              <w:top w:val="nil"/>
              <w:left w:val="nil"/>
              <w:bottom w:val="single" w:color="auto" w:sz="4" w:space="0"/>
              <w:right w:val="single" w:color="auto" w:sz="4" w:space="0"/>
            </w:tcBorders>
            <w:shd w:val="clear" w:color="auto" w:fill="auto"/>
            <w:vAlign w:val="center"/>
          </w:tcPr>
          <w:p w14:paraId="7C8D3A7E">
            <w:pPr>
              <w:widowControl/>
              <w:jc w:val="center"/>
              <w:rPr>
                <w:rFonts w:ascii="Times New Roman" w:hAnsi="Times New Roman" w:eastAsia="宋体" w:cs="Times New Roman"/>
                <w:color w:val="000000"/>
                <w:kern w:val="0"/>
                <w:szCs w:val="21"/>
              </w:rPr>
            </w:pPr>
          </w:p>
        </w:tc>
      </w:tr>
      <w:tr w14:paraId="124F41CD">
        <w:tblPrEx>
          <w:tblCellMar>
            <w:top w:w="0" w:type="dxa"/>
            <w:left w:w="108" w:type="dxa"/>
            <w:bottom w:w="0" w:type="dxa"/>
            <w:right w:w="108" w:type="dxa"/>
          </w:tblCellMar>
        </w:tblPrEx>
        <w:trPr>
          <w:trHeight w:val="361" w:hRule="atLeast"/>
        </w:trPr>
        <w:tc>
          <w:tcPr>
            <w:tcW w:w="1135" w:type="pct"/>
            <w:vMerge w:val="restart"/>
            <w:tcBorders>
              <w:top w:val="single" w:color="auto" w:sz="4" w:space="0"/>
              <w:left w:val="single" w:color="auto" w:sz="4" w:space="0"/>
              <w:right w:val="single" w:color="auto" w:sz="4" w:space="0"/>
            </w:tcBorders>
            <w:shd w:val="clear" w:color="auto" w:fill="auto"/>
            <w:vAlign w:val="center"/>
          </w:tcPr>
          <w:p w14:paraId="0412C478">
            <w:pPr>
              <w:widowControl/>
              <w:jc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扩增区</w:t>
            </w:r>
          </w:p>
        </w:tc>
        <w:tc>
          <w:tcPr>
            <w:tcW w:w="2807" w:type="pct"/>
            <w:tcBorders>
              <w:top w:val="nil"/>
              <w:left w:val="nil"/>
              <w:bottom w:val="single" w:color="auto" w:sz="4" w:space="0"/>
              <w:right w:val="single" w:color="auto" w:sz="4" w:space="0"/>
            </w:tcBorders>
            <w:shd w:val="clear" w:color="auto" w:fill="auto"/>
            <w:vAlign w:val="center"/>
          </w:tcPr>
          <w:p w14:paraId="5F07D582">
            <w:pPr>
              <w:widowControl/>
              <w:jc w:val="center"/>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rPr>
              <w:t>荧光定量PCR仪</w:t>
            </w:r>
          </w:p>
        </w:tc>
        <w:tc>
          <w:tcPr>
            <w:tcW w:w="1058" w:type="pct"/>
            <w:tcBorders>
              <w:top w:val="nil"/>
              <w:left w:val="nil"/>
              <w:bottom w:val="single" w:color="auto" w:sz="4" w:space="0"/>
              <w:right w:val="single" w:color="auto" w:sz="4" w:space="0"/>
            </w:tcBorders>
            <w:shd w:val="clear" w:color="auto" w:fill="auto"/>
            <w:vAlign w:val="center"/>
          </w:tcPr>
          <w:p w14:paraId="4A96B29E">
            <w:pPr>
              <w:widowControl/>
              <w:jc w:val="center"/>
              <w:rPr>
                <w:rFonts w:ascii="Times New Roman" w:hAnsi="Times New Roman" w:eastAsia="宋体" w:cs="Times New Roman"/>
                <w:color w:val="000000"/>
                <w:kern w:val="0"/>
                <w:szCs w:val="21"/>
              </w:rPr>
            </w:pPr>
          </w:p>
        </w:tc>
      </w:tr>
      <w:tr w14:paraId="26C4F90C">
        <w:tblPrEx>
          <w:tblCellMar>
            <w:top w:w="0" w:type="dxa"/>
            <w:left w:w="108" w:type="dxa"/>
            <w:bottom w:w="0" w:type="dxa"/>
            <w:right w:w="108" w:type="dxa"/>
          </w:tblCellMar>
        </w:tblPrEx>
        <w:trPr>
          <w:trHeight w:val="361" w:hRule="atLeast"/>
        </w:trPr>
        <w:tc>
          <w:tcPr>
            <w:tcW w:w="1135" w:type="pct"/>
            <w:vMerge w:val="continue"/>
            <w:tcBorders>
              <w:top w:val="single" w:color="auto" w:sz="4" w:space="0"/>
              <w:left w:val="single" w:color="auto" w:sz="4" w:space="0"/>
              <w:right w:val="single" w:color="auto" w:sz="4" w:space="0"/>
            </w:tcBorders>
            <w:shd w:val="clear" w:color="auto" w:fill="auto"/>
            <w:vAlign w:val="center"/>
          </w:tcPr>
          <w:p w14:paraId="059C0641">
            <w:pPr>
              <w:widowControl/>
              <w:jc w:val="center"/>
              <w:rPr>
                <w:rFonts w:ascii="Times New Roman" w:hAnsi="Times New Roman" w:eastAsia="宋体" w:cs="Times New Roman"/>
                <w:color w:val="000000"/>
                <w:kern w:val="0"/>
                <w:szCs w:val="21"/>
              </w:rPr>
            </w:pPr>
          </w:p>
        </w:tc>
        <w:tc>
          <w:tcPr>
            <w:tcW w:w="2807" w:type="pct"/>
            <w:tcBorders>
              <w:top w:val="nil"/>
              <w:left w:val="nil"/>
              <w:bottom w:val="single" w:color="auto" w:sz="4" w:space="0"/>
              <w:right w:val="single" w:color="auto" w:sz="4" w:space="0"/>
            </w:tcBorders>
            <w:shd w:val="clear" w:color="auto" w:fill="auto"/>
            <w:vAlign w:val="center"/>
          </w:tcPr>
          <w:p w14:paraId="4DA8A89B">
            <w:pPr>
              <w:widowControl/>
              <w:jc w:val="center"/>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rPr>
              <w:t>基因扩增仪</w:t>
            </w:r>
          </w:p>
        </w:tc>
        <w:tc>
          <w:tcPr>
            <w:tcW w:w="1058" w:type="pct"/>
            <w:tcBorders>
              <w:top w:val="nil"/>
              <w:left w:val="nil"/>
              <w:bottom w:val="single" w:color="auto" w:sz="4" w:space="0"/>
              <w:right w:val="single" w:color="auto" w:sz="4" w:space="0"/>
            </w:tcBorders>
            <w:shd w:val="clear" w:color="auto" w:fill="auto"/>
            <w:vAlign w:val="center"/>
          </w:tcPr>
          <w:p w14:paraId="5A59169A">
            <w:pPr>
              <w:widowControl/>
              <w:jc w:val="center"/>
              <w:rPr>
                <w:rFonts w:ascii="Times New Roman" w:hAnsi="Times New Roman" w:eastAsia="宋体" w:cs="Times New Roman"/>
                <w:color w:val="000000"/>
                <w:kern w:val="0"/>
                <w:szCs w:val="21"/>
              </w:rPr>
            </w:pPr>
          </w:p>
        </w:tc>
      </w:tr>
      <w:tr w14:paraId="4CD154D9">
        <w:tblPrEx>
          <w:tblCellMar>
            <w:top w:w="0" w:type="dxa"/>
            <w:left w:w="108" w:type="dxa"/>
            <w:bottom w:w="0" w:type="dxa"/>
            <w:right w:w="108" w:type="dxa"/>
          </w:tblCellMar>
        </w:tblPrEx>
        <w:trPr>
          <w:trHeight w:val="361" w:hRule="atLeast"/>
        </w:trPr>
        <w:tc>
          <w:tcPr>
            <w:tcW w:w="1135" w:type="pct"/>
            <w:vMerge w:val="continue"/>
            <w:tcBorders>
              <w:left w:val="single" w:color="auto" w:sz="4" w:space="0"/>
              <w:bottom w:val="single" w:color="000000" w:sz="4" w:space="0"/>
              <w:right w:val="single" w:color="auto" w:sz="4" w:space="0"/>
            </w:tcBorders>
            <w:shd w:val="clear" w:color="auto" w:fill="auto"/>
            <w:vAlign w:val="center"/>
          </w:tcPr>
          <w:p w14:paraId="6D9318CC">
            <w:pPr>
              <w:widowControl/>
              <w:jc w:val="center"/>
              <w:rPr>
                <w:rFonts w:ascii="Times New Roman" w:hAnsi="Times New Roman" w:eastAsia="宋体" w:cs="Times New Roman"/>
                <w:color w:val="000000"/>
                <w:kern w:val="0"/>
                <w:szCs w:val="21"/>
              </w:rPr>
            </w:pPr>
          </w:p>
        </w:tc>
        <w:tc>
          <w:tcPr>
            <w:tcW w:w="2807" w:type="pct"/>
            <w:tcBorders>
              <w:top w:val="nil"/>
              <w:left w:val="nil"/>
              <w:bottom w:val="single" w:color="auto" w:sz="4" w:space="0"/>
              <w:right w:val="single" w:color="auto" w:sz="4" w:space="0"/>
            </w:tcBorders>
            <w:shd w:val="clear" w:color="auto" w:fill="auto"/>
            <w:vAlign w:val="center"/>
          </w:tcPr>
          <w:p w14:paraId="3F2B4957">
            <w:pPr>
              <w:widowControl/>
              <w:jc w:val="center"/>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rPr>
              <w:t>紫外线消毒车</w:t>
            </w:r>
          </w:p>
        </w:tc>
        <w:tc>
          <w:tcPr>
            <w:tcW w:w="1058" w:type="pct"/>
            <w:tcBorders>
              <w:top w:val="nil"/>
              <w:left w:val="nil"/>
              <w:bottom w:val="single" w:color="auto" w:sz="4" w:space="0"/>
              <w:right w:val="single" w:color="auto" w:sz="4" w:space="0"/>
            </w:tcBorders>
            <w:shd w:val="clear" w:color="auto" w:fill="auto"/>
            <w:vAlign w:val="center"/>
          </w:tcPr>
          <w:p w14:paraId="7AA95290">
            <w:pPr>
              <w:widowControl/>
              <w:jc w:val="center"/>
              <w:rPr>
                <w:rFonts w:ascii="Times New Roman" w:hAnsi="Times New Roman" w:eastAsia="宋体" w:cs="Times New Roman"/>
                <w:color w:val="000000"/>
                <w:kern w:val="0"/>
                <w:szCs w:val="21"/>
              </w:rPr>
            </w:pPr>
          </w:p>
        </w:tc>
      </w:tr>
      <w:tr w14:paraId="3655AE45">
        <w:tblPrEx>
          <w:tblCellMar>
            <w:top w:w="0" w:type="dxa"/>
            <w:left w:w="108" w:type="dxa"/>
            <w:bottom w:w="0" w:type="dxa"/>
            <w:right w:w="108" w:type="dxa"/>
          </w:tblCellMar>
        </w:tblPrEx>
        <w:trPr>
          <w:trHeight w:val="361" w:hRule="atLeast"/>
        </w:trPr>
        <w:tc>
          <w:tcPr>
            <w:tcW w:w="1135" w:type="pct"/>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15B0F076">
            <w:pPr>
              <w:widowControl/>
              <w:jc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扩增</w:t>
            </w:r>
            <w:r>
              <w:rPr>
                <w:rFonts w:hint="eastAsia" w:ascii="Times New Roman" w:hAnsi="Times New Roman" w:eastAsia="宋体" w:cs="Times New Roman"/>
                <w:color w:val="000000"/>
                <w:kern w:val="0"/>
                <w:szCs w:val="21"/>
              </w:rPr>
              <w:t>产物</w:t>
            </w:r>
            <w:r>
              <w:rPr>
                <w:rFonts w:ascii="Times New Roman" w:hAnsi="Times New Roman" w:eastAsia="宋体" w:cs="Times New Roman"/>
                <w:color w:val="000000"/>
                <w:kern w:val="0"/>
                <w:szCs w:val="21"/>
              </w:rPr>
              <w:t>分析区</w:t>
            </w:r>
          </w:p>
        </w:tc>
        <w:tc>
          <w:tcPr>
            <w:tcW w:w="2807" w:type="pct"/>
            <w:tcBorders>
              <w:top w:val="nil"/>
              <w:left w:val="nil"/>
              <w:bottom w:val="single" w:color="auto" w:sz="4" w:space="0"/>
              <w:right w:val="single" w:color="auto" w:sz="4" w:space="0"/>
            </w:tcBorders>
            <w:shd w:val="clear" w:color="auto" w:fill="auto"/>
            <w:vAlign w:val="center"/>
          </w:tcPr>
          <w:p w14:paraId="40059A5C">
            <w:pPr>
              <w:widowControl/>
              <w:jc w:val="center"/>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rPr>
              <w:t>电泳仪</w:t>
            </w:r>
          </w:p>
        </w:tc>
        <w:tc>
          <w:tcPr>
            <w:tcW w:w="1058" w:type="pct"/>
            <w:tcBorders>
              <w:top w:val="nil"/>
              <w:left w:val="nil"/>
              <w:bottom w:val="single" w:color="auto" w:sz="4" w:space="0"/>
              <w:right w:val="single" w:color="auto" w:sz="4" w:space="0"/>
            </w:tcBorders>
            <w:shd w:val="clear" w:color="auto" w:fill="auto"/>
            <w:vAlign w:val="center"/>
          </w:tcPr>
          <w:p w14:paraId="31FF9DCE">
            <w:pPr>
              <w:widowControl/>
              <w:jc w:val="center"/>
              <w:rPr>
                <w:rFonts w:ascii="Times New Roman" w:hAnsi="Times New Roman" w:eastAsia="宋体" w:cs="Times New Roman"/>
                <w:color w:val="000000"/>
                <w:kern w:val="0"/>
                <w:szCs w:val="21"/>
              </w:rPr>
            </w:pPr>
          </w:p>
        </w:tc>
      </w:tr>
      <w:tr w14:paraId="0CAA235F">
        <w:tblPrEx>
          <w:tblCellMar>
            <w:top w:w="0" w:type="dxa"/>
            <w:left w:w="108" w:type="dxa"/>
            <w:bottom w:w="0" w:type="dxa"/>
            <w:right w:w="108" w:type="dxa"/>
          </w:tblCellMar>
        </w:tblPrEx>
        <w:trPr>
          <w:trHeight w:val="361" w:hRule="atLeast"/>
        </w:trPr>
        <w:tc>
          <w:tcPr>
            <w:tcW w:w="1135" w:type="pct"/>
            <w:vMerge w:val="continue"/>
            <w:tcBorders>
              <w:top w:val="single" w:color="auto" w:sz="4" w:space="0"/>
              <w:left w:val="single" w:color="auto" w:sz="4" w:space="0"/>
              <w:bottom w:val="single" w:color="000000" w:sz="4" w:space="0"/>
              <w:right w:val="single" w:color="auto" w:sz="4" w:space="0"/>
            </w:tcBorders>
            <w:vAlign w:val="center"/>
          </w:tcPr>
          <w:p w14:paraId="100B5D05">
            <w:pPr>
              <w:widowControl/>
              <w:jc w:val="left"/>
              <w:rPr>
                <w:rFonts w:ascii="Times New Roman" w:hAnsi="Times New Roman" w:eastAsia="宋体" w:cs="Times New Roman"/>
                <w:color w:val="000000"/>
                <w:kern w:val="0"/>
                <w:szCs w:val="21"/>
              </w:rPr>
            </w:pPr>
          </w:p>
        </w:tc>
        <w:tc>
          <w:tcPr>
            <w:tcW w:w="2807" w:type="pct"/>
            <w:tcBorders>
              <w:top w:val="nil"/>
              <w:left w:val="nil"/>
              <w:bottom w:val="single" w:color="auto" w:sz="4" w:space="0"/>
              <w:right w:val="single" w:color="auto" w:sz="4" w:space="0"/>
            </w:tcBorders>
            <w:shd w:val="clear" w:color="auto" w:fill="auto"/>
            <w:vAlign w:val="center"/>
          </w:tcPr>
          <w:p w14:paraId="1EFC3507">
            <w:pPr>
              <w:widowControl/>
              <w:jc w:val="center"/>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rPr>
              <w:t>杂交仪</w:t>
            </w:r>
          </w:p>
        </w:tc>
        <w:tc>
          <w:tcPr>
            <w:tcW w:w="1058" w:type="pct"/>
            <w:tcBorders>
              <w:top w:val="nil"/>
              <w:left w:val="nil"/>
              <w:bottom w:val="single" w:color="auto" w:sz="4" w:space="0"/>
              <w:right w:val="single" w:color="auto" w:sz="4" w:space="0"/>
            </w:tcBorders>
            <w:shd w:val="clear" w:color="auto" w:fill="auto"/>
            <w:vAlign w:val="center"/>
          </w:tcPr>
          <w:p w14:paraId="4C8B0776">
            <w:pPr>
              <w:widowControl/>
              <w:jc w:val="center"/>
              <w:rPr>
                <w:rFonts w:ascii="Times New Roman" w:hAnsi="Times New Roman" w:eastAsia="宋体" w:cs="Times New Roman"/>
                <w:color w:val="000000"/>
                <w:kern w:val="0"/>
                <w:szCs w:val="21"/>
              </w:rPr>
            </w:pPr>
          </w:p>
        </w:tc>
      </w:tr>
      <w:tr w14:paraId="1791CC55">
        <w:tblPrEx>
          <w:tblCellMar>
            <w:top w:w="0" w:type="dxa"/>
            <w:left w:w="108" w:type="dxa"/>
            <w:bottom w:w="0" w:type="dxa"/>
            <w:right w:w="108" w:type="dxa"/>
          </w:tblCellMar>
        </w:tblPrEx>
        <w:trPr>
          <w:trHeight w:val="361" w:hRule="atLeast"/>
        </w:trPr>
        <w:tc>
          <w:tcPr>
            <w:tcW w:w="1135" w:type="pct"/>
            <w:vMerge w:val="continue"/>
            <w:tcBorders>
              <w:top w:val="single" w:color="auto" w:sz="4" w:space="0"/>
              <w:left w:val="single" w:color="auto" w:sz="4" w:space="0"/>
              <w:bottom w:val="single" w:color="000000" w:sz="4" w:space="0"/>
              <w:right w:val="single" w:color="auto" w:sz="4" w:space="0"/>
            </w:tcBorders>
            <w:vAlign w:val="center"/>
          </w:tcPr>
          <w:p w14:paraId="761B9D65">
            <w:pPr>
              <w:widowControl/>
              <w:jc w:val="left"/>
              <w:rPr>
                <w:rFonts w:ascii="Times New Roman" w:hAnsi="Times New Roman" w:eastAsia="宋体" w:cs="Times New Roman"/>
                <w:color w:val="000000"/>
                <w:kern w:val="0"/>
                <w:szCs w:val="21"/>
              </w:rPr>
            </w:pPr>
          </w:p>
        </w:tc>
        <w:tc>
          <w:tcPr>
            <w:tcW w:w="2807" w:type="pct"/>
            <w:tcBorders>
              <w:top w:val="nil"/>
              <w:left w:val="nil"/>
              <w:bottom w:val="single" w:color="auto" w:sz="4" w:space="0"/>
              <w:right w:val="single" w:color="auto" w:sz="4" w:space="0"/>
            </w:tcBorders>
            <w:shd w:val="clear" w:color="auto" w:fill="auto"/>
            <w:vAlign w:val="center"/>
          </w:tcPr>
          <w:p w14:paraId="1C721A23">
            <w:pPr>
              <w:widowControl/>
              <w:jc w:val="center"/>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rPr>
              <w:t>基因测序仪</w:t>
            </w:r>
          </w:p>
        </w:tc>
        <w:tc>
          <w:tcPr>
            <w:tcW w:w="1058" w:type="pct"/>
            <w:tcBorders>
              <w:top w:val="nil"/>
              <w:left w:val="nil"/>
              <w:bottom w:val="single" w:color="auto" w:sz="4" w:space="0"/>
              <w:right w:val="single" w:color="auto" w:sz="4" w:space="0"/>
            </w:tcBorders>
            <w:shd w:val="clear" w:color="auto" w:fill="auto"/>
            <w:vAlign w:val="center"/>
          </w:tcPr>
          <w:p w14:paraId="606180A9">
            <w:pPr>
              <w:widowControl/>
              <w:jc w:val="center"/>
              <w:rPr>
                <w:rFonts w:ascii="Times New Roman" w:hAnsi="Times New Roman" w:eastAsia="宋体" w:cs="Times New Roman"/>
                <w:color w:val="000000"/>
                <w:kern w:val="0"/>
                <w:szCs w:val="21"/>
              </w:rPr>
            </w:pPr>
          </w:p>
        </w:tc>
      </w:tr>
      <w:tr w14:paraId="1F3302D1">
        <w:tblPrEx>
          <w:tblCellMar>
            <w:top w:w="0" w:type="dxa"/>
            <w:left w:w="108" w:type="dxa"/>
            <w:bottom w:w="0" w:type="dxa"/>
            <w:right w:w="108" w:type="dxa"/>
          </w:tblCellMar>
        </w:tblPrEx>
        <w:trPr>
          <w:trHeight w:val="361" w:hRule="atLeast"/>
        </w:trPr>
        <w:tc>
          <w:tcPr>
            <w:tcW w:w="1135" w:type="pct"/>
            <w:vMerge w:val="continue"/>
            <w:tcBorders>
              <w:top w:val="single" w:color="auto" w:sz="4" w:space="0"/>
              <w:left w:val="single" w:color="auto" w:sz="4" w:space="0"/>
              <w:bottom w:val="single" w:color="000000" w:sz="4" w:space="0"/>
              <w:right w:val="single" w:color="auto" w:sz="4" w:space="0"/>
            </w:tcBorders>
            <w:vAlign w:val="center"/>
          </w:tcPr>
          <w:p w14:paraId="4F5892CC">
            <w:pPr>
              <w:widowControl/>
              <w:jc w:val="left"/>
              <w:rPr>
                <w:rFonts w:ascii="Times New Roman" w:hAnsi="Times New Roman" w:eastAsia="宋体" w:cs="Times New Roman"/>
                <w:color w:val="000000"/>
                <w:kern w:val="0"/>
                <w:szCs w:val="21"/>
              </w:rPr>
            </w:pPr>
          </w:p>
        </w:tc>
        <w:tc>
          <w:tcPr>
            <w:tcW w:w="2807" w:type="pct"/>
            <w:tcBorders>
              <w:top w:val="nil"/>
              <w:left w:val="nil"/>
              <w:bottom w:val="single" w:color="auto" w:sz="4" w:space="0"/>
              <w:right w:val="single" w:color="auto" w:sz="4" w:space="0"/>
            </w:tcBorders>
            <w:shd w:val="clear" w:color="auto" w:fill="auto"/>
            <w:vAlign w:val="center"/>
          </w:tcPr>
          <w:p w14:paraId="1404859D">
            <w:pPr>
              <w:widowControl/>
              <w:jc w:val="center"/>
              <w:rPr>
                <w:rFonts w:ascii="Times New Roman" w:hAnsi="Times New Roman" w:eastAsia="宋体" w:cs="Times New Roman"/>
                <w:color w:val="000000"/>
                <w:kern w:val="0"/>
                <w:szCs w:val="21"/>
              </w:rPr>
            </w:pPr>
            <w:r>
              <w:rPr>
                <w:rFonts w:hint="eastAsia" w:ascii="Times New Roman" w:hAnsi="Times New Roman" w:eastAsia="宋体" w:cs="Times New Roman"/>
                <w:color w:val="000000"/>
                <w:kern w:val="0"/>
                <w:szCs w:val="21"/>
              </w:rPr>
              <w:t>移液器</w:t>
            </w:r>
          </w:p>
        </w:tc>
        <w:tc>
          <w:tcPr>
            <w:tcW w:w="1058" w:type="pct"/>
            <w:tcBorders>
              <w:top w:val="nil"/>
              <w:left w:val="nil"/>
              <w:bottom w:val="single" w:color="auto" w:sz="4" w:space="0"/>
              <w:right w:val="single" w:color="auto" w:sz="4" w:space="0"/>
            </w:tcBorders>
            <w:shd w:val="clear" w:color="auto" w:fill="auto"/>
            <w:vAlign w:val="center"/>
          </w:tcPr>
          <w:p w14:paraId="0C8681EC">
            <w:pPr>
              <w:widowControl/>
              <w:jc w:val="center"/>
              <w:rPr>
                <w:rFonts w:ascii="Times New Roman" w:hAnsi="Times New Roman" w:eastAsia="宋体" w:cs="Times New Roman"/>
                <w:color w:val="000000"/>
                <w:kern w:val="0"/>
                <w:szCs w:val="21"/>
              </w:rPr>
            </w:pPr>
          </w:p>
        </w:tc>
      </w:tr>
      <w:tr w14:paraId="2747F443">
        <w:tblPrEx>
          <w:tblCellMar>
            <w:top w:w="0" w:type="dxa"/>
            <w:left w:w="108" w:type="dxa"/>
            <w:bottom w:w="0" w:type="dxa"/>
            <w:right w:w="108" w:type="dxa"/>
          </w:tblCellMar>
        </w:tblPrEx>
        <w:trPr>
          <w:trHeight w:val="361" w:hRule="atLeast"/>
        </w:trPr>
        <w:tc>
          <w:tcPr>
            <w:tcW w:w="1135" w:type="pct"/>
            <w:vMerge w:val="continue"/>
            <w:tcBorders>
              <w:top w:val="single" w:color="auto" w:sz="4" w:space="0"/>
              <w:left w:val="single" w:color="auto" w:sz="4" w:space="0"/>
              <w:bottom w:val="single" w:color="auto" w:sz="4" w:space="0"/>
              <w:right w:val="single" w:color="auto" w:sz="4" w:space="0"/>
            </w:tcBorders>
            <w:vAlign w:val="center"/>
          </w:tcPr>
          <w:p w14:paraId="02FFDBBA">
            <w:pPr>
              <w:widowControl/>
              <w:jc w:val="left"/>
              <w:rPr>
                <w:rFonts w:ascii="Times New Roman" w:hAnsi="Times New Roman" w:eastAsia="宋体" w:cs="Times New Roman"/>
                <w:color w:val="000000"/>
                <w:kern w:val="0"/>
                <w:szCs w:val="21"/>
              </w:rPr>
            </w:pPr>
          </w:p>
        </w:tc>
        <w:tc>
          <w:tcPr>
            <w:tcW w:w="2807" w:type="pct"/>
            <w:tcBorders>
              <w:top w:val="nil"/>
              <w:left w:val="nil"/>
              <w:bottom w:val="nil"/>
              <w:right w:val="single" w:color="auto" w:sz="4" w:space="0"/>
            </w:tcBorders>
            <w:shd w:val="clear" w:color="auto" w:fill="auto"/>
            <w:vAlign w:val="center"/>
          </w:tcPr>
          <w:p w14:paraId="2C9D3335">
            <w:pPr>
              <w:widowControl/>
              <w:jc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紫外线消毒车</w:t>
            </w:r>
          </w:p>
        </w:tc>
        <w:tc>
          <w:tcPr>
            <w:tcW w:w="1058" w:type="pct"/>
            <w:tcBorders>
              <w:top w:val="nil"/>
              <w:left w:val="nil"/>
              <w:bottom w:val="nil"/>
              <w:right w:val="single" w:color="auto" w:sz="4" w:space="0"/>
            </w:tcBorders>
            <w:shd w:val="clear" w:color="auto" w:fill="auto"/>
            <w:vAlign w:val="center"/>
          </w:tcPr>
          <w:p w14:paraId="25C23A6B">
            <w:pPr>
              <w:widowControl/>
              <w:jc w:val="center"/>
              <w:rPr>
                <w:rFonts w:ascii="Times New Roman" w:hAnsi="Times New Roman" w:eastAsia="宋体" w:cs="Times New Roman"/>
                <w:color w:val="000000"/>
                <w:kern w:val="0"/>
                <w:szCs w:val="21"/>
              </w:rPr>
            </w:pPr>
          </w:p>
        </w:tc>
      </w:tr>
      <w:tr w14:paraId="4720678F">
        <w:tblPrEx>
          <w:tblCellMar>
            <w:top w:w="0" w:type="dxa"/>
            <w:left w:w="108" w:type="dxa"/>
            <w:bottom w:w="0" w:type="dxa"/>
            <w:right w:w="108" w:type="dxa"/>
          </w:tblCellMar>
        </w:tblPrEx>
        <w:trPr>
          <w:trHeight w:val="361" w:hRule="atLeast"/>
        </w:trPr>
        <w:tc>
          <w:tcPr>
            <w:tcW w:w="1135" w:type="pct"/>
            <w:tcBorders>
              <w:top w:val="single" w:color="auto" w:sz="4" w:space="0"/>
              <w:left w:val="single" w:color="auto" w:sz="4" w:space="0"/>
              <w:bottom w:val="single" w:color="000000" w:sz="4" w:space="0"/>
              <w:right w:val="single" w:color="auto" w:sz="4" w:space="0"/>
            </w:tcBorders>
            <w:vAlign w:val="center"/>
          </w:tcPr>
          <w:p w14:paraId="18E86E81">
            <w:pPr>
              <w:widowControl/>
              <w:jc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洗消间</w:t>
            </w:r>
          </w:p>
        </w:tc>
        <w:tc>
          <w:tcPr>
            <w:tcW w:w="2807" w:type="pct"/>
            <w:tcBorders>
              <w:top w:val="nil"/>
              <w:left w:val="nil"/>
              <w:bottom w:val="single" w:color="auto" w:sz="4" w:space="0"/>
              <w:right w:val="single" w:color="auto" w:sz="4" w:space="0"/>
            </w:tcBorders>
            <w:shd w:val="clear" w:color="auto" w:fill="auto"/>
            <w:vAlign w:val="center"/>
          </w:tcPr>
          <w:p w14:paraId="27E40024">
            <w:pPr>
              <w:widowControl/>
              <w:jc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立式压力蒸汽灭菌锅</w:t>
            </w:r>
          </w:p>
        </w:tc>
        <w:tc>
          <w:tcPr>
            <w:tcW w:w="1058" w:type="pct"/>
            <w:tcBorders>
              <w:top w:val="nil"/>
              <w:left w:val="nil"/>
              <w:bottom w:val="single" w:color="auto" w:sz="4" w:space="0"/>
              <w:right w:val="single" w:color="auto" w:sz="4" w:space="0"/>
            </w:tcBorders>
            <w:shd w:val="clear" w:color="auto" w:fill="auto"/>
            <w:vAlign w:val="center"/>
          </w:tcPr>
          <w:p w14:paraId="70E61E2C">
            <w:pPr>
              <w:widowControl/>
              <w:jc w:val="center"/>
              <w:rPr>
                <w:rFonts w:ascii="Times New Roman" w:hAnsi="Times New Roman" w:eastAsia="宋体" w:cs="Times New Roman"/>
                <w:color w:val="000000"/>
                <w:kern w:val="0"/>
                <w:szCs w:val="21"/>
              </w:rPr>
            </w:pPr>
          </w:p>
        </w:tc>
      </w:tr>
    </w:tbl>
    <w:p w14:paraId="7CE5BEA3">
      <w:pPr>
        <w:spacing w:line="360" w:lineRule="auto"/>
        <w:jc w:val="center"/>
        <w:rPr>
          <w:rFonts w:hint="eastAsia" w:ascii="黑体" w:hAnsi="黑体" w:eastAsia="黑体" w:cs="黑体"/>
          <w:b/>
          <w:color w:val="000000" w:themeColor="text1"/>
          <w14:textFill>
            <w14:solidFill>
              <w14:schemeClr w14:val="tx1"/>
            </w14:solidFill>
          </w14:textFill>
        </w:rPr>
      </w:pPr>
    </w:p>
    <w:p w14:paraId="6D7031A6">
      <w:pPr>
        <w:spacing w:line="360" w:lineRule="auto"/>
        <w:rPr>
          <w:rFonts w:hint="eastAsia" w:ascii="宋体" w:hAnsi="宋体" w:eastAsia="宋体"/>
          <w:bCs/>
          <w:color w:val="000000" w:themeColor="text1"/>
          <w14:textFill>
            <w14:solidFill>
              <w14:schemeClr w14:val="tx1"/>
            </w14:solidFill>
          </w14:textFill>
        </w:rPr>
      </w:pPr>
      <w:r>
        <w:rPr>
          <w:rFonts w:hint="eastAsia" w:ascii="宋体" w:hAnsi="宋体" w:eastAsia="宋体"/>
          <w:bCs/>
          <w:color w:val="000000" w:themeColor="text1"/>
          <w14:textFill>
            <w14:solidFill>
              <w14:schemeClr w14:val="tx1"/>
            </w14:solidFill>
          </w14:textFill>
        </w:rPr>
        <w:t>注：区域适当合并的实验室，保证仪器设备符合实验室功能基本需求，设备类型及数量与检测平台及服务量相适应</w:t>
      </w:r>
    </w:p>
    <w:p w14:paraId="5EA6465A">
      <w:pPr>
        <w:rPr>
          <w:rFonts w:hint="eastAsia"/>
        </w:rPr>
      </w:pPr>
    </w:p>
    <w:p w14:paraId="3F632769">
      <w:pPr>
        <w:rPr>
          <w:rFonts w:hint="eastAsia"/>
        </w:rPr>
      </w:pPr>
    </w:p>
    <w:p w14:paraId="006E358E">
      <w:pPr>
        <w:rPr>
          <w:rFonts w:hint="eastAsia"/>
        </w:rPr>
      </w:pPr>
    </w:p>
    <w:p w14:paraId="6C08FA81">
      <w:pPr>
        <w:rPr>
          <w:rFonts w:hint="eastAsia"/>
        </w:rPr>
      </w:pPr>
    </w:p>
    <w:p w14:paraId="6AF87CEB">
      <w:pPr>
        <w:rPr>
          <w:rFonts w:hint="eastAsia"/>
        </w:rPr>
      </w:pPr>
    </w:p>
    <w:p w14:paraId="5697329B">
      <w:pPr>
        <w:rPr>
          <w:rFonts w:hint="eastAsia"/>
        </w:rPr>
      </w:pPr>
    </w:p>
    <w:p w14:paraId="07553CF7">
      <w:pPr>
        <w:rPr>
          <w:rFonts w:hint="eastAsia"/>
        </w:rPr>
      </w:pPr>
    </w:p>
    <w:p w14:paraId="595AB01F">
      <w:pPr>
        <w:rPr>
          <w:rFonts w:hint="eastAsia"/>
        </w:rPr>
      </w:pPr>
    </w:p>
    <w:p w14:paraId="15D5ED80">
      <w:pPr>
        <w:pStyle w:val="23"/>
        <w:spacing w:before="156" w:after="156"/>
        <w:jc w:val="both"/>
      </w:pPr>
      <w:r>
        <w:rPr>
          <w:rFonts w:hint="eastAsia"/>
          <w:spacing w:val="105"/>
        </w:rPr>
        <w:t>参考文</w:t>
      </w:r>
      <w:r>
        <w:rPr>
          <w:rFonts w:hint="eastAsia"/>
        </w:rPr>
        <w:t>献</w:t>
      </w:r>
    </w:p>
    <w:p w14:paraId="4B0512BA">
      <w:pPr>
        <w:rPr>
          <w:rFonts w:ascii="Times New Roman" w:hAnsi="Times New Roman" w:eastAsia="Helvetica" w:cs="Times New Roman"/>
          <w:color w:val="000000" w:themeColor="text1"/>
          <w:szCs w:val="21"/>
          <w:shd w:val="clear" w:color="auto" w:fill="FFFFFF"/>
          <w14:textFill>
            <w14:solidFill>
              <w14:schemeClr w14:val="tx1"/>
            </w14:solidFill>
          </w14:textFill>
        </w:rPr>
      </w:pPr>
      <w:r>
        <w:rPr>
          <w:rFonts w:ascii="Times New Roman" w:hAnsi="Times New Roman" w:cs="Times New Roman"/>
          <w:szCs w:val="21"/>
        </w:rPr>
        <w:t>[1]</w:t>
      </w:r>
      <w:r>
        <w:rPr>
          <w:rFonts w:ascii="Times New Roman" w:hAnsi="Times New Roman" w:eastAsia="宋体" w:cs="Times New Roman"/>
          <w:color w:val="000000" w:themeColor="text1"/>
          <w14:textFill>
            <w14:solidFill>
              <w14:schemeClr w14:val="tx1"/>
            </w14:solidFill>
          </w14:textFill>
        </w:rPr>
        <w:t>《医疗卫生机构医疗废物管理办法》</w:t>
      </w:r>
      <w:r>
        <w:rPr>
          <w:rFonts w:hint="eastAsia" w:ascii="Times New Roman" w:hAnsi="Times New Roman" w:eastAsia="宋体" w:cs="Times New Roman"/>
          <w:color w:val="000000" w:themeColor="text1"/>
          <w14:textFill>
            <w14:solidFill>
              <w14:schemeClr w14:val="tx1"/>
            </w14:solidFill>
          </w14:textFill>
        </w:rPr>
        <w:t xml:space="preserve"> </w:t>
      </w:r>
      <w:r>
        <w:rPr>
          <w:rFonts w:ascii="Times New Roman" w:hAnsi="Times New Roman" w:eastAsia="宋体" w:cs="Times New Roman"/>
          <w:color w:val="000000" w:themeColor="text1"/>
          <w14:textFill>
            <w14:solidFill>
              <w14:schemeClr w14:val="tx1"/>
            </w14:solidFill>
          </w14:textFill>
        </w:rPr>
        <w:t>国卫医发〔</w:t>
      </w:r>
      <w:r>
        <w:rPr>
          <w:rFonts w:ascii="Times New Roman" w:hAnsi="Times New Roman" w:eastAsia="Helvetica" w:cs="Times New Roman"/>
          <w:color w:val="000000" w:themeColor="text1"/>
          <w:szCs w:val="21"/>
          <w:shd w:val="clear" w:color="auto" w:fill="FFFFFF"/>
          <w14:textFill>
            <w14:solidFill>
              <w14:schemeClr w14:val="tx1"/>
            </w14:solidFill>
          </w14:textFill>
        </w:rPr>
        <w:t>200</w:t>
      </w:r>
      <w:r>
        <w:rPr>
          <w:rFonts w:ascii="Times New Roman" w:hAnsi="Times New Roman" w:eastAsia="宋体" w:cs="Times New Roman"/>
          <w:color w:val="000000" w:themeColor="text1"/>
          <w:szCs w:val="21"/>
          <w:shd w:val="clear" w:color="auto" w:fill="FFFFFF"/>
          <w14:textFill>
            <w14:solidFill>
              <w14:schemeClr w14:val="tx1"/>
            </w14:solidFill>
          </w14:textFill>
        </w:rPr>
        <w:t>3</w:t>
      </w:r>
      <w:r>
        <w:rPr>
          <w:rFonts w:ascii="Times New Roman" w:hAnsi="Times New Roman" w:eastAsia="宋体" w:cs="Times New Roman"/>
          <w:color w:val="000000" w:themeColor="text1"/>
          <w14:textFill>
            <w14:solidFill>
              <w14:schemeClr w14:val="tx1"/>
            </w14:solidFill>
          </w14:textFill>
        </w:rPr>
        <w:t>〕</w:t>
      </w:r>
      <w:r>
        <w:rPr>
          <w:rFonts w:ascii="Times New Roman" w:hAnsi="Times New Roman" w:eastAsia="宋体" w:cs="Times New Roman"/>
          <w:color w:val="000000" w:themeColor="text1"/>
          <w:szCs w:val="21"/>
          <w:shd w:val="clear" w:color="auto" w:fill="FFFFFF"/>
          <w14:textFill>
            <w14:solidFill>
              <w14:schemeClr w14:val="tx1"/>
            </w14:solidFill>
          </w14:textFill>
        </w:rPr>
        <w:t>36</w:t>
      </w:r>
      <w:r>
        <w:rPr>
          <w:rFonts w:hint="eastAsia" w:ascii="宋体" w:hAnsi="宋体" w:eastAsia="宋体"/>
          <w:color w:val="000000" w:themeColor="text1"/>
          <w:szCs w:val="21"/>
          <w:shd w:val="clear" w:color="auto" w:fill="FFFFFF"/>
          <w14:textFill>
            <w14:solidFill>
              <w14:schemeClr w14:val="tx1"/>
            </w14:solidFill>
          </w14:textFill>
        </w:rPr>
        <w:t>号</w:t>
      </w:r>
    </w:p>
    <w:p w14:paraId="1CAC5180">
      <w:pPr>
        <w:rPr>
          <w:rFonts w:ascii="Times New Roman" w:hAnsi="Times New Roman" w:eastAsia="宋体" w:cs="Times New Roman"/>
          <w:color w:val="000000"/>
          <w:szCs w:val="21"/>
          <w:shd w:val="clear" w:color="auto" w:fill="FFFFFF"/>
        </w:rPr>
      </w:pPr>
      <w:r>
        <w:rPr>
          <w:rFonts w:ascii="Times New Roman"/>
          <w:color w:val="000000"/>
          <w:szCs w:val="21"/>
          <w:shd w:val="clear" w:color="auto" w:fill="FFFFFF"/>
        </w:rPr>
        <w:t>[2]</w:t>
      </w:r>
      <w:r>
        <w:rPr>
          <w:rFonts w:ascii="Times New Roman" w:hAnsi="Times New Roman" w:eastAsia="宋体" w:cs="Times New Roman"/>
          <w:color w:val="000000"/>
          <w:szCs w:val="21"/>
          <w:shd w:val="clear" w:color="auto" w:fill="FFFFFF"/>
        </w:rPr>
        <w:t>《医疗机构临床实验室管理办法》</w:t>
      </w:r>
      <w:r>
        <w:rPr>
          <w:rFonts w:hint="eastAsia" w:ascii="Times New Roman" w:hAnsi="Times New Roman" w:eastAsia="宋体" w:cs="Times New Roman"/>
          <w:color w:val="000000"/>
          <w:szCs w:val="21"/>
          <w:shd w:val="clear" w:color="auto" w:fill="FFFFFF"/>
        </w:rPr>
        <w:t xml:space="preserve"> </w:t>
      </w:r>
      <w:r>
        <w:rPr>
          <w:rFonts w:ascii="Times New Roman" w:hAnsi="Times New Roman" w:eastAsia="宋体" w:cs="Times New Roman"/>
          <w:color w:val="000000"/>
          <w:szCs w:val="21"/>
          <w:shd w:val="clear" w:color="auto" w:fill="FFFFFF"/>
        </w:rPr>
        <w:t>卫医发</w:t>
      </w:r>
      <w:r>
        <w:rPr>
          <w:rFonts w:hint="eastAsia" w:ascii="Times New Roman" w:hAnsi="Times New Roman" w:eastAsia="宋体" w:cs="Times New Roman"/>
          <w:color w:val="000000"/>
          <w:szCs w:val="21"/>
          <w:shd w:val="clear" w:color="auto" w:fill="FFFFFF"/>
          <w:lang w:eastAsia="zh-CN"/>
        </w:rPr>
        <w:t>〔2006〕73号</w:t>
      </w:r>
    </w:p>
    <w:p w14:paraId="19BF4C81">
      <w:pPr>
        <w:rPr>
          <w:rFonts w:ascii="Times New Roman" w:hAnsi="Times New Roman" w:eastAsia="Helvetica" w:cs="Times New Roman"/>
          <w:color w:val="000000" w:themeColor="text1"/>
          <w:szCs w:val="21"/>
          <w:shd w:val="clear" w:color="auto" w:fill="FFFFFF"/>
          <w14:textFill>
            <w14:solidFill>
              <w14:schemeClr w14:val="tx1"/>
            </w14:solidFill>
          </w14:textFill>
        </w:rPr>
      </w:pPr>
      <w:bookmarkStart w:id="35" w:name="OLE_LINK6"/>
      <w:r>
        <w:rPr>
          <w:rFonts w:ascii="Times New Roman" w:hAnsi="Times New Roman" w:eastAsia="宋体" w:cs="Times New Roman"/>
          <w:color w:val="000000" w:themeColor="text1"/>
          <w14:textFill>
            <w14:solidFill>
              <w14:schemeClr w14:val="tx1"/>
            </w14:solidFill>
          </w14:textFill>
        </w:rPr>
        <w:t>[3]</w:t>
      </w:r>
      <w:r>
        <w:rPr>
          <w:rFonts w:hint="eastAsia" w:ascii="宋体" w:hAnsi="宋体" w:eastAsia="宋体"/>
          <w:color w:val="000000" w:themeColor="text1"/>
          <w:szCs w:val="21"/>
          <w:shd w:val="clear" w:color="auto" w:fill="FFFFFF"/>
          <w14:textFill>
            <w14:solidFill>
              <w14:schemeClr w14:val="tx1"/>
            </w14:solidFill>
          </w14:textFill>
        </w:rPr>
        <w:t>《血站实验室质量管理规范》 卫医发</w:t>
      </w:r>
      <w:r>
        <w:rPr>
          <w:rFonts w:ascii="Times New Roman" w:hAnsi="Times New Roman" w:eastAsia="宋体" w:cs="Times New Roman"/>
          <w:color w:val="000000" w:themeColor="text1"/>
          <w14:textFill>
            <w14:solidFill>
              <w14:schemeClr w14:val="tx1"/>
            </w14:solidFill>
          </w14:textFill>
        </w:rPr>
        <w:t>〔</w:t>
      </w:r>
      <w:r>
        <w:rPr>
          <w:rFonts w:ascii="Times New Roman" w:hAnsi="Times New Roman" w:eastAsia="Helvetica" w:cs="Times New Roman"/>
          <w:color w:val="000000" w:themeColor="text1"/>
          <w:szCs w:val="21"/>
          <w:shd w:val="clear" w:color="auto" w:fill="FFFFFF"/>
          <w14:textFill>
            <w14:solidFill>
              <w14:schemeClr w14:val="tx1"/>
            </w14:solidFill>
          </w14:textFill>
        </w:rPr>
        <w:t>2006</w:t>
      </w:r>
      <w:r>
        <w:rPr>
          <w:rFonts w:ascii="Times New Roman" w:hAnsi="Times New Roman" w:eastAsia="宋体" w:cs="Times New Roman"/>
          <w:color w:val="000000" w:themeColor="text1"/>
          <w14:textFill>
            <w14:solidFill>
              <w14:schemeClr w14:val="tx1"/>
            </w14:solidFill>
          </w14:textFill>
        </w:rPr>
        <w:t>〕</w:t>
      </w:r>
      <w:r>
        <w:rPr>
          <w:rFonts w:ascii="Times New Roman" w:hAnsi="Times New Roman" w:eastAsia="Helvetica" w:cs="Times New Roman"/>
          <w:color w:val="000000" w:themeColor="text1"/>
          <w:szCs w:val="21"/>
          <w:shd w:val="clear" w:color="auto" w:fill="FFFFFF"/>
          <w14:textFill>
            <w14:solidFill>
              <w14:schemeClr w14:val="tx1"/>
            </w14:solidFill>
          </w14:textFill>
        </w:rPr>
        <w:t>183</w:t>
      </w:r>
      <w:r>
        <w:rPr>
          <w:rFonts w:hint="eastAsia" w:ascii="宋体" w:hAnsi="宋体" w:eastAsia="宋体"/>
          <w:color w:val="000000" w:themeColor="text1"/>
          <w:szCs w:val="21"/>
          <w:shd w:val="clear" w:color="auto" w:fill="FFFFFF"/>
          <w14:textFill>
            <w14:solidFill>
              <w14:schemeClr w14:val="tx1"/>
            </w14:solidFill>
          </w14:textFill>
        </w:rPr>
        <w:t>号</w:t>
      </w:r>
    </w:p>
    <w:p w14:paraId="5AE6C2C2">
      <w:pPr>
        <w:pStyle w:val="21"/>
        <w:ind w:firstLine="0" w:firstLineChars="0"/>
        <w:rPr>
          <w:rFonts w:ascii="Times New Roman"/>
          <w:color w:val="000000"/>
          <w:szCs w:val="21"/>
          <w:shd w:val="clear" w:color="auto" w:fill="FFFFFF"/>
        </w:rPr>
      </w:pPr>
      <w:r>
        <w:rPr>
          <w:rFonts w:ascii="Times New Roman"/>
          <w:color w:val="000000" w:themeColor="text1"/>
          <w14:textFill>
            <w14:solidFill>
              <w14:schemeClr w14:val="tx1"/>
            </w14:solidFill>
          </w14:textFill>
        </w:rPr>
        <w:t>[</w:t>
      </w:r>
      <w:r>
        <w:rPr>
          <w:rFonts w:hint="eastAsia" w:ascii="Times New Roman"/>
          <w:color w:val="000000" w:themeColor="text1"/>
          <w14:textFill>
            <w14:solidFill>
              <w14:schemeClr w14:val="tx1"/>
            </w14:solidFill>
          </w14:textFill>
        </w:rPr>
        <w:t>4</w:t>
      </w:r>
      <w:r>
        <w:rPr>
          <w:rFonts w:ascii="Times New Roman"/>
          <w:color w:val="000000" w:themeColor="text1"/>
          <w14:textFill>
            <w14:solidFill>
              <w14:schemeClr w14:val="tx1"/>
            </w14:solidFill>
          </w14:textFill>
        </w:rPr>
        <w:t>]《医疗质量控制中心管理办法（试行）》</w:t>
      </w:r>
      <w:r>
        <w:rPr>
          <w:rFonts w:hint="eastAsia" w:ascii="Times New Roman"/>
          <w:color w:val="000000" w:themeColor="text1"/>
          <w14:textFill>
            <w14:solidFill>
              <w14:schemeClr w14:val="tx1"/>
            </w14:solidFill>
          </w14:textFill>
        </w:rPr>
        <w:t xml:space="preserve"> </w:t>
      </w:r>
      <w:r>
        <w:rPr>
          <w:rFonts w:ascii="Times New Roman"/>
          <w:color w:val="000000" w:themeColor="text1"/>
          <w14:textFill>
            <w14:solidFill>
              <w14:schemeClr w14:val="tx1"/>
            </w14:solidFill>
          </w14:textFill>
        </w:rPr>
        <w:t>卫医政发〔2009〕51号</w:t>
      </w:r>
    </w:p>
    <w:p w14:paraId="61CA7AC5">
      <w:pPr>
        <w:pStyle w:val="21"/>
        <w:ind w:firstLine="0" w:firstLineChars="0"/>
        <w:rPr>
          <w:rFonts w:ascii="Times New Roman"/>
          <w:color w:val="000000"/>
          <w:szCs w:val="21"/>
          <w:shd w:val="clear" w:color="auto" w:fill="FFFFFF"/>
        </w:rPr>
      </w:pPr>
      <w:r>
        <w:rPr>
          <w:rFonts w:ascii="Times New Roman"/>
          <w:color w:val="000000" w:themeColor="text1"/>
          <w14:textFill>
            <w14:solidFill>
              <w14:schemeClr w14:val="tx1"/>
            </w14:solidFill>
          </w14:textFill>
        </w:rPr>
        <w:t>[</w:t>
      </w:r>
      <w:r>
        <w:rPr>
          <w:rFonts w:hint="eastAsia" w:ascii="Times New Roman"/>
          <w:color w:val="000000" w:themeColor="text1"/>
          <w14:textFill>
            <w14:solidFill>
              <w14:schemeClr w14:val="tx1"/>
            </w14:solidFill>
          </w14:textFill>
        </w:rPr>
        <w:t>5</w:t>
      </w:r>
      <w:r>
        <w:rPr>
          <w:rFonts w:ascii="Times New Roman"/>
          <w:color w:val="000000" w:themeColor="text1"/>
          <w14:textFill>
            <w14:solidFill>
              <w14:schemeClr w14:val="tx1"/>
            </w14:solidFill>
          </w14:textFill>
        </w:rPr>
        <w:t>]</w:t>
      </w:r>
      <w:r>
        <w:fldChar w:fldCharType="begin"/>
      </w:r>
      <w:r>
        <w:instrText xml:space="preserve"> HYPERLINK "https://www.sccl.org.cn/http:" </w:instrText>
      </w:r>
      <w:r>
        <w:fldChar w:fldCharType="separate"/>
      </w:r>
      <w:r>
        <w:rPr>
          <w:rFonts w:ascii="Times New Roman"/>
          <w:color w:val="000000"/>
          <w:szCs w:val="21"/>
          <w:shd w:val="clear" w:color="auto" w:fill="FFFFFF"/>
        </w:rPr>
        <w:t>《医疗机构临床基因扩增检验实验室管理办法》</w:t>
      </w:r>
      <w:r>
        <w:rPr>
          <w:rFonts w:hint="eastAsia" w:ascii="Times New Roman"/>
          <w:color w:val="000000"/>
          <w:szCs w:val="21"/>
          <w:shd w:val="clear" w:color="auto" w:fill="FFFFFF"/>
        </w:rPr>
        <w:t xml:space="preserve"> </w:t>
      </w:r>
      <w:r>
        <w:rPr>
          <w:rFonts w:ascii="Times New Roman"/>
          <w:color w:val="000000"/>
          <w:szCs w:val="21"/>
          <w:shd w:val="clear" w:color="auto" w:fill="FFFFFF"/>
        </w:rPr>
        <w:t>卫办医政发〔2010〕194号</w:t>
      </w:r>
      <w:bookmarkEnd w:id="35"/>
      <w:r>
        <w:rPr>
          <w:rFonts w:ascii="Times New Roman"/>
          <w:color w:val="000000"/>
          <w:szCs w:val="21"/>
          <w:shd w:val="clear" w:color="auto" w:fill="FFFFFF"/>
        </w:rPr>
        <w:fldChar w:fldCharType="end"/>
      </w:r>
    </w:p>
    <w:p w14:paraId="2FD4BFCB">
      <w:pPr>
        <w:pStyle w:val="21"/>
        <w:ind w:firstLine="0" w:firstLineChars="0"/>
        <w:rPr>
          <w:rFonts w:ascii="Times New Roman"/>
          <w:szCs w:val="21"/>
        </w:rPr>
      </w:pPr>
      <w:r>
        <w:rPr>
          <w:rFonts w:ascii="Times New Roman"/>
          <w:color w:val="000000" w:themeColor="text1"/>
          <w14:textFill>
            <w14:solidFill>
              <w14:schemeClr w14:val="tx1"/>
            </w14:solidFill>
          </w14:textFill>
        </w:rPr>
        <w:t>[</w:t>
      </w:r>
      <w:r>
        <w:rPr>
          <w:rFonts w:hint="eastAsia" w:ascii="Times New Roman"/>
          <w:color w:val="000000" w:themeColor="text1"/>
          <w14:textFill>
            <w14:solidFill>
              <w14:schemeClr w14:val="tx1"/>
            </w14:solidFill>
          </w14:textFill>
        </w:rPr>
        <w:t>6</w:t>
      </w:r>
      <w:r>
        <w:rPr>
          <w:rFonts w:ascii="Times New Roman"/>
          <w:color w:val="000000" w:themeColor="text1"/>
          <w14:textFill>
            <w14:solidFill>
              <w14:schemeClr w14:val="tx1"/>
            </w14:solidFill>
          </w14:textFill>
        </w:rPr>
        <w:t>]《医学实验室质量和能力认可准则》</w:t>
      </w:r>
      <w:r>
        <w:rPr>
          <w:rFonts w:hint="eastAsia" w:ascii="Times New Roman"/>
          <w:color w:val="000000" w:themeColor="text1"/>
          <w14:textFill>
            <w14:solidFill>
              <w14:schemeClr w14:val="tx1"/>
            </w14:solidFill>
          </w14:textFill>
        </w:rPr>
        <w:t xml:space="preserve"> </w:t>
      </w:r>
      <w:r>
        <w:rPr>
          <w:rFonts w:ascii="Times New Roman"/>
          <w:color w:val="000000" w:themeColor="text1"/>
          <w14:textFill>
            <w14:solidFill>
              <w14:schemeClr w14:val="tx1"/>
            </w14:solidFill>
          </w14:textFill>
        </w:rPr>
        <w:t>ISO 15189: 2012, IDT.</w:t>
      </w:r>
    </w:p>
    <w:p w14:paraId="0FCE9BA0">
      <w:pPr>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w:t>
      </w:r>
      <w:r>
        <w:rPr>
          <w:rFonts w:hint="eastAsia" w:ascii="Times New Roman"/>
          <w:color w:val="000000" w:themeColor="text1"/>
          <w14:textFill>
            <w14:solidFill>
              <w14:schemeClr w14:val="tx1"/>
            </w14:solidFill>
          </w14:textFill>
        </w:rPr>
        <w:t>7</w:t>
      </w:r>
      <w:r>
        <w:rPr>
          <w:rFonts w:ascii="Times New Roman" w:hAnsi="Times New Roman" w:eastAsia="宋体" w:cs="Times New Roman"/>
          <w:color w:val="000000" w:themeColor="text1"/>
          <w14:textFill>
            <w14:solidFill>
              <w14:schemeClr w14:val="tx1"/>
            </w14:solidFill>
          </w14:textFill>
        </w:rPr>
        <w:t>]李艳，李金明</w:t>
      </w:r>
      <w:bookmarkStart w:id="36" w:name="_GoBack"/>
      <w:r>
        <w:rPr>
          <w:rFonts w:ascii="Times New Roman" w:hAnsi="Times New Roman" w:eastAsia="宋体" w:cs="Times New Roman"/>
          <w:color w:val="000000" w:themeColor="text1"/>
          <w14:textFill>
            <w14:solidFill>
              <w14:schemeClr w14:val="tx1"/>
            </w14:solidFill>
          </w14:textFill>
        </w:rPr>
        <w:t>.</w:t>
      </w:r>
      <w:bookmarkEnd w:id="36"/>
      <w:r>
        <w:rPr>
          <w:rFonts w:ascii="Times New Roman" w:hAnsi="Times New Roman" w:eastAsia="宋体" w:cs="Times New Roman"/>
          <w:color w:val="000000" w:themeColor="text1"/>
          <w14:textFill>
            <w14:solidFill>
              <w14:schemeClr w14:val="tx1"/>
            </w14:solidFill>
          </w14:textFill>
        </w:rPr>
        <w:t xml:space="preserve"> 《个体化医疗中的临床分子诊断》 人民卫生出版社 2013年8月.</w:t>
      </w:r>
    </w:p>
    <w:p w14:paraId="04350A8B">
      <w:pPr>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w:t>
      </w:r>
      <w:r>
        <w:rPr>
          <w:rFonts w:hint="eastAsia" w:ascii="Times New Roman"/>
          <w:color w:val="000000" w:themeColor="text1"/>
          <w14:textFill>
            <w14:solidFill>
              <w14:schemeClr w14:val="tx1"/>
            </w14:solidFill>
          </w14:textFill>
        </w:rPr>
        <w:t>8</w:t>
      </w:r>
      <w:r>
        <w:rPr>
          <w:rFonts w:ascii="Times New Roman" w:hAnsi="Times New Roman" w:eastAsia="宋体" w:cs="Times New Roman"/>
          <w:color w:val="000000" w:themeColor="text1"/>
          <w14:textFill>
            <w14:solidFill>
              <w14:schemeClr w14:val="tx1"/>
            </w14:solidFill>
          </w14:textFill>
        </w:rPr>
        <w:t>]</w:t>
      </w:r>
      <w:r>
        <w:rPr>
          <w:rFonts w:hint="eastAsia" w:ascii="Times New Roman" w:hAnsi="Times New Roman" w:eastAsia="宋体" w:cs="Times New Roman"/>
          <w:color w:val="000000" w:themeColor="text1"/>
          <w14:textFill>
            <w14:solidFill>
              <w14:schemeClr w14:val="tx1"/>
            </w14:solidFill>
          </w14:textFill>
        </w:rPr>
        <w:t>《药物代谢酶和药物作用靶点基因检测技术指南（试行）》 国卫医医护便函〔2015〕240号</w:t>
      </w:r>
    </w:p>
    <w:p w14:paraId="01E21991">
      <w:pPr>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w:t>
      </w:r>
      <w:r>
        <w:rPr>
          <w:rFonts w:hint="eastAsia" w:ascii="Times New Roman"/>
          <w:color w:val="000000" w:themeColor="text1"/>
          <w14:textFill>
            <w14:solidFill>
              <w14:schemeClr w14:val="tx1"/>
            </w14:solidFill>
          </w14:textFill>
        </w:rPr>
        <w:t>9</w:t>
      </w:r>
      <w:r>
        <w:rPr>
          <w:rFonts w:ascii="Times New Roman" w:hAnsi="Times New Roman" w:eastAsia="宋体" w:cs="Times New Roman"/>
          <w:color w:val="000000" w:themeColor="text1"/>
          <w14:textFill>
            <w14:solidFill>
              <w14:schemeClr w14:val="tx1"/>
            </w14:solidFill>
          </w14:textFill>
        </w:rPr>
        <w:t>]《医学检验实验室基本标准和管理规范（试行）》</w:t>
      </w:r>
      <w:r>
        <w:rPr>
          <w:rFonts w:hint="eastAsia" w:ascii="Times New Roman" w:hAnsi="Times New Roman" w:eastAsia="宋体" w:cs="Times New Roman"/>
          <w:color w:val="000000" w:themeColor="text1"/>
          <w14:textFill>
            <w14:solidFill>
              <w14:schemeClr w14:val="tx1"/>
            </w14:solidFill>
          </w14:textFill>
        </w:rPr>
        <w:t xml:space="preserve"> </w:t>
      </w:r>
      <w:r>
        <w:rPr>
          <w:rFonts w:ascii="Times New Roman" w:hAnsi="Times New Roman" w:eastAsia="宋体" w:cs="Times New Roman"/>
          <w:color w:val="000000" w:themeColor="text1"/>
          <w14:textFill>
            <w14:solidFill>
              <w14:schemeClr w14:val="tx1"/>
            </w14:solidFill>
          </w14:textFill>
        </w:rPr>
        <w:t>国卫医发〔2016〕37号</w:t>
      </w:r>
    </w:p>
    <w:p w14:paraId="59FB8373">
      <w:pPr>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w:t>
      </w:r>
      <w:r>
        <w:rPr>
          <w:rFonts w:hint="eastAsia" w:ascii="Times New Roman" w:hAnsi="Times New Roman" w:eastAsia="宋体" w:cs="Times New Roman"/>
          <w:color w:val="000000" w:themeColor="text1"/>
          <w14:textFill>
            <w14:solidFill>
              <w14:schemeClr w14:val="tx1"/>
            </w14:solidFill>
          </w14:textFill>
        </w:rPr>
        <w:t>10</w:t>
      </w:r>
      <w:r>
        <w:rPr>
          <w:rFonts w:ascii="Times New Roman" w:hAnsi="Times New Roman" w:eastAsia="宋体" w:cs="Times New Roman"/>
          <w:color w:val="000000" w:themeColor="text1"/>
          <w14:textFill>
            <w14:solidFill>
              <w14:schemeClr w14:val="tx1"/>
            </w14:solidFill>
          </w14:textFill>
        </w:rPr>
        <w:t>]《检测和校准实验室能力的通用要求》</w:t>
      </w:r>
      <w:r>
        <w:rPr>
          <w:rFonts w:hint="eastAsia" w:ascii="Times New Roman" w:hAnsi="Times New Roman" w:eastAsia="宋体" w:cs="Times New Roman"/>
          <w:color w:val="000000" w:themeColor="text1"/>
          <w14:textFill>
            <w14:solidFill>
              <w14:schemeClr w14:val="tx1"/>
            </w14:solidFill>
          </w14:textFill>
        </w:rPr>
        <w:t xml:space="preserve"> </w:t>
      </w:r>
      <w:r>
        <w:rPr>
          <w:rFonts w:ascii="Times New Roman" w:hAnsi="Times New Roman" w:eastAsia="宋体" w:cs="Times New Roman"/>
          <w:color w:val="000000" w:themeColor="text1"/>
          <w14:textFill>
            <w14:solidFill>
              <w14:schemeClr w14:val="tx1"/>
            </w14:solidFill>
          </w14:textFill>
        </w:rPr>
        <w:t>ISO/IEC 17025: 2017.</w:t>
      </w:r>
    </w:p>
    <w:bookmarkEnd w:id="34"/>
    <w:p w14:paraId="2C70F61C">
      <w:pPr>
        <w:rPr>
          <w:rFonts w:ascii="Times New Roman" w:hAnsi="Times New Roman" w:cs="Times New Roman" w:eastAsiaTheme="minorEastAsia"/>
          <w:color w:val="000000" w:themeColor="text1"/>
          <w:szCs w:val="21"/>
          <w:shd w:val="clear" w:color="auto" w:fill="FFFFFF"/>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w:t>
      </w:r>
      <w:r>
        <w:rPr>
          <w:rFonts w:hint="eastAsia" w:ascii="Times New Roman" w:hAnsi="Times New Roman" w:eastAsia="宋体" w:cs="Times New Roman"/>
          <w:color w:val="000000" w:themeColor="text1"/>
          <w14:textFill>
            <w14:solidFill>
              <w14:schemeClr w14:val="tx1"/>
            </w14:solidFill>
          </w14:textFill>
        </w:rPr>
        <w:t>11</w:t>
      </w:r>
      <w:r>
        <w:rPr>
          <w:rFonts w:ascii="Times New Roman" w:hAnsi="Times New Roman" w:eastAsia="宋体" w:cs="Times New Roman"/>
          <w:color w:val="000000" w:themeColor="text1"/>
          <w14:textFill>
            <w14:solidFill>
              <w14:schemeClr w14:val="tx1"/>
            </w14:solidFill>
          </w14:textFill>
        </w:rPr>
        <w:t>] [</w:t>
      </w:r>
      <w:r>
        <w:rPr>
          <w:rFonts w:hint="eastAsia" w:ascii="Times New Roman" w:hAnsi="Times New Roman" w:eastAsia="宋体" w:cs="Times New Roman"/>
          <w:color w:val="000000" w:themeColor="text1"/>
          <w14:textFill>
            <w14:solidFill>
              <w14:schemeClr w14:val="tx1"/>
            </w14:solidFill>
          </w14:textFill>
        </w:rPr>
        <w:t>11</w:t>
      </w:r>
      <w:r>
        <w:rPr>
          <w:rFonts w:ascii="Times New Roman" w:hAnsi="Times New Roman" w:eastAsia="宋体" w:cs="Times New Roman"/>
          <w:color w:val="000000" w:themeColor="text1"/>
          <w14:textFill>
            <w14:solidFill>
              <w14:schemeClr w14:val="tx1"/>
            </w14:solidFill>
          </w14:textFill>
        </w:rPr>
        <w:t>]</w:t>
      </w:r>
      <w:r>
        <w:rPr>
          <w:rFonts w:hint="eastAsia" w:ascii="Times New Roman" w:hAnsi="Times New Roman" w:cs="Times New Roman" w:eastAsiaTheme="minorEastAsia"/>
          <w:color w:val="000000" w:themeColor="text1"/>
          <w:szCs w:val="21"/>
          <w:shd w:val="clear" w:color="auto" w:fill="FFFFFF"/>
          <w14:textFill>
            <w14:solidFill>
              <w14:schemeClr w14:val="tx1"/>
            </w14:solidFill>
          </w14:textFill>
        </w:rPr>
        <w:t>王志伟, 袁明利, 代超, 等. 临床实验室规划设计、建设施工的基本原则[J]. 医疗卫生装备, 2017, 38(7): 119-124.</w:t>
      </w:r>
    </w:p>
    <w:p w14:paraId="401F3F29">
      <w:pPr>
        <w:ind w:left="420" w:hanging="420" w:hangingChars="200"/>
        <w:rPr>
          <w:rFonts w:ascii="Times New Roman" w:hAnsi="Times New Roman" w:eastAsia="宋体" w:cs="Times New Roman"/>
          <w:color w:val="000000" w:themeColor="text1"/>
          <w14:textFill>
            <w14:solidFill>
              <w14:schemeClr w14:val="tx1"/>
            </w14:solidFill>
          </w14:textFill>
        </w:rPr>
      </w:pPr>
    </w:p>
    <w:p w14:paraId="02551011">
      <w:pPr>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w:t>
      </w:r>
      <w:r>
        <w:rPr>
          <w:rFonts w:hint="eastAsia" w:ascii="Times New Roman" w:hAnsi="Times New Roman" w:eastAsia="宋体" w:cs="Times New Roman"/>
          <w:color w:val="000000" w:themeColor="text1"/>
          <w14:textFill>
            <w14:solidFill>
              <w14:schemeClr w14:val="tx1"/>
            </w14:solidFill>
          </w14:textFill>
        </w:rPr>
        <w:t>12</w:t>
      </w:r>
      <w:r>
        <w:rPr>
          <w:rFonts w:ascii="Times New Roman" w:hAnsi="Times New Roman" w:eastAsia="宋体" w:cs="Times New Roman"/>
          <w:color w:val="000000" w:themeColor="text1"/>
          <w14:textFill>
            <w14:solidFill>
              <w14:schemeClr w14:val="tx1"/>
            </w14:solidFill>
          </w14:textFill>
        </w:rPr>
        <w:t>]《医疗机构临床实验室管理办法（2020年修订）》</w:t>
      </w:r>
      <w:r>
        <w:rPr>
          <w:rFonts w:hint="eastAsia" w:ascii="Times New Roman" w:hAnsi="Times New Roman" w:eastAsia="宋体" w:cs="Times New Roman"/>
          <w:color w:val="000000" w:themeColor="text1"/>
          <w14:textFill>
            <w14:solidFill>
              <w14:schemeClr w14:val="tx1"/>
            </w14:solidFill>
          </w14:textFill>
        </w:rPr>
        <w:t xml:space="preserve"> </w:t>
      </w:r>
      <w:r>
        <w:rPr>
          <w:rFonts w:ascii="Times New Roman" w:hAnsi="Times New Roman" w:eastAsia="宋体" w:cs="Times New Roman"/>
          <w:color w:val="000000" w:themeColor="text1"/>
          <w14:textFill>
            <w14:solidFill>
              <w14:schemeClr w14:val="tx1"/>
            </w14:solidFill>
          </w14:textFill>
        </w:rPr>
        <w:t>卫医发〔2020〕73号</w:t>
      </w:r>
    </w:p>
    <w:p w14:paraId="1455FC79">
      <w:pPr>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w:t>
      </w:r>
      <w:r>
        <w:rPr>
          <w:rFonts w:hint="eastAsia" w:ascii="Times New Roman" w:hAnsi="Times New Roman" w:eastAsia="宋体" w:cs="Times New Roman"/>
          <w:color w:val="000000" w:themeColor="text1"/>
          <w14:textFill>
            <w14:solidFill>
              <w14:schemeClr w14:val="tx1"/>
            </w14:solidFill>
          </w14:textFill>
        </w:rPr>
        <w:t>13</w:t>
      </w:r>
      <w:r>
        <w:rPr>
          <w:rFonts w:ascii="Times New Roman" w:hAnsi="Times New Roman" w:eastAsia="宋体" w:cs="Times New Roman"/>
          <w:color w:val="000000" w:themeColor="text1"/>
          <w14:textFill>
            <w14:solidFill>
              <w14:schemeClr w14:val="tx1"/>
            </w14:solidFill>
          </w14:textFill>
        </w:rPr>
        <w:t>]</w:t>
      </w:r>
      <w:r>
        <w:fldChar w:fldCharType="begin"/>
      </w:r>
      <w:r>
        <w:instrText xml:space="preserve"> HYPERLINK "http://www.wxlx.gov.cn/doc/2022/06/06/3691952.shtml" </w:instrText>
      </w:r>
      <w:r>
        <w:fldChar w:fldCharType="separate"/>
      </w:r>
      <w:r>
        <w:rPr>
          <w:rFonts w:ascii="Times New Roman" w:hAnsi="Times New Roman" w:eastAsia="宋体" w:cs="Times New Roman"/>
          <w:color w:val="000000" w:themeColor="text1"/>
          <w14:textFill>
            <w14:solidFill>
              <w14:schemeClr w14:val="tx1"/>
            </w14:solidFill>
          </w14:textFill>
        </w:rPr>
        <w:t>《医疗机构管理条例（2022年修订）</w:t>
      </w:r>
      <w:r>
        <w:rPr>
          <w:rFonts w:ascii="Times New Roman" w:hAnsi="Times New Roman" w:eastAsia="宋体" w:cs="Times New Roman"/>
          <w:color w:val="000000" w:themeColor="text1"/>
          <w14:textFill>
            <w14:solidFill>
              <w14:schemeClr w14:val="tx1"/>
            </w14:solidFill>
          </w14:textFill>
        </w:rPr>
        <w:fldChar w:fldCharType="end"/>
      </w:r>
      <w:r>
        <w:rPr>
          <w:rFonts w:ascii="Times New Roman" w:hAnsi="Times New Roman" w:eastAsia="宋体" w:cs="Times New Roman"/>
          <w:color w:val="000000" w:themeColor="text1"/>
          <w14:textFill>
            <w14:solidFill>
              <w14:schemeClr w14:val="tx1"/>
            </w14:solidFill>
          </w14:textFill>
        </w:rPr>
        <w:t>》</w:t>
      </w:r>
      <w:r>
        <w:rPr>
          <w:rFonts w:hint="eastAsia" w:ascii="Times New Roman" w:hAnsi="Times New Roman" w:eastAsia="宋体" w:cs="Times New Roman"/>
          <w:color w:val="000000" w:themeColor="text1"/>
          <w14:textFill>
            <w14:solidFill>
              <w14:schemeClr w14:val="tx1"/>
            </w14:solidFill>
          </w14:textFill>
        </w:rPr>
        <w:t xml:space="preserve"> </w:t>
      </w:r>
      <w:r>
        <w:rPr>
          <w:rFonts w:ascii="Times New Roman" w:hAnsi="Times New Roman" w:eastAsia="宋体" w:cs="Times New Roman"/>
          <w:color w:val="000000" w:themeColor="text1"/>
          <w14:textFill>
            <w14:solidFill>
              <w14:schemeClr w14:val="tx1"/>
            </w14:solidFill>
          </w14:textFill>
        </w:rPr>
        <w:t>国务院令〔2022〕752号</w:t>
      </w:r>
    </w:p>
    <w:p w14:paraId="41C36C73">
      <w:pPr>
        <w:rPr>
          <w:rFonts w:hint="eastAsia" w:ascii="黑体" w:hAnsi="黑体" w:eastAsia="黑体" w:cs="黑体"/>
          <w:b/>
          <w:color w:val="000000" w:themeColor="text1"/>
          <w14:textFill>
            <w14:solidFill>
              <w14:schemeClr w14:val="tx1"/>
            </w14:solidFill>
          </w14:textFill>
        </w:rPr>
      </w:pPr>
      <w:r>
        <w:rPr>
          <w:rFonts w:ascii="Times New Roman" w:hAnsi="Times New Roman" w:eastAsia="宋体" w:cs="Times New Roman"/>
          <w:color w:val="000000" w:themeColor="text1"/>
          <w:szCs w:val="21"/>
          <w:shd w:val="clear" w:color="auto" w:fill="FFFFFF"/>
          <w14:textFill>
            <w14:solidFill>
              <w14:schemeClr w14:val="tx1"/>
            </w14:solidFill>
          </w14:textFill>
        </w:rPr>
        <w:t>[</w:t>
      </w:r>
      <w:r>
        <w:rPr>
          <w:rFonts w:hint="eastAsia" w:ascii="Times New Roman" w:hAnsi="Times New Roman" w:eastAsia="宋体" w:cs="Times New Roman"/>
          <w:color w:val="000000" w:themeColor="text1"/>
          <w:szCs w:val="21"/>
          <w:shd w:val="clear" w:color="auto" w:fill="FFFFFF"/>
          <w14:textFill>
            <w14:solidFill>
              <w14:schemeClr w14:val="tx1"/>
            </w14:solidFill>
          </w14:textFill>
        </w:rPr>
        <w:t>14</w:t>
      </w:r>
      <w:r>
        <w:rPr>
          <w:rFonts w:ascii="Times New Roman" w:hAnsi="Times New Roman" w:eastAsia="宋体" w:cs="Times New Roman"/>
          <w:color w:val="000000" w:themeColor="text1"/>
          <w:szCs w:val="21"/>
          <w:shd w:val="clear" w:color="auto" w:fill="FFFFFF"/>
          <w14:textFill>
            <w14:solidFill>
              <w14:schemeClr w14:val="tx1"/>
            </w14:solidFill>
          </w14:textFill>
        </w:rPr>
        <w:t>]</w:t>
      </w:r>
      <w:r>
        <w:rPr>
          <w:rFonts w:hint="eastAsia" w:ascii="宋体" w:hAnsi="宋体" w:eastAsia="宋体"/>
          <w:color w:val="000000" w:themeColor="text1"/>
          <w:szCs w:val="21"/>
          <w:shd w:val="clear" w:color="auto" w:fill="FFFFFF"/>
          <w14:textFill>
            <w14:solidFill>
              <w14:schemeClr w14:val="tx1"/>
            </w14:solidFill>
          </w14:textFill>
        </w:rPr>
        <w:t>《医疗废物管理条例》 国务院令</w:t>
      </w:r>
      <w:r>
        <w:rPr>
          <w:rFonts w:ascii="Times New Roman" w:hAnsi="Times New Roman" w:eastAsia="宋体" w:cs="Times New Roman"/>
          <w:color w:val="000000" w:themeColor="text1"/>
          <w14:textFill>
            <w14:solidFill>
              <w14:schemeClr w14:val="tx1"/>
            </w14:solidFill>
          </w14:textFill>
        </w:rPr>
        <w:t>〔</w:t>
      </w:r>
      <w:r>
        <w:rPr>
          <w:rFonts w:ascii="Times New Roman" w:hAnsi="Times New Roman" w:eastAsia="Helvetica" w:cs="Times New Roman"/>
          <w:color w:val="000000" w:themeColor="text1"/>
          <w:szCs w:val="21"/>
          <w:shd w:val="clear" w:color="auto" w:fill="FFFFFF"/>
          <w14:textFill>
            <w14:solidFill>
              <w14:schemeClr w14:val="tx1"/>
            </w14:solidFill>
          </w14:textFill>
        </w:rPr>
        <w:t>20</w:t>
      </w:r>
      <w:r>
        <w:rPr>
          <w:rFonts w:ascii="Times New Roman" w:hAnsi="Times New Roman" w:eastAsia="宋体" w:cs="Times New Roman"/>
          <w:color w:val="000000" w:themeColor="text1"/>
          <w:szCs w:val="21"/>
          <w:shd w:val="clear" w:color="auto" w:fill="FFFFFF"/>
          <w14:textFill>
            <w14:solidFill>
              <w14:schemeClr w14:val="tx1"/>
            </w14:solidFill>
          </w14:textFill>
        </w:rPr>
        <w:t>22</w:t>
      </w:r>
      <w:r>
        <w:rPr>
          <w:rFonts w:ascii="Times New Roman" w:hAnsi="Times New Roman" w:eastAsia="宋体" w:cs="Times New Roman"/>
          <w:color w:val="000000" w:themeColor="text1"/>
          <w14:textFill>
            <w14:solidFill>
              <w14:schemeClr w14:val="tx1"/>
            </w14:solidFill>
          </w14:textFill>
        </w:rPr>
        <w:t>〕</w:t>
      </w:r>
      <w:r>
        <w:rPr>
          <w:rFonts w:ascii="Times New Roman" w:hAnsi="Times New Roman" w:eastAsia="Helvetica" w:cs="Times New Roman"/>
          <w:color w:val="000000" w:themeColor="text1"/>
          <w:szCs w:val="21"/>
          <w:shd w:val="clear" w:color="auto" w:fill="FFFFFF"/>
          <w14:textFill>
            <w14:solidFill>
              <w14:schemeClr w14:val="tx1"/>
            </w14:solidFill>
          </w14:textFill>
        </w:rPr>
        <w:t>380</w:t>
      </w:r>
      <w:r>
        <w:rPr>
          <w:rFonts w:hint="eastAsia" w:ascii="宋体" w:hAnsi="宋体" w:eastAsia="宋体"/>
          <w:color w:val="000000" w:themeColor="text1"/>
          <w:szCs w:val="21"/>
          <w:shd w:val="clear" w:color="auto" w:fill="FFFFFF"/>
          <w14:textFill>
            <w14:solidFill>
              <w14:schemeClr w14:val="tx1"/>
            </w14:solidFill>
          </w14:textFill>
        </w:rPr>
        <w:t>号</w:t>
      </w:r>
      <w:r>
        <mc:AlternateContent>
          <mc:Choice Requires="wps">
            <w:drawing>
              <wp:anchor distT="0" distB="0" distL="114300" distR="114300" simplePos="0" relativeHeight="251664384" behindDoc="0" locked="0" layoutInCell="1" allowOverlap="1">
                <wp:simplePos x="0" y="0"/>
                <wp:positionH relativeFrom="column">
                  <wp:posOffset>1764665</wp:posOffset>
                </wp:positionH>
                <wp:positionV relativeFrom="paragraph">
                  <wp:posOffset>2256790</wp:posOffset>
                </wp:positionV>
                <wp:extent cx="2143125" cy="635"/>
                <wp:effectExtent l="0" t="12700" r="3175" b="24765"/>
                <wp:wrapNone/>
                <wp:docPr id="1" name="直接连接符 1"/>
                <wp:cNvGraphicFramePr/>
                <a:graphic xmlns:a="http://schemas.openxmlformats.org/drawingml/2006/main">
                  <a:graphicData uri="http://schemas.microsoft.com/office/word/2010/wordprocessingShape">
                    <wps:wsp>
                      <wps:cNvCnPr/>
                      <wps:spPr>
                        <a:xfrm flipV="1">
                          <a:off x="2807970" y="6039485"/>
                          <a:ext cx="2143125" cy="63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line id="_x0000_s1026" o:spid="_x0000_s1026" o:spt="20" style="position:absolute;left:0pt;flip:y;margin-left:138.95pt;margin-top:177.7pt;height:0.05pt;width:168.75pt;z-index:251664384;mso-width-relative:page;mso-height-relative:page;" filled="f" stroked="t" coordsize="21600,21600" o:gfxdata="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AlBfBS1wAAAAsBAAAPAAAAAAAAAAEAIAAAACIAAABkcnMvZG93bnJldi54bWxQSwECFAAUAAAA&#10;CACHTuJASGGnl+8BAACzAwAADgAAAAAAAAABACAAAAAmAQAAZHJzL2Uyb0RvYy54bWxQSwUGAAAA&#10;AAYABgBZAQAAhwUAAAAA&#10;">
                <v:fill on="f" focussize="0,0"/>
                <v:stroke weight="2pt" color="#000000 [3213]" joinstyle="round"/>
                <v:imagedata o:title=""/>
                <o:lock v:ext="edit" aspectratio="f"/>
              </v:line>
            </w:pict>
          </mc:Fallback>
        </mc:AlternateContent>
      </w:r>
    </w:p>
    <w:sectPr>
      <w:pgSz w:w="11906" w:h="16838"/>
      <w:pgMar w:top="1928" w:right="1134" w:bottom="1134" w:left="1134" w:header="1418" w:footer="1134" w:gutter="284"/>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Arial">
    <w:panose1 w:val="020B0604020202020204"/>
    <w:charset w:val="00"/>
    <w:family w:val="swiss"/>
    <w:pitch w:val="default"/>
    <w:sig w:usb0="E0002EFF" w:usb1="C000785B" w:usb2="00000009" w:usb3="00000000" w:csb0="400001FF" w:csb1="FFFF0000"/>
  </w:font>
  <w:font w:name="Helvetica">
    <w:altName w:val="Arial"/>
    <w:panose1 w:val="020B0604020202020204"/>
    <w:charset w:val="00"/>
    <w:family w:val="swiss"/>
    <w:pitch w:val="default"/>
    <w:sig w:usb0="00000000" w:usb1="00000000"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F57CBA">
    <w:pPr>
      <w:pStyle w:val="6"/>
    </w:pPr>
    <w:r>
      <w:fldChar w:fldCharType="begin"/>
    </w:r>
    <w:r>
      <w:instrText xml:space="preserve">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E4C336">
    <w:pPr>
      <w:pStyle w:val="20"/>
    </w:pPr>
    <w:r>
      <w:fldChar w:fldCharType="begin"/>
    </w:r>
    <w:r>
      <w:instrText xml:space="preserve">PAGE   \* MERGEFORMAT</w:instrText>
    </w:r>
    <w:r>
      <w:fldChar w:fldCharType="separate"/>
    </w:r>
    <w:r>
      <w:rPr>
        <w:lang w:val="zh-CN"/>
      </w:rPr>
      <w:t>9</w:t>
    </w:r>
    <w: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FF347C">
    <w:pPr>
      <w:pStyle w:val="7"/>
      <w:jc w:val="both"/>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8C3CE8">
    <w:pPr>
      <w:pStyle w:val="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F61A82">
    <w:pPr>
      <w:pStyle w:val="7"/>
      <w:jc w:val="right"/>
      <w:rPr>
        <w:lang w:val="fr-FR"/>
      </w:rPr>
    </w:pPr>
    <w:r>
      <w:fldChar w:fldCharType="begin"/>
    </w:r>
    <w:r>
      <w:rPr>
        <w:lang w:val="fr-FR"/>
      </w:rPr>
      <w:instrText xml:space="preserve"> STYLEREF  </w:instrText>
    </w:r>
    <w:r>
      <w:instrText xml:space="preserve">标准文件</w:instrText>
    </w:r>
    <w:r>
      <w:rPr>
        <w:lang w:val="fr-FR"/>
      </w:rPr>
      <w:instrText xml:space="preserve">_</w:instrText>
    </w:r>
    <w:r>
      <w:instrText xml:space="preserve">文件编号</w:instrText>
    </w:r>
    <w:r>
      <w:rPr>
        <w:lang w:val="fr-FR"/>
      </w:rPr>
      <w:instrText xml:space="preserve">  \* MERGEFORMAT </w:instrText>
    </w:r>
    <w:r>
      <w:fldChar w:fldCharType="separate"/>
    </w:r>
    <w:r>
      <w:rPr>
        <w:b/>
      </w:rPr>
      <w:t>错误！文档中没有指定样式的文字。</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3"/>
    <w:multiLevelType w:val="multilevel"/>
    <w:tmpl w:val="00000003"/>
    <w:lvl w:ilvl="0" w:tentative="0">
      <w:start w:val="1"/>
      <w:numFmt w:val="none"/>
      <w:pStyle w:val="34"/>
      <w:lvlText w:val="%1——"/>
      <w:lvlJc w:val="left"/>
      <w:pPr>
        <w:tabs>
          <w:tab w:val="left" w:pos="1266"/>
        </w:tabs>
        <w:ind w:left="1266" w:hanging="426"/>
      </w:pPr>
      <w:rPr>
        <w:rFonts w:hint="eastAsia" w:ascii="宋体" w:hAnsi="Times New Roman" w:eastAsia="宋体"/>
        <w:b w:val="0"/>
        <w:i w:val="0"/>
        <w:sz w:val="21"/>
      </w:rPr>
    </w:lvl>
    <w:lvl w:ilvl="1" w:tentative="0">
      <w:start w:val="1"/>
      <w:numFmt w:val="none"/>
      <w:pStyle w:val="41"/>
      <w:lvlText w:val=""/>
      <w:lvlJc w:val="left"/>
      <w:pPr>
        <w:ind w:left="1266" w:hanging="431"/>
      </w:pPr>
      <w:rPr>
        <w:rFonts w:hint="default" w:ascii="Symbol" w:hAnsi="Symbol"/>
        <w:sz w:val="21"/>
      </w:rPr>
    </w:lvl>
    <w:lvl w:ilvl="2" w:tentative="0">
      <w:start w:val="1"/>
      <w:numFmt w:val="bullet"/>
      <w:pStyle w:val="37"/>
      <w:lvlText w:val=""/>
      <w:lvlJc w:val="left"/>
      <w:pPr>
        <w:ind w:left="1266" w:hanging="426"/>
      </w:pPr>
      <w:rPr>
        <w:rFonts w:hint="default" w:ascii="Wingdings" w:hAnsi="Wingdings"/>
        <w:sz w:val="21"/>
      </w:rPr>
    </w:lvl>
    <w:lvl w:ilvl="3" w:tentative="0">
      <w:start w:val="1"/>
      <w:numFmt w:val="decimal"/>
      <w:lvlText w:val="%4."/>
      <w:lvlJc w:val="left"/>
      <w:pPr>
        <w:tabs>
          <w:tab w:val="left" w:pos="2486"/>
        </w:tabs>
        <w:ind w:left="2299" w:hanging="528"/>
      </w:pPr>
      <w:rPr>
        <w:rFonts w:hint="eastAsia"/>
      </w:rPr>
    </w:lvl>
    <w:lvl w:ilvl="4" w:tentative="0">
      <w:start w:val="1"/>
      <w:numFmt w:val="lowerLetter"/>
      <w:lvlText w:val="%5)"/>
      <w:lvlJc w:val="left"/>
      <w:pPr>
        <w:tabs>
          <w:tab w:val="left" w:pos="2798"/>
        </w:tabs>
        <w:ind w:left="2611" w:hanging="528"/>
      </w:pPr>
      <w:rPr>
        <w:rFonts w:hint="eastAsia"/>
      </w:rPr>
    </w:lvl>
    <w:lvl w:ilvl="5" w:tentative="0">
      <w:start w:val="1"/>
      <w:numFmt w:val="lowerRoman"/>
      <w:lvlText w:val="%6."/>
      <w:lvlJc w:val="right"/>
      <w:pPr>
        <w:tabs>
          <w:tab w:val="left" w:pos="3110"/>
        </w:tabs>
        <w:ind w:left="2923" w:hanging="528"/>
      </w:pPr>
      <w:rPr>
        <w:rFonts w:hint="eastAsia"/>
      </w:rPr>
    </w:lvl>
    <w:lvl w:ilvl="6" w:tentative="0">
      <w:start w:val="1"/>
      <w:numFmt w:val="decimal"/>
      <w:lvlText w:val="%7."/>
      <w:lvlJc w:val="left"/>
      <w:pPr>
        <w:tabs>
          <w:tab w:val="left" w:pos="3422"/>
        </w:tabs>
        <w:ind w:left="3235" w:hanging="528"/>
      </w:pPr>
      <w:rPr>
        <w:rFonts w:hint="eastAsia"/>
      </w:rPr>
    </w:lvl>
    <w:lvl w:ilvl="7" w:tentative="0">
      <w:start w:val="1"/>
      <w:numFmt w:val="lowerLetter"/>
      <w:lvlText w:val="%8)"/>
      <w:lvlJc w:val="left"/>
      <w:pPr>
        <w:tabs>
          <w:tab w:val="left" w:pos="3734"/>
        </w:tabs>
        <w:ind w:left="3547" w:hanging="528"/>
      </w:pPr>
      <w:rPr>
        <w:rFonts w:hint="eastAsia"/>
      </w:rPr>
    </w:lvl>
    <w:lvl w:ilvl="8" w:tentative="0">
      <w:start w:val="1"/>
      <w:numFmt w:val="lowerRoman"/>
      <w:lvlText w:val="%9."/>
      <w:lvlJc w:val="right"/>
      <w:pPr>
        <w:tabs>
          <w:tab w:val="left" w:pos="4046"/>
        </w:tabs>
        <w:ind w:left="3859" w:hanging="528"/>
      </w:pPr>
      <w:rPr>
        <w:rFonts w:hint="eastAsia"/>
      </w:rPr>
    </w:lvl>
  </w:abstractNum>
  <w:abstractNum w:abstractNumId="1">
    <w:nsid w:val="00000004"/>
    <w:multiLevelType w:val="multilevel"/>
    <w:tmpl w:val="00000004"/>
    <w:lvl w:ilvl="0" w:tentative="0">
      <w:start w:val="1"/>
      <w:numFmt w:val="lowerLetter"/>
      <w:pStyle w:val="38"/>
      <w:lvlText w:val="%1)"/>
      <w:lvlJc w:val="left"/>
      <w:pPr>
        <w:tabs>
          <w:tab w:val="left" w:pos="851"/>
        </w:tabs>
        <w:ind w:left="851" w:hanging="426"/>
      </w:pPr>
      <w:rPr>
        <w:rFonts w:hint="eastAsia" w:ascii="宋体" w:hAnsi="Times New Roman" w:eastAsia="宋体"/>
        <w:sz w:val="21"/>
      </w:rPr>
    </w:lvl>
    <w:lvl w:ilvl="1" w:tentative="0">
      <w:start w:val="1"/>
      <w:numFmt w:val="decimal"/>
      <w:pStyle w:val="31"/>
      <w:lvlText w:val="%2)"/>
      <w:lvlJc w:val="left"/>
      <w:pPr>
        <w:tabs>
          <w:tab w:val="left" w:pos="1276"/>
        </w:tabs>
        <w:ind w:left="1276" w:hanging="425"/>
      </w:pPr>
      <w:rPr>
        <w:rFonts w:hint="eastAsia" w:ascii="宋体" w:hAnsi="Times New Roman" w:eastAsia="宋体"/>
        <w:sz w:val="21"/>
      </w:rPr>
    </w:lvl>
    <w:lvl w:ilvl="2" w:tentative="0">
      <w:start w:val="1"/>
      <w:numFmt w:val="decimal"/>
      <w:pStyle w:val="32"/>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2">
    <w:nsid w:val="00000005"/>
    <w:multiLevelType w:val="multilevel"/>
    <w:tmpl w:val="00000005"/>
    <w:lvl w:ilvl="0" w:tentative="0">
      <w:start w:val="1"/>
      <w:numFmt w:val="none"/>
      <w:pStyle w:val="36"/>
      <w:suff w:val="nothing"/>
      <w:lvlText w:val="%1"/>
      <w:lvlJc w:val="left"/>
      <w:pPr>
        <w:ind w:left="0" w:firstLine="0"/>
      </w:pPr>
      <w:rPr>
        <w:rFonts w:hint="eastAsia"/>
      </w:rPr>
    </w:lvl>
    <w:lvl w:ilvl="1" w:tentative="0">
      <w:start w:val="1"/>
      <w:numFmt w:val="decimal"/>
      <w:pStyle w:val="29"/>
      <w:suff w:val="nothing"/>
      <w:lvlText w:val="%1%2　"/>
      <w:lvlJc w:val="left"/>
      <w:pPr>
        <w:ind w:left="0" w:firstLine="0"/>
      </w:pPr>
      <w:rPr>
        <w:rFonts w:hint="eastAsia" w:ascii="黑体" w:eastAsia="黑体"/>
        <w:b w:val="0"/>
        <w:i w:val="0"/>
        <w:sz w:val="21"/>
      </w:rPr>
    </w:lvl>
    <w:lvl w:ilvl="2" w:tentative="0">
      <w:start w:val="1"/>
      <w:numFmt w:val="decimal"/>
      <w:suff w:val="nothing"/>
      <w:lvlText w:val="%1%2.%3　"/>
      <w:lvlJc w:val="left"/>
      <w:pPr>
        <w:ind w:left="709" w:firstLine="0"/>
      </w:pPr>
      <w:rPr>
        <w:rFonts w:hint="eastAsia" w:ascii="黑体" w:hAnsi="Times New Roman" w:eastAsia="黑体" w:cs="Times New Roman"/>
        <w:b w:val="0"/>
        <w:bCs w:val="0"/>
        <w:i w:val="0"/>
        <w:iCs w:val="0"/>
        <w:caps w:val="0"/>
        <w:smallCaps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rPr>
    </w:lvl>
    <w:lvl w:ilvl="3" w:tentative="0">
      <w:start w:val="1"/>
      <w:numFmt w:val="decimal"/>
      <w:pStyle w:val="24"/>
      <w:suff w:val="nothing"/>
      <w:lvlText w:val="%1%2.%3.%4　"/>
      <w:lvlJc w:val="left"/>
      <w:pPr>
        <w:ind w:left="2410" w:firstLine="0"/>
      </w:pPr>
      <w:rPr>
        <w:rFonts w:hint="eastAsia" w:ascii="黑体" w:eastAsia="黑体"/>
        <w:b w:val="0"/>
        <w:i w:val="0"/>
        <w:sz w:val="21"/>
      </w:rPr>
    </w:lvl>
    <w:lvl w:ilvl="4" w:tentative="0">
      <w:start w:val="1"/>
      <w:numFmt w:val="decimal"/>
      <w:suff w:val="nothing"/>
      <w:lvlText w:val="%1%2.%3.%4.%5　"/>
      <w:lvlJc w:val="left"/>
      <w:pPr>
        <w:ind w:left="2552" w:firstLine="0"/>
      </w:pPr>
      <w:rPr>
        <w:rFonts w:hint="eastAsia" w:ascii="黑体" w:eastAsia="黑体"/>
        <w:b w:val="0"/>
        <w:i w:val="0"/>
        <w:sz w:val="21"/>
      </w:rPr>
    </w:lvl>
    <w:lvl w:ilvl="5" w:tentative="0">
      <w:start w:val="1"/>
      <w:numFmt w:val="decimal"/>
      <w:pStyle w:val="27"/>
      <w:suff w:val="nothing"/>
      <w:lvlText w:val="%1%2.%3.%4.%5.%6　"/>
      <w:lvlJc w:val="left"/>
      <w:pPr>
        <w:ind w:left="0" w:firstLine="0"/>
      </w:pPr>
      <w:rPr>
        <w:rFonts w:hint="eastAsia" w:ascii="黑体" w:eastAsia="黑体"/>
        <w:b w:val="0"/>
        <w:i w:val="0"/>
        <w:sz w:val="21"/>
      </w:rPr>
    </w:lvl>
    <w:lvl w:ilvl="6" w:tentative="0">
      <w:start w:val="1"/>
      <w:numFmt w:val="decimal"/>
      <w:pStyle w:val="28"/>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3">
    <w:nsid w:val="17FFBD29"/>
    <w:multiLevelType w:val="singleLevel"/>
    <w:tmpl w:val="17FFBD29"/>
    <w:lvl w:ilvl="0" w:tentative="0">
      <w:start w:val="1"/>
      <w:numFmt w:val="lowerLetter"/>
      <w:suff w:val="nothing"/>
      <w:lvlText w:val="%1）"/>
      <w:lvlJc w:val="left"/>
    </w:lvl>
  </w:abstractNum>
  <w:abstractNum w:abstractNumId="4">
    <w:nsid w:val="1D54453B"/>
    <w:multiLevelType w:val="multilevel"/>
    <w:tmpl w:val="1D54453B"/>
    <w:lvl w:ilvl="0" w:tentative="0">
      <w:start w:val="1"/>
      <w:numFmt w:val="none"/>
      <w:pStyle w:val="25"/>
      <w:lvlText w:val="%1"/>
      <w:lvlJc w:val="left"/>
      <w:pPr>
        <w:ind w:left="425" w:hanging="425"/>
      </w:pPr>
      <w:rPr>
        <w:rFonts w:hint="eastAsia"/>
      </w:rPr>
    </w:lvl>
    <w:lvl w:ilvl="1" w:tentative="0">
      <w:start w:val="1"/>
      <w:numFmt w:val="decimal"/>
      <w:pStyle w:val="47"/>
      <w:suff w:val="nothing"/>
      <w:lvlText w:val="%10.%2 "/>
      <w:lvlJc w:val="left"/>
      <w:pPr>
        <w:ind w:left="0" w:firstLine="0"/>
      </w:pPr>
      <w:rPr>
        <w:rFonts w:hint="eastAsia" w:ascii="黑体" w:hAnsi="等线" w:eastAsia="黑体"/>
        <w:b w:val="0"/>
        <w:i w:val="0"/>
        <w:sz w:val="21"/>
      </w:rPr>
    </w:lvl>
    <w:lvl w:ilvl="2" w:tentative="0">
      <w:start w:val="1"/>
      <w:numFmt w:val="decimal"/>
      <w:pStyle w:val="48"/>
      <w:suff w:val="nothing"/>
      <w:lvlText w:val="%10.%2.%3 "/>
      <w:lvlJc w:val="left"/>
      <w:pPr>
        <w:ind w:left="0" w:firstLine="0"/>
      </w:pPr>
      <w:rPr>
        <w:rFonts w:hint="eastAsia" w:ascii="黑体" w:hAnsi="等线" w:eastAsia="黑体"/>
        <w:b w:val="0"/>
        <w:i w:val="0"/>
        <w:sz w:val="21"/>
      </w:rPr>
    </w:lvl>
    <w:lvl w:ilvl="3" w:tentative="0">
      <w:start w:val="1"/>
      <w:numFmt w:val="decimal"/>
      <w:pStyle w:val="49"/>
      <w:suff w:val="nothing"/>
      <w:lvlText w:val="%10.%2.%3.%4 "/>
      <w:lvlJc w:val="left"/>
      <w:pPr>
        <w:ind w:left="0" w:firstLine="0"/>
      </w:pPr>
      <w:rPr>
        <w:rFonts w:hint="eastAsia" w:ascii="黑体" w:hAnsi="等线" w:eastAsia="黑体"/>
        <w:b w:val="0"/>
        <w:i w:val="0"/>
        <w:sz w:val="21"/>
      </w:rPr>
    </w:lvl>
    <w:lvl w:ilvl="4" w:tentative="0">
      <w:start w:val="1"/>
      <w:numFmt w:val="decimal"/>
      <w:pStyle w:val="50"/>
      <w:suff w:val="nothing"/>
      <w:lvlText w:val="%10.%2.%3.%4.%5 "/>
      <w:lvlJc w:val="left"/>
      <w:pPr>
        <w:ind w:left="0" w:firstLine="0"/>
      </w:pPr>
      <w:rPr>
        <w:rFonts w:hint="eastAsia" w:ascii="黑体" w:hAnsi="等线" w:eastAsia="黑体"/>
        <w:b w:val="0"/>
        <w:i w:val="0"/>
        <w:sz w:val="21"/>
      </w:rPr>
    </w:lvl>
    <w:lvl w:ilvl="5" w:tentative="0">
      <w:start w:val="1"/>
      <w:numFmt w:val="decimal"/>
      <w:pStyle w:val="51"/>
      <w:suff w:val="nothing"/>
      <w:lvlText w:val="%10.%2.%3.%4.%5.%6 "/>
      <w:lvlJc w:val="left"/>
      <w:pPr>
        <w:ind w:left="0" w:firstLine="0"/>
      </w:pPr>
      <w:rPr>
        <w:rFonts w:hint="eastAsia" w:ascii="黑体" w:hAnsi="等线" w:eastAsia="黑体"/>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num w:numId="1">
    <w:abstractNumId w:val="2"/>
  </w:num>
  <w:num w:numId="2">
    <w:abstractNumId w:val="4"/>
  </w:num>
  <w:num w:numId="3">
    <w:abstractNumId w:val="1"/>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2YzNjBkOTgyNWQ1YTMxYzM3MzMwNWFiODNmOWIzYWMifQ=="/>
  </w:docVars>
  <w:rsids>
    <w:rsidRoot w:val="0096653F"/>
    <w:rsid w:val="00007C4B"/>
    <w:rsid w:val="00013902"/>
    <w:rsid w:val="00017C15"/>
    <w:rsid w:val="000218F4"/>
    <w:rsid w:val="0002515F"/>
    <w:rsid w:val="00032848"/>
    <w:rsid w:val="00043EFF"/>
    <w:rsid w:val="00050A19"/>
    <w:rsid w:val="000529FE"/>
    <w:rsid w:val="000649CC"/>
    <w:rsid w:val="0006528A"/>
    <w:rsid w:val="00066374"/>
    <w:rsid w:val="00066A5D"/>
    <w:rsid w:val="00070D14"/>
    <w:rsid w:val="00070E79"/>
    <w:rsid w:val="000914CD"/>
    <w:rsid w:val="0009174C"/>
    <w:rsid w:val="00095045"/>
    <w:rsid w:val="000A0EBE"/>
    <w:rsid w:val="000A7D1E"/>
    <w:rsid w:val="000B02CC"/>
    <w:rsid w:val="000B46CA"/>
    <w:rsid w:val="000B72C0"/>
    <w:rsid w:val="000C3C46"/>
    <w:rsid w:val="000D4D44"/>
    <w:rsid w:val="000E09D1"/>
    <w:rsid w:val="000F2F67"/>
    <w:rsid w:val="000F5802"/>
    <w:rsid w:val="000F69AB"/>
    <w:rsid w:val="001000F4"/>
    <w:rsid w:val="00107838"/>
    <w:rsid w:val="00113546"/>
    <w:rsid w:val="00123FC4"/>
    <w:rsid w:val="00125981"/>
    <w:rsid w:val="00130862"/>
    <w:rsid w:val="0013313B"/>
    <w:rsid w:val="00141746"/>
    <w:rsid w:val="00144296"/>
    <w:rsid w:val="0015768F"/>
    <w:rsid w:val="00160AF1"/>
    <w:rsid w:val="00181FCD"/>
    <w:rsid w:val="00184AA0"/>
    <w:rsid w:val="00192D87"/>
    <w:rsid w:val="0019328E"/>
    <w:rsid w:val="00197157"/>
    <w:rsid w:val="001A3E32"/>
    <w:rsid w:val="001B3401"/>
    <w:rsid w:val="001B549E"/>
    <w:rsid w:val="001C045D"/>
    <w:rsid w:val="001D4B90"/>
    <w:rsid w:val="001D711C"/>
    <w:rsid w:val="001E1C99"/>
    <w:rsid w:val="001E1CA7"/>
    <w:rsid w:val="001E2751"/>
    <w:rsid w:val="001E53D6"/>
    <w:rsid w:val="001E6CD2"/>
    <w:rsid w:val="001E74F9"/>
    <w:rsid w:val="00200E66"/>
    <w:rsid w:val="0020121A"/>
    <w:rsid w:val="00203985"/>
    <w:rsid w:val="00213261"/>
    <w:rsid w:val="00223DAD"/>
    <w:rsid w:val="00240106"/>
    <w:rsid w:val="0025763C"/>
    <w:rsid w:val="002638FE"/>
    <w:rsid w:val="00263A87"/>
    <w:rsid w:val="00270608"/>
    <w:rsid w:val="0028683F"/>
    <w:rsid w:val="002906B3"/>
    <w:rsid w:val="0029255D"/>
    <w:rsid w:val="00293D6E"/>
    <w:rsid w:val="002A0326"/>
    <w:rsid w:val="002A457F"/>
    <w:rsid w:val="002B6768"/>
    <w:rsid w:val="002C21FF"/>
    <w:rsid w:val="002C36A4"/>
    <w:rsid w:val="002C3A5F"/>
    <w:rsid w:val="002C6E5F"/>
    <w:rsid w:val="002C6F2D"/>
    <w:rsid w:val="002D376B"/>
    <w:rsid w:val="002D4FBF"/>
    <w:rsid w:val="002E5D86"/>
    <w:rsid w:val="002F1BCB"/>
    <w:rsid w:val="002F5F58"/>
    <w:rsid w:val="003023B3"/>
    <w:rsid w:val="00303462"/>
    <w:rsid w:val="0030688D"/>
    <w:rsid w:val="0031066A"/>
    <w:rsid w:val="0032036E"/>
    <w:rsid w:val="00325CF7"/>
    <w:rsid w:val="003316CB"/>
    <w:rsid w:val="0035181A"/>
    <w:rsid w:val="0035593F"/>
    <w:rsid w:val="00356894"/>
    <w:rsid w:val="00361602"/>
    <w:rsid w:val="003831D3"/>
    <w:rsid w:val="00383CFF"/>
    <w:rsid w:val="00386A00"/>
    <w:rsid w:val="003A05E8"/>
    <w:rsid w:val="003A08EB"/>
    <w:rsid w:val="003A1312"/>
    <w:rsid w:val="003A3308"/>
    <w:rsid w:val="003A33B9"/>
    <w:rsid w:val="003A3493"/>
    <w:rsid w:val="003A379F"/>
    <w:rsid w:val="003B5C4D"/>
    <w:rsid w:val="003C1BAE"/>
    <w:rsid w:val="003C275C"/>
    <w:rsid w:val="003C4900"/>
    <w:rsid w:val="003D02DA"/>
    <w:rsid w:val="003D0626"/>
    <w:rsid w:val="003D443D"/>
    <w:rsid w:val="003E2B81"/>
    <w:rsid w:val="003E7E0B"/>
    <w:rsid w:val="003F069C"/>
    <w:rsid w:val="003F3804"/>
    <w:rsid w:val="003F3D99"/>
    <w:rsid w:val="003F4D60"/>
    <w:rsid w:val="003F5497"/>
    <w:rsid w:val="004000D6"/>
    <w:rsid w:val="0042451B"/>
    <w:rsid w:val="00425B05"/>
    <w:rsid w:val="00426B75"/>
    <w:rsid w:val="00437D34"/>
    <w:rsid w:val="0044621A"/>
    <w:rsid w:val="0046161A"/>
    <w:rsid w:val="00477413"/>
    <w:rsid w:val="004955AF"/>
    <w:rsid w:val="0049664C"/>
    <w:rsid w:val="004B425C"/>
    <w:rsid w:val="004C0FEE"/>
    <w:rsid w:val="004D2AEE"/>
    <w:rsid w:val="004D5932"/>
    <w:rsid w:val="004D63F2"/>
    <w:rsid w:val="004D6F50"/>
    <w:rsid w:val="004F245D"/>
    <w:rsid w:val="00501A07"/>
    <w:rsid w:val="00503D95"/>
    <w:rsid w:val="005163F1"/>
    <w:rsid w:val="005202F2"/>
    <w:rsid w:val="00522670"/>
    <w:rsid w:val="00526A37"/>
    <w:rsid w:val="005422C3"/>
    <w:rsid w:val="00544323"/>
    <w:rsid w:val="00547FA8"/>
    <w:rsid w:val="00570288"/>
    <w:rsid w:val="0057584F"/>
    <w:rsid w:val="00587131"/>
    <w:rsid w:val="005A40B2"/>
    <w:rsid w:val="005A4CCD"/>
    <w:rsid w:val="005A75AC"/>
    <w:rsid w:val="005B082B"/>
    <w:rsid w:val="005B139B"/>
    <w:rsid w:val="005B1ED9"/>
    <w:rsid w:val="005B4D2F"/>
    <w:rsid w:val="005C5DB0"/>
    <w:rsid w:val="005D3083"/>
    <w:rsid w:val="005D3467"/>
    <w:rsid w:val="005D4C56"/>
    <w:rsid w:val="005D5C7F"/>
    <w:rsid w:val="005F16FC"/>
    <w:rsid w:val="005F25F3"/>
    <w:rsid w:val="005F5F73"/>
    <w:rsid w:val="005F6219"/>
    <w:rsid w:val="00604D72"/>
    <w:rsid w:val="0063140B"/>
    <w:rsid w:val="00634245"/>
    <w:rsid w:val="00666807"/>
    <w:rsid w:val="00671A34"/>
    <w:rsid w:val="0067524A"/>
    <w:rsid w:val="00677CA0"/>
    <w:rsid w:val="006803A6"/>
    <w:rsid w:val="006830E0"/>
    <w:rsid w:val="00693F15"/>
    <w:rsid w:val="0069418B"/>
    <w:rsid w:val="00696380"/>
    <w:rsid w:val="006C7AC7"/>
    <w:rsid w:val="006E4DAE"/>
    <w:rsid w:val="006F1F29"/>
    <w:rsid w:val="00702013"/>
    <w:rsid w:val="00702209"/>
    <w:rsid w:val="007277E4"/>
    <w:rsid w:val="00736A12"/>
    <w:rsid w:val="00737270"/>
    <w:rsid w:val="00744DB1"/>
    <w:rsid w:val="00744FED"/>
    <w:rsid w:val="007470CF"/>
    <w:rsid w:val="007531F7"/>
    <w:rsid w:val="00753B4B"/>
    <w:rsid w:val="00767D67"/>
    <w:rsid w:val="00772584"/>
    <w:rsid w:val="00774BA1"/>
    <w:rsid w:val="00781975"/>
    <w:rsid w:val="00786CBE"/>
    <w:rsid w:val="00793AAB"/>
    <w:rsid w:val="007957C2"/>
    <w:rsid w:val="007B08D9"/>
    <w:rsid w:val="007C090D"/>
    <w:rsid w:val="007C1D6C"/>
    <w:rsid w:val="007C5B2F"/>
    <w:rsid w:val="007D04A3"/>
    <w:rsid w:val="007D3AB1"/>
    <w:rsid w:val="007E5FC7"/>
    <w:rsid w:val="007E7A81"/>
    <w:rsid w:val="007F3366"/>
    <w:rsid w:val="0080169A"/>
    <w:rsid w:val="008021A0"/>
    <w:rsid w:val="00802FDF"/>
    <w:rsid w:val="00810B11"/>
    <w:rsid w:val="00810F07"/>
    <w:rsid w:val="00813437"/>
    <w:rsid w:val="008213CD"/>
    <w:rsid w:val="00822408"/>
    <w:rsid w:val="00826659"/>
    <w:rsid w:val="008320DA"/>
    <w:rsid w:val="0083282A"/>
    <w:rsid w:val="00841656"/>
    <w:rsid w:val="0084180E"/>
    <w:rsid w:val="008545B8"/>
    <w:rsid w:val="008646D3"/>
    <w:rsid w:val="00866771"/>
    <w:rsid w:val="00872F87"/>
    <w:rsid w:val="008824DC"/>
    <w:rsid w:val="00883221"/>
    <w:rsid w:val="00893F04"/>
    <w:rsid w:val="008A128C"/>
    <w:rsid w:val="008B08AE"/>
    <w:rsid w:val="008B099C"/>
    <w:rsid w:val="008B579F"/>
    <w:rsid w:val="008C36CA"/>
    <w:rsid w:val="008D1338"/>
    <w:rsid w:val="008D5813"/>
    <w:rsid w:val="008E392D"/>
    <w:rsid w:val="008F2165"/>
    <w:rsid w:val="008F3AF9"/>
    <w:rsid w:val="008F4C42"/>
    <w:rsid w:val="008F6901"/>
    <w:rsid w:val="00903C4B"/>
    <w:rsid w:val="009056EB"/>
    <w:rsid w:val="00905F1B"/>
    <w:rsid w:val="0091152E"/>
    <w:rsid w:val="00912A30"/>
    <w:rsid w:val="00936A54"/>
    <w:rsid w:val="009574EE"/>
    <w:rsid w:val="0096586B"/>
    <w:rsid w:val="0096653F"/>
    <w:rsid w:val="009675A7"/>
    <w:rsid w:val="009716DF"/>
    <w:rsid w:val="00977E75"/>
    <w:rsid w:val="00992D47"/>
    <w:rsid w:val="0099469A"/>
    <w:rsid w:val="009A0D60"/>
    <w:rsid w:val="009A0D86"/>
    <w:rsid w:val="009A253E"/>
    <w:rsid w:val="009A2B7F"/>
    <w:rsid w:val="009A7C51"/>
    <w:rsid w:val="009B30CE"/>
    <w:rsid w:val="009C532C"/>
    <w:rsid w:val="009D0A4F"/>
    <w:rsid w:val="009D2D61"/>
    <w:rsid w:val="009D4757"/>
    <w:rsid w:val="009F0FC2"/>
    <w:rsid w:val="009F3ABF"/>
    <w:rsid w:val="00A00C11"/>
    <w:rsid w:val="00A04A64"/>
    <w:rsid w:val="00A160F7"/>
    <w:rsid w:val="00A20C9A"/>
    <w:rsid w:val="00A23C5F"/>
    <w:rsid w:val="00A2604F"/>
    <w:rsid w:val="00A3293A"/>
    <w:rsid w:val="00A34AC7"/>
    <w:rsid w:val="00A36EA4"/>
    <w:rsid w:val="00A416B7"/>
    <w:rsid w:val="00A4778E"/>
    <w:rsid w:val="00A517C3"/>
    <w:rsid w:val="00A54C1C"/>
    <w:rsid w:val="00A56977"/>
    <w:rsid w:val="00A646BD"/>
    <w:rsid w:val="00A65103"/>
    <w:rsid w:val="00A654EF"/>
    <w:rsid w:val="00A67A33"/>
    <w:rsid w:val="00A73EC1"/>
    <w:rsid w:val="00A777EA"/>
    <w:rsid w:val="00A77C84"/>
    <w:rsid w:val="00A8180B"/>
    <w:rsid w:val="00A8198E"/>
    <w:rsid w:val="00A91563"/>
    <w:rsid w:val="00AA2D98"/>
    <w:rsid w:val="00AB5A02"/>
    <w:rsid w:val="00AC5BAE"/>
    <w:rsid w:val="00AD6851"/>
    <w:rsid w:val="00AE4746"/>
    <w:rsid w:val="00B01C19"/>
    <w:rsid w:val="00B12C2A"/>
    <w:rsid w:val="00B17081"/>
    <w:rsid w:val="00B535F9"/>
    <w:rsid w:val="00B57260"/>
    <w:rsid w:val="00B71BEE"/>
    <w:rsid w:val="00B72851"/>
    <w:rsid w:val="00B90006"/>
    <w:rsid w:val="00B90437"/>
    <w:rsid w:val="00B93F3D"/>
    <w:rsid w:val="00B960DD"/>
    <w:rsid w:val="00BA6D1E"/>
    <w:rsid w:val="00BA7243"/>
    <w:rsid w:val="00BB2A4C"/>
    <w:rsid w:val="00BB2B0D"/>
    <w:rsid w:val="00BC19D0"/>
    <w:rsid w:val="00BC4E63"/>
    <w:rsid w:val="00BD2BBF"/>
    <w:rsid w:val="00BD7B8F"/>
    <w:rsid w:val="00BE2482"/>
    <w:rsid w:val="00BE6391"/>
    <w:rsid w:val="00BF4533"/>
    <w:rsid w:val="00BF5311"/>
    <w:rsid w:val="00BF6004"/>
    <w:rsid w:val="00BF7AAC"/>
    <w:rsid w:val="00C01486"/>
    <w:rsid w:val="00C04887"/>
    <w:rsid w:val="00C04C03"/>
    <w:rsid w:val="00C0520C"/>
    <w:rsid w:val="00C05294"/>
    <w:rsid w:val="00C133D1"/>
    <w:rsid w:val="00C51336"/>
    <w:rsid w:val="00C519E2"/>
    <w:rsid w:val="00C60638"/>
    <w:rsid w:val="00C60EBA"/>
    <w:rsid w:val="00C628CB"/>
    <w:rsid w:val="00C74493"/>
    <w:rsid w:val="00C75FFF"/>
    <w:rsid w:val="00C80EAC"/>
    <w:rsid w:val="00C921EE"/>
    <w:rsid w:val="00C9791F"/>
    <w:rsid w:val="00CA1B85"/>
    <w:rsid w:val="00CA2E38"/>
    <w:rsid w:val="00CB129E"/>
    <w:rsid w:val="00CB66E0"/>
    <w:rsid w:val="00CC0E04"/>
    <w:rsid w:val="00CC3512"/>
    <w:rsid w:val="00CC51C6"/>
    <w:rsid w:val="00CD538E"/>
    <w:rsid w:val="00CD70CF"/>
    <w:rsid w:val="00CE1156"/>
    <w:rsid w:val="00CE1F70"/>
    <w:rsid w:val="00CF5574"/>
    <w:rsid w:val="00D01D8A"/>
    <w:rsid w:val="00D070CA"/>
    <w:rsid w:val="00D07AD0"/>
    <w:rsid w:val="00D15501"/>
    <w:rsid w:val="00D41324"/>
    <w:rsid w:val="00D61AEA"/>
    <w:rsid w:val="00D67646"/>
    <w:rsid w:val="00D7058C"/>
    <w:rsid w:val="00D7413A"/>
    <w:rsid w:val="00D74B40"/>
    <w:rsid w:val="00D75525"/>
    <w:rsid w:val="00D8023D"/>
    <w:rsid w:val="00D82AD0"/>
    <w:rsid w:val="00D837B3"/>
    <w:rsid w:val="00D83835"/>
    <w:rsid w:val="00D84F50"/>
    <w:rsid w:val="00D934EB"/>
    <w:rsid w:val="00D941B7"/>
    <w:rsid w:val="00D97A55"/>
    <w:rsid w:val="00DA2412"/>
    <w:rsid w:val="00DA5CF8"/>
    <w:rsid w:val="00DA6082"/>
    <w:rsid w:val="00DB16F9"/>
    <w:rsid w:val="00DC38A6"/>
    <w:rsid w:val="00DD01F6"/>
    <w:rsid w:val="00DF0528"/>
    <w:rsid w:val="00DF38EF"/>
    <w:rsid w:val="00E10AEB"/>
    <w:rsid w:val="00E33830"/>
    <w:rsid w:val="00E36B74"/>
    <w:rsid w:val="00E447D7"/>
    <w:rsid w:val="00E46B7F"/>
    <w:rsid w:val="00E5300F"/>
    <w:rsid w:val="00E70A9B"/>
    <w:rsid w:val="00E73E2E"/>
    <w:rsid w:val="00E76DD0"/>
    <w:rsid w:val="00E87C59"/>
    <w:rsid w:val="00EB4039"/>
    <w:rsid w:val="00EC4ADC"/>
    <w:rsid w:val="00ED681A"/>
    <w:rsid w:val="00ED7F2B"/>
    <w:rsid w:val="00EE30EA"/>
    <w:rsid w:val="00EF6E59"/>
    <w:rsid w:val="00F12329"/>
    <w:rsid w:val="00F20A58"/>
    <w:rsid w:val="00F24836"/>
    <w:rsid w:val="00F27EC5"/>
    <w:rsid w:val="00F513FC"/>
    <w:rsid w:val="00F51E17"/>
    <w:rsid w:val="00F5449E"/>
    <w:rsid w:val="00F54B69"/>
    <w:rsid w:val="00F650A4"/>
    <w:rsid w:val="00F65C25"/>
    <w:rsid w:val="00F67949"/>
    <w:rsid w:val="00F75CD6"/>
    <w:rsid w:val="00F77EA5"/>
    <w:rsid w:val="00F815EF"/>
    <w:rsid w:val="00F855B1"/>
    <w:rsid w:val="00F931B7"/>
    <w:rsid w:val="00F941EF"/>
    <w:rsid w:val="00FA7562"/>
    <w:rsid w:val="00FB569F"/>
    <w:rsid w:val="00FC7F4A"/>
    <w:rsid w:val="00FD1723"/>
    <w:rsid w:val="00FE4490"/>
    <w:rsid w:val="00FF5E59"/>
    <w:rsid w:val="00FF6899"/>
    <w:rsid w:val="07C67305"/>
    <w:rsid w:val="0A0D04A9"/>
    <w:rsid w:val="0C6B4495"/>
    <w:rsid w:val="0CA46BDB"/>
    <w:rsid w:val="0E241C5E"/>
    <w:rsid w:val="0EBB2A23"/>
    <w:rsid w:val="16800C17"/>
    <w:rsid w:val="16C34ADC"/>
    <w:rsid w:val="17262831"/>
    <w:rsid w:val="195D6DA5"/>
    <w:rsid w:val="19A924DE"/>
    <w:rsid w:val="19C1098E"/>
    <w:rsid w:val="1C5B2D0D"/>
    <w:rsid w:val="1C644B4F"/>
    <w:rsid w:val="1C9C4F88"/>
    <w:rsid w:val="1D1D6812"/>
    <w:rsid w:val="1DA3741D"/>
    <w:rsid w:val="20BC5661"/>
    <w:rsid w:val="2118381B"/>
    <w:rsid w:val="22630F17"/>
    <w:rsid w:val="243C52F6"/>
    <w:rsid w:val="26274F05"/>
    <w:rsid w:val="26B16CD0"/>
    <w:rsid w:val="27723013"/>
    <w:rsid w:val="27BB77E5"/>
    <w:rsid w:val="2B71501D"/>
    <w:rsid w:val="2CF47717"/>
    <w:rsid w:val="2F065468"/>
    <w:rsid w:val="30493D65"/>
    <w:rsid w:val="34831F7A"/>
    <w:rsid w:val="34B2396F"/>
    <w:rsid w:val="35E05C46"/>
    <w:rsid w:val="397B4E68"/>
    <w:rsid w:val="3DBB69E9"/>
    <w:rsid w:val="3F8A4E99"/>
    <w:rsid w:val="405D6CA9"/>
    <w:rsid w:val="41CE6F95"/>
    <w:rsid w:val="42C57C8E"/>
    <w:rsid w:val="46BB60AF"/>
    <w:rsid w:val="47AF4004"/>
    <w:rsid w:val="499E282F"/>
    <w:rsid w:val="4A7171D7"/>
    <w:rsid w:val="4B373818"/>
    <w:rsid w:val="4B40491C"/>
    <w:rsid w:val="51CD4CA2"/>
    <w:rsid w:val="534B2EFD"/>
    <w:rsid w:val="571C56EE"/>
    <w:rsid w:val="574215B3"/>
    <w:rsid w:val="5A46573F"/>
    <w:rsid w:val="5A8F589B"/>
    <w:rsid w:val="5CDA61AE"/>
    <w:rsid w:val="66070468"/>
    <w:rsid w:val="6A7259EE"/>
    <w:rsid w:val="6E62689F"/>
    <w:rsid w:val="6F3B2748"/>
    <w:rsid w:val="6FF22B92"/>
    <w:rsid w:val="72DA1448"/>
    <w:rsid w:val="73094981"/>
    <w:rsid w:val="757B63EE"/>
    <w:rsid w:val="76604C88"/>
    <w:rsid w:val="76A14035"/>
    <w:rsid w:val="778B2365"/>
    <w:rsid w:val="77A051C5"/>
    <w:rsid w:val="789613EB"/>
    <w:rsid w:val="798B6C7A"/>
    <w:rsid w:val="7C030A76"/>
    <w:rsid w:val="7D835560"/>
    <w:rsid w:val="7E7A45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等线" w:hAnsi="等线" w:eastAsia="等线" w:cs="宋体"/>
      <w:kern w:val="2"/>
      <w:sz w:val="21"/>
      <w:szCs w:val="22"/>
      <w:lang w:val="en-US" w:eastAsia="zh-CN" w:bidi="ar-SA"/>
    </w:rPr>
  </w:style>
  <w:style w:type="paragraph" w:styleId="2">
    <w:name w:val="heading 1"/>
    <w:basedOn w:val="1"/>
    <w:next w:val="1"/>
    <w:autoRedefine/>
    <w:qFormat/>
    <w:uiPriority w:val="9"/>
    <w:pPr>
      <w:spacing w:beforeAutospacing="1" w:afterAutospacing="1"/>
      <w:jc w:val="left"/>
      <w:outlineLvl w:val="0"/>
    </w:pPr>
    <w:rPr>
      <w:rFonts w:hint="eastAsia" w:ascii="宋体" w:hAnsi="宋体" w:eastAsia="宋体" w:cs="Times New Roman"/>
      <w:b/>
      <w:bCs/>
      <w:kern w:val="44"/>
      <w:sz w:val="48"/>
      <w:szCs w:val="48"/>
    </w:rPr>
  </w:style>
  <w:style w:type="paragraph" w:styleId="3">
    <w:name w:val="heading 2"/>
    <w:basedOn w:val="1"/>
    <w:next w:val="1"/>
    <w:autoRedefine/>
    <w:semiHidden/>
    <w:unhideWhenUsed/>
    <w:qFormat/>
    <w:uiPriority w:val="9"/>
    <w:pPr>
      <w:spacing w:beforeAutospacing="1" w:afterAutospacing="1"/>
      <w:jc w:val="left"/>
      <w:outlineLvl w:val="1"/>
    </w:pPr>
    <w:rPr>
      <w:rFonts w:hint="eastAsia" w:ascii="宋体" w:hAnsi="宋体" w:eastAsia="宋体" w:cs="Times New Roman"/>
      <w:b/>
      <w:bCs/>
      <w:kern w:val="0"/>
      <w:sz w:val="36"/>
      <w:szCs w:val="36"/>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link w:val="54"/>
    <w:autoRedefine/>
    <w:qFormat/>
    <w:uiPriority w:val="99"/>
    <w:pPr>
      <w:jc w:val="left"/>
    </w:pPr>
  </w:style>
  <w:style w:type="paragraph" w:styleId="5">
    <w:name w:val="Balloon Text"/>
    <w:basedOn w:val="1"/>
    <w:link w:val="56"/>
    <w:autoRedefine/>
    <w:qFormat/>
    <w:uiPriority w:val="99"/>
    <w:rPr>
      <w:sz w:val="18"/>
      <w:szCs w:val="18"/>
    </w:rPr>
  </w:style>
  <w:style w:type="paragraph" w:styleId="6">
    <w:name w:val="footer"/>
    <w:basedOn w:val="1"/>
    <w:link w:val="16"/>
    <w:autoRedefine/>
    <w:qFormat/>
    <w:uiPriority w:val="99"/>
    <w:pPr>
      <w:tabs>
        <w:tab w:val="center" w:pos="4153"/>
        <w:tab w:val="right" w:pos="8306"/>
      </w:tabs>
      <w:snapToGrid w:val="0"/>
      <w:jc w:val="right"/>
    </w:pPr>
    <w:rPr>
      <w:rFonts w:ascii="宋体" w:hAnsi="Calibri" w:eastAsia="宋体" w:cs="Times New Roman"/>
      <w:sz w:val="18"/>
      <w:szCs w:val="18"/>
    </w:rPr>
  </w:style>
  <w:style w:type="paragraph" w:styleId="7">
    <w:name w:val="header"/>
    <w:basedOn w:val="1"/>
    <w:link w:val="17"/>
    <w:autoRedefine/>
    <w:qFormat/>
    <w:uiPriority w:val="99"/>
    <w:pPr>
      <w:tabs>
        <w:tab w:val="center" w:pos="4153"/>
        <w:tab w:val="right" w:pos="8306"/>
      </w:tabs>
      <w:snapToGrid w:val="0"/>
      <w:spacing w:line="400" w:lineRule="exact"/>
      <w:jc w:val="center"/>
    </w:pPr>
    <w:rPr>
      <w:rFonts w:ascii="Calibri" w:hAnsi="Calibri" w:eastAsia="宋体" w:cs="Times New Roman"/>
      <w:sz w:val="18"/>
      <w:szCs w:val="18"/>
    </w:rPr>
  </w:style>
  <w:style w:type="paragraph" w:styleId="8">
    <w:name w:val="Normal (Web)"/>
    <w:basedOn w:val="1"/>
    <w:autoRedefine/>
    <w:qFormat/>
    <w:uiPriority w:val="99"/>
    <w:pPr>
      <w:widowControl/>
      <w:spacing w:after="150"/>
      <w:jc w:val="left"/>
    </w:pPr>
    <w:rPr>
      <w:rFonts w:ascii="宋体" w:hAnsi="宋体" w:eastAsia="宋体"/>
      <w:kern w:val="0"/>
      <w:sz w:val="24"/>
      <w:szCs w:val="24"/>
    </w:rPr>
  </w:style>
  <w:style w:type="paragraph" w:styleId="9">
    <w:name w:val="annotation subject"/>
    <w:basedOn w:val="4"/>
    <w:next w:val="4"/>
    <w:link w:val="55"/>
    <w:autoRedefine/>
    <w:qFormat/>
    <w:uiPriority w:val="99"/>
    <w:rPr>
      <w:b/>
      <w:bCs/>
    </w:rPr>
  </w:style>
  <w:style w:type="table" w:styleId="11">
    <w:name w:val="Table Grid"/>
    <w:basedOn w:val="10"/>
    <w:autoRedefine/>
    <w:qFormat/>
    <w:uiPriority w:val="39"/>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Emphasis"/>
    <w:basedOn w:val="12"/>
    <w:autoRedefine/>
    <w:qFormat/>
    <w:uiPriority w:val="20"/>
    <w:rPr>
      <w:i/>
    </w:rPr>
  </w:style>
  <w:style w:type="character" w:styleId="14">
    <w:name w:val="Hyperlink"/>
    <w:basedOn w:val="12"/>
    <w:autoRedefine/>
    <w:semiHidden/>
    <w:unhideWhenUsed/>
    <w:qFormat/>
    <w:uiPriority w:val="99"/>
    <w:rPr>
      <w:color w:val="0000FF"/>
      <w:u w:val="single"/>
    </w:rPr>
  </w:style>
  <w:style w:type="character" w:styleId="15">
    <w:name w:val="annotation reference"/>
    <w:basedOn w:val="12"/>
    <w:autoRedefine/>
    <w:qFormat/>
    <w:uiPriority w:val="99"/>
    <w:rPr>
      <w:sz w:val="21"/>
      <w:szCs w:val="21"/>
    </w:rPr>
  </w:style>
  <w:style w:type="character" w:customStyle="1" w:styleId="16">
    <w:name w:val="页脚 字符"/>
    <w:basedOn w:val="12"/>
    <w:link w:val="6"/>
    <w:autoRedefine/>
    <w:qFormat/>
    <w:uiPriority w:val="99"/>
    <w:rPr>
      <w:rFonts w:ascii="宋体" w:hAnsi="Calibri" w:eastAsia="宋体" w:cs="Times New Roman"/>
      <w:sz w:val="18"/>
      <w:szCs w:val="18"/>
    </w:rPr>
  </w:style>
  <w:style w:type="character" w:customStyle="1" w:styleId="17">
    <w:name w:val="页眉 字符"/>
    <w:basedOn w:val="12"/>
    <w:link w:val="7"/>
    <w:autoRedefine/>
    <w:qFormat/>
    <w:uiPriority w:val="99"/>
    <w:rPr>
      <w:rFonts w:ascii="Calibri" w:hAnsi="Calibri" w:eastAsia="宋体" w:cs="Times New Roman"/>
      <w:sz w:val="18"/>
      <w:szCs w:val="18"/>
    </w:rPr>
  </w:style>
  <w:style w:type="paragraph" w:customStyle="1" w:styleId="18">
    <w:name w:val="标准标志"/>
    <w:next w:val="1"/>
    <w:autoRedefine/>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19">
    <w:name w:val="标准称谓"/>
    <w:next w:val="1"/>
    <w:autoRedefine/>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20">
    <w:name w:val="标准文件_页脚奇数页"/>
    <w:autoRedefine/>
    <w:qFormat/>
    <w:uiPriority w:val="0"/>
    <w:pPr>
      <w:ind w:right="227"/>
      <w:jc w:val="right"/>
    </w:pPr>
    <w:rPr>
      <w:rFonts w:ascii="宋体" w:hAnsi="Times New Roman" w:eastAsia="宋体" w:cs="Times New Roman"/>
      <w:sz w:val="18"/>
      <w:lang w:val="en-US" w:eastAsia="zh-CN" w:bidi="ar-SA"/>
    </w:rPr>
  </w:style>
  <w:style w:type="paragraph" w:customStyle="1" w:styleId="21">
    <w:name w:val="标准文件_段"/>
    <w:link w:val="40"/>
    <w:autoRedefine/>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22">
    <w:name w:val="标准文件_页眉奇数页"/>
    <w:next w:val="1"/>
    <w:autoRedefine/>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23">
    <w:name w:val="标准文件_参考文献标题"/>
    <w:basedOn w:val="1"/>
    <w:next w:val="1"/>
    <w:autoRedefine/>
    <w:qFormat/>
    <w:uiPriority w:val="0"/>
    <w:pPr>
      <w:widowControl/>
      <w:shd w:val="clear" w:color="FFFFFF" w:fill="FFFFFF"/>
      <w:spacing w:before="580" w:after="50" w:afterLines="50"/>
      <w:jc w:val="center"/>
      <w:outlineLvl w:val="0"/>
    </w:pPr>
    <w:rPr>
      <w:rFonts w:ascii="黑体" w:hAnsi="Calibri" w:eastAsia="黑体" w:cs="Times New Roman"/>
      <w:kern w:val="0"/>
      <w:szCs w:val="21"/>
    </w:rPr>
  </w:style>
  <w:style w:type="paragraph" w:customStyle="1" w:styleId="24">
    <w:name w:val="标准文件_二级条标题"/>
    <w:next w:val="21"/>
    <w:autoRedefine/>
    <w:qFormat/>
    <w:uiPriority w:val="0"/>
    <w:pPr>
      <w:widowControl w:val="0"/>
      <w:numPr>
        <w:ilvl w:val="3"/>
        <w:numId w:val="1"/>
      </w:numPr>
      <w:spacing w:before="50" w:beforeLines="50" w:after="50" w:afterLines="50"/>
      <w:ind w:left="0"/>
      <w:jc w:val="both"/>
      <w:outlineLvl w:val="2"/>
    </w:pPr>
    <w:rPr>
      <w:rFonts w:ascii="黑体" w:hAnsi="Times New Roman" w:eastAsia="黑体" w:cs="Times New Roman"/>
      <w:sz w:val="21"/>
      <w:lang w:val="en-US" w:eastAsia="zh-CN" w:bidi="ar-SA"/>
    </w:rPr>
  </w:style>
  <w:style w:type="paragraph" w:customStyle="1" w:styleId="25">
    <w:name w:val="标准文件_前言、引言标题"/>
    <w:next w:val="1"/>
    <w:autoRedefine/>
    <w:qFormat/>
    <w:uiPriority w:val="0"/>
    <w:pPr>
      <w:numPr>
        <w:ilvl w:val="0"/>
        <w:numId w:val="2"/>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26">
    <w:name w:val="标准文件_三级条标题"/>
    <w:basedOn w:val="24"/>
    <w:next w:val="21"/>
    <w:autoRedefine/>
    <w:qFormat/>
    <w:uiPriority w:val="0"/>
    <w:pPr>
      <w:widowControl/>
      <w:numPr>
        <w:ilvl w:val="4"/>
        <w:numId w:val="0"/>
      </w:numPr>
      <w:outlineLvl w:val="3"/>
    </w:pPr>
  </w:style>
  <w:style w:type="paragraph" w:customStyle="1" w:styleId="27">
    <w:name w:val="标准文件_四级条标题"/>
    <w:next w:val="21"/>
    <w:autoRedefine/>
    <w:qFormat/>
    <w:uiPriority w:val="0"/>
    <w:pPr>
      <w:widowControl w:val="0"/>
      <w:numPr>
        <w:ilvl w:val="5"/>
        <w:numId w:val="1"/>
      </w:numPr>
      <w:spacing w:before="50" w:beforeLines="50" w:after="50" w:afterLines="50"/>
      <w:jc w:val="both"/>
      <w:outlineLvl w:val="4"/>
    </w:pPr>
    <w:rPr>
      <w:rFonts w:ascii="黑体" w:hAnsi="Times New Roman" w:eastAsia="黑体" w:cs="Times New Roman"/>
      <w:sz w:val="21"/>
      <w:lang w:val="en-US" w:eastAsia="zh-CN" w:bidi="ar-SA"/>
    </w:rPr>
  </w:style>
  <w:style w:type="paragraph" w:customStyle="1" w:styleId="28">
    <w:name w:val="标准文件_五级条标题"/>
    <w:next w:val="21"/>
    <w:autoRedefine/>
    <w:qFormat/>
    <w:uiPriority w:val="0"/>
    <w:pPr>
      <w:widowControl w:val="0"/>
      <w:numPr>
        <w:ilvl w:val="6"/>
        <w:numId w:val="1"/>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29">
    <w:name w:val="标准文件_章标题"/>
    <w:next w:val="21"/>
    <w:autoRedefine/>
    <w:qFormat/>
    <w:uiPriority w:val="0"/>
    <w:pPr>
      <w:numPr>
        <w:ilvl w:val="1"/>
        <w:numId w:val="1"/>
      </w:numPr>
      <w:spacing w:before="312" w:beforeLines="100" w:after="312" w:afterLines="100"/>
      <w:jc w:val="both"/>
      <w:outlineLvl w:val="0"/>
    </w:pPr>
    <w:rPr>
      <w:rFonts w:ascii="黑体" w:hAnsi="Times New Roman" w:eastAsia="黑体" w:cs="Times New Roman"/>
      <w:sz w:val="21"/>
      <w:lang w:val="en-US" w:eastAsia="zh-CN" w:bidi="ar-SA"/>
    </w:rPr>
  </w:style>
  <w:style w:type="paragraph" w:customStyle="1" w:styleId="30">
    <w:name w:val="标准文件_一级条标题"/>
    <w:basedOn w:val="29"/>
    <w:next w:val="21"/>
    <w:autoRedefine/>
    <w:qFormat/>
    <w:uiPriority w:val="0"/>
    <w:pPr>
      <w:numPr>
        <w:ilvl w:val="2"/>
        <w:numId w:val="0"/>
      </w:numPr>
      <w:spacing w:before="50" w:beforeLines="50" w:after="50" w:afterLines="50"/>
      <w:outlineLvl w:val="1"/>
    </w:pPr>
  </w:style>
  <w:style w:type="paragraph" w:customStyle="1" w:styleId="31">
    <w:name w:val="标准文件_数字编号列项（二级）"/>
    <w:autoRedefine/>
    <w:qFormat/>
    <w:uiPriority w:val="0"/>
    <w:pPr>
      <w:numPr>
        <w:ilvl w:val="1"/>
        <w:numId w:val="3"/>
      </w:numPr>
      <w:jc w:val="both"/>
    </w:pPr>
    <w:rPr>
      <w:rFonts w:ascii="宋体" w:hAnsi="Times New Roman" w:eastAsia="宋体" w:cs="Times New Roman"/>
      <w:sz w:val="21"/>
      <w:lang w:val="en-US" w:eastAsia="zh-CN" w:bidi="ar-SA"/>
    </w:rPr>
  </w:style>
  <w:style w:type="paragraph" w:customStyle="1" w:styleId="32">
    <w:name w:val="标准文件_编号列项（三级）"/>
    <w:autoRedefine/>
    <w:qFormat/>
    <w:uiPriority w:val="0"/>
    <w:pPr>
      <w:numPr>
        <w:ilvl w:val="2"/>
        <w:numId w:val="3"/>
      </w:numPr>
    </w:pPr>
    <w:rPr>
      <w:rFonts w:ascii="宋体" w:hAnsi="Times New Roman" w:eastAsia="宋体" w:cs="Times New Roman"/>
      <w:sz w:val="21"/>
      <w:lang w:val="en-US" w:eastAsia="zh-CN" w:bidi="ar-SA"/>
    </w:rPr>
  </w:style>
  <w:style w:type="paragraph" w:customStyle="1" w:styleId="33">
    <w:name w:val="封面标准英文名称"/>
    <w:autoRedefine/>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34">
    <w:name w:val="标准文件_一级项"/>
    <w:autoRedefine/>
    <w:qFormat/>
    <w:uiPriority w:val="0"/>
    <w:pPr>
      <w:numPr>
        <w:ilvl w:val="0"/>
        <w:numId w:val="4"/>
      </w:numPr>
    </w:pPr>
    <w:rPr>
      <w:rFonts w:ascii="宋体" w:hAnsi="Times New Roman" w:eastAsia="宋体" w:cs="Times New Roman"/>
      <w:sz w:val="21"/>
      <w:lang w:val="en-US" w:eastAsia="zh-CN" w:bidi="ar-SA"/>
    </w:rPr>
  </w:style>
  <w:style w:type="paragraph" w:customStyle="1" w:styleId="35">
    <w:name w:val="其他发布部门"/>
    <w:basedOn w:val="1"/>
    <w:autoRedefine/>
    <w:qFormat/>
    <w:uiPriority w:val="0"/>
    <w:pPr>
      <w:framePr w:w="7433" w:h="585" w:hRule="exact" w:hSpace="180" w:vSpace="180" w:wrap="around" w:vAnchor="margin" w:hAnchor="margin" w:xAlign="center" w:y="14401" w:anchorLock="1"/>
      <w:widowControl/>
      <w:spacing w:line="0" w:lineRule="atLeast"/>
      <w:jc w:val="center"/>
    </w:pPr>
    <w:rPr>
      <w:rFonts w:ascii="黑体" w:hAnsi="Times New Roman" w:eastAsia="黑体" w:cs="Times New Roman"/>
      <w:w w:val="135"/>
      <w:kern w:val="0"/>
      <w:sz w:val="36"/>
      <w:szCs w:val="20"/>
    </w:rPr>
  </w:style>
  <w:style w:type="paragraph" w:customStyle="1" w:styleId="36">
    <w:name w:val="前言标题"/>
    <w:next w:val="1"/>
    <w:autoRedefine/>
    <w:qFormat/>
    <w:uiPriority w:val="0"/>
    <w:pPr>
      <w:numPr>
        <w:ilvl w:val="0"/>
        <w:numId w:val="1"/>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37">
    <w:name w:val="标准文件_三级项"/>
    <w:basedOn w:val="1"/>
    <w:autoRedefine/>
    <w:qFormat/>
    <w:uiPriority w:val="0"/>
    <w:pPr>
      <w:numPr>
        <w:ilvl w:val="2"/>
        <w:numId w:val="4"/>
      </w:numPr>
      <w:adjustRightInd w:val="0"/>
      <w:spacing w:line="536870612" w:lineRule="auto"/>
    </w:pPr>
    <w:rPr>
      <w:rFonts w:ascii="Times New Roman" w:hAnsi="Times New Roman" w:eastAsia="宋体" w:cs="Times New Roman"/>
      <w:szCs w:val="21"/>
    </w:rPr>
  </w:style>
  <w:style w:type="paragraph" w:customStyle="1" w:styleId="38">
    <w:name w:val="标准文件_字母编号列项（一级）"/>
    <w:autoRedefine/>
    <w:qFormat/>
    <w:uiPriority w:val="0"/>
    <w:pPr>
      <w:numPr>
        <w:ilvl w:val="0"/>
        <w:numId w:val="3"/>
      </w:numPr>
      <w:jc w:val="both"/>
    </w:pPr>
    <w:rPr>
      <w:rFonts w:ascii="宋体" w:hAnsi="Times New Roman" w:eastAsia="宋体" w:cs="Times New Roman"/>
      <w:sz w:val="21"/>
      <w:lang w:val="en-US" w:eastAsia="zh-CN" w:bidi="ar-SA"/>
    </w:rPr>
  </w:style>
  <w:style w:type="paragraph" w:customStyle="1" w:styleId="39">
    <w:name w:val="标准文件_正文标准名称"/>
    <w:autoRedefine/>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character" w:customStyle="1" w:styleId="40">
    <w:name w:val="标准文件_段 Char"/>
    <w:link w:val="21"/>
    <w:autoRedefine/>
    <w:qFormat/>
    <w:uiPriority w:val="0"/>
    <w:rPr>
      <w:rFonts w:ascii="宋体" w:hAnsi="Times New Roman" w:eastAsia="宋体" w:cs="Times New Roman"/>
      <w:kern w:val="0"/>
      <w:szCs w:val="20"/>
    </w:rPr>
  </w:style>
  <w:style w:type="paragraph" w:customStyle="1" w:styleId="41">
    <w:name w:val="标准文件_二级项2"/>
    <w:basedOn w:val="21"/>
    <w:autoRedefine/>
    <w:qFormat/>
    <w:uiPriority w:val="0"/>
    <w:pPr>
      <w:numPr>
        <w:ilvl w:val="1"/>
        <w:numId w:val="4"/>
      </w:numPr>
      <w:tabs>
        <w:tab w:val="left" w:pos="360"/>
      </w:tabs>
      <w:ind w:left="0" w:firstLine="0" w:firstLineChars="0"/>
    </w:pPr>
  </w:style>
  <w:style w:type="paragraph" w:customStyle="1" w:styleId="42">
    <w:name w:val="其他发布日期"/>
    <w:basedOn w:val="1"/>
    <w:autoRedefine/>
    <w:qFormat/>
    <w:uiPriority w:val="0"/>
    <w:pPr>
      <w:framePr w:w="3997" w:h="471" w:hRule="exact" w:vSpace="181" w:wrap="around" w:vAnchor="page" w:hAnchor="page" w:x="1419" w:y="14097" w:anchorLock="1"/>
      <w:widowControl/>
      <w:jc w:val="left"/>
    </w:pPr>
    <w:rPr>
      <w:rFonts w:ascii="Times New Roman" w:hAnsi="Times New Roman" w:eastAsia="黑体" w:cs="Times New Roman"/>
      <w:kern w:val="0"/>
      <w:sz w:val="28"/>
      <w:szCs w:val="20"/>
    </w:rPr>
  </w:style>
  <w:style w:type="paragraph" w:customStyle="1" w:styleId="43">
    <w:name w:val="其他实施日期"/>
    <w:basedOn w:val="1"/>
    <w:autoRedefine/>
    <w:qFormat/>
    <w:uiPriority w:val="0"/>
    <w:pPr>
      <w:framePr w:w="3997" w:h="471" w:hRule="exact" w:vSpace="181" w:wrap="around" w:vAnchor="page" w:hAnchor="page" w:x="7089" w:y="14097" w:anchorLock="1"/>
      <w:widowControl/>
      <w:jc w:val="right"/>
    </w:pPr>
    <w:rPr>
      <w:rFonts w:ascii="Times New Roman" w:hAnsi="Times New Roman" w:eastAsia="黑体" w:cs="Times New Roman"/>
      <w:kern w:val="0"/>
      <w:sz w:val="28"/>
      <w:szCs w:val="20"/>
    </w:rPr>
  </w:style>
  <w:style w:type="paragraph" w:customStyle="1" w:styleId="44">
    <w:name w:val="标准文件_文件编号"/>
    <w:basedOn w:val="21"/>
    <w:autoRedefine/>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45">
    <w:name w:val="标准文件_替换文件编号"/>
    <w:basedOn w:val="44"/>
    <w:autoRedefine/>
    <w:qFormat/>
    <w:uiPriority w:val="0"/>
    <w:pPr>
      <w:framePr/>
      <w:spacing w:before="57"/>
    </w:pPr>
    <w:rPr>
      <w:sz w:val="21"/>
    </w:rPr>
  </w:style>
  <w:style w:type="paragraph" w:customStyle="1" w:styleId="46">
    <w:name w:val="标准文件_文件名称"/>
    <w:basedOn w:val="21"/>
    <w:next w:val="21"/>
    <w:autoRedefine/>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47">
    <w:name w:val="标准文件_引言一级条标题"/>
    <w:basedOn w:val="21"/>
    <w:next w:val="21"/>
    <w:autoRedefine/>
    <w:qFormat/>
    <w:uiPriority w:val="0"/>
    <w:pPr>
      <w:numPr>
        <w:ilvl w:val="1"/>
        <w:numId w:val="2"/>
      </w:numPr>
      <w:tabs>
        <w:tab w:val="left" w:pos="360"/>
      </w:tabs>
      <w:spacing w:before="50" w:beforeLines="50" w:after="50" w:afterLines="50"/>
      <w:ind w:firstLine="200" w:firstLineChars="0"/>
    </w:pPr>
    <w:rPr>
      <w:rFonts w:ascii="黑体" w:eastAsia="黑体"/>
    </w:rPr>
  </w:style>
  <w:style w:type="paragraph" w:customStyle="1" w:styleId="48">
    <w:name w:val="标准文件_引言二级条标题"/>
    <w:basedOn w:val="21"/>
    <w:next w:val="21"/>
    <w:autoRedefine/>
    <w:qFormat/>
    <w:uiPriority w:val="0"/>
    <w:pPr>
      <w:numPr>
        <w:ilvl w:val="2"/>
        <w:numId w:val="2"/>
      </w:numPr>
      <w:tabs>
        <w:tab w:val="left" w:pos="360"/>
      </w:tabs>
      <w:spacing w:before="50" w:beforeLines="50" w:after="50" w:afterLines="50"/>
      <w:ind w:firstLine="200" w:firstLineChars="0"/>
    </w:pPr>
    <w:rPr>
      <w:rFonts w:ascii="黑体" w:eastAsia="黑体"/>
    </w:rPr>
  </w:style>
  <w:style w:type="paragraph" w:customStyle="1" w:styleId="49">
    <w:name w:val="标准文件_引言三级条标题"/>
    <w:basedOn w:val="21"/>
    <w:next w:val="21"/>
    <w:autoRedefine/>
    <w:qFormat/>
    <w:uiPriority w:val="0"/>
    <w:pPr>
      <w:numPr>
        <w:ilvl w:val="3"/>
        <w:numId w:val="2"/>
      </w:numPr>
      <w:tabs>
        <w:tab w:val="left" w:pos="360"/>
      </w:tabs>
      <w:spacing w:before="50" w:beforeLines="50" w:after="50" w:afterLines="50"/>
      <w:ind w:firstLine="200" w:firstLineChars="0"/>
    </w:pPr>
    <w:rPr>
      <w:rFonts w:ascii="黑体" w:eastAsia="黑体"/>
    </w:rPr>
  </w:style>
  <w:style w:type="paragraph" w:customStyle="1" w:styleId="50">
    <w:name w:val="标准文件_引言四级条标题"/>
    <w:basedOn w:val="21"/>
    <w:next w:val="21"/>
    <w:autoRedefine/>
    <w:qFormat/>
    <w:uiPriority w:val="0"/>
    <w:pPr>
      <w:numPr>
        <w:ilvl w:val="4"/>
        <w:numId w:val="2"/>
      </w:numPr>
      <w:tabs>
        <w:tab w:val="left" w:pos="360"/>
      </w:tabs>
      <w:spacing w:before="50" w:beforeLines="50" w:after="50" w:afterLines="50"/>
      <w:ind w:firstLine="200" w:firstLineChars="0"/>
    </w:pPr>
    <w:rPr>
      <w:rFonts w:ascii="黑体" w:eastAsia="黑体"/>
    </w:rPr>
  </w:style>
  <w:style w:type="paragraph" w:customStyle="1" w:styleId="51">
    <w:name w:val="标准文件_引言五级条标题"/>
    <w:basedOn w:val="21"/>
    <w:next w:val="21"/>
    <w:autoRedefine/>
    <w:qFormat/>
    <w:uiPriority w:val="0"/>
    <w:pPr>
      <w:numPr>
        <w:ilvl w:val="5"/>
        <w:numId w:val="2"/>
      </w:numPr>
      <w:tabs>
        <w:tab w:val="left" w:pos="360"/>
      </w:tabs>
      <w:spacing w:before="50" w:beforeLines="50" w:after="50" w:afterLines="50"/>
      <w:ind w:firstLine="200" w:firstLineChars="0"/>
    </w:pPr>
    <w:rPr>
      <w:rFonts w:ascii="黑体" w:eastAsia="黑体"/>
    </w:rPr>
  </w:style>
  <w:style w:type="paragraph" w:customStyle="1" w:styleId="52">
    <w:name w:val="标准文件_术语条一"/>
    <w:basedOn w:val="1"/>
    <w:next w:val="21"/>
    <w:autoRedefine/>
    <w:qFormat/>
    <w:uiPriority w:val="0"/>
    <w:pPr>
      <w:widowControl/>
    </w:pPr>
    <w:rPr>
      <w:rFonts w:ascii="宋体" w:hAnsi="Times New Roman" w:eastAsia="宋体" w:cs="Times New Roman"/>
      <w:kern w:val="0"/>
      <w:szCs w:val="20"/>
    </w:rPr>
  </w:style>
  <w:style w:type="character" w:customStyle="1" w:styleId="53">
    <w:name w:val="发布"/>
    <w:basedOn w:val="12"/>
    <w:autoRedefine/>
    <w:qFormat/>
    <w:uiPriority w:val="0"/>
    <w:rPr>
      <w:rFonts w:ascii="黑体" w:eastAsia="黑体"/>
      <w:spacing w:val="85"/>
      <w:w w:val="100"/>
      <w:position w:val="3"/>
      <w:sz w:val="28"/>
      <w:szCs w:val="28"/>
    </w:rPr>
  </w:style>
  <w:style w:type="character" w:customStyle="1" w:styleId="54">
    <w:name w:val="批注文字 字符"/>
    <w:basedOn w:val="12"/>
    <w:link w:val="4"/>
    <w:autoRedefine/>
    <w:qFormat/>
    <w:uiPriority w:val="99"/>
  </w:style>
  <w:style w:type="character" w:customStyle="1" w:styleId="55">
    <w:name w:val="批注主题 字符"/>
    <w:basedOn w:val="54"/>
    <w:link w:val="9"/>
    <w:autoRedefine/>
    <w:qFormat/>
    <w:uiPriority w:val="99"/>
    <w:rPr>
      <w:b/>
      <w:bCs/>
    </w:rPr>
  </w:style>
  <w:style w:type="character" w:customStyle="1" w:styleId="56">
    <w:name w:val="批注框文本 字符"/>
    <w:basedOn w:val="12"/>
    <w:link w:val="5"/>
    <w:autoRedefine/>
    <w:qFormat/>
    <w:uiPriority w:val="99"/>
    <w:rPr>
      <w:kern w:val="2"/>
      <w:sz w:val="18"/>
      <w:szCs w:val="18"/>
    </w:rPr>
  </w:style>
  <w:style w:type="paragraph" w:styleId="57">
    <w:name w:val="List Paragraph"/>
    <w:basedOn w:val="1"/>
    <w:autoRedefine/>
    <w:qFormat/>
    <w:uiPriority w:val="34"/>
    <w:pPr>
      <w:ind w:firstLine="420" w:firstLineChars="200"/>
    </w:pPr>
  </w:style>
  <w:style w:type="paragraph" w:customStyle="1" w:styleId="58">
    <w:name w:val="修订1"/>
    <w:autoRedefine/>
    <w:hidden/>
    <w:semiHidden/>
    <w:qFormat/>
    <w:uiPriority w:val="99"/>
    <w:rPr>
      <w:rFonts w:ascii="等线" w:hAnsi="等线" w:eastAsia="等线" w:cs="宋体"/>
      <w:kern w:val="2"/>
      <w:sz w:val="21"/>
      <w:szCs w:val="22"/>
      <w:lang w:val="en-US" w:eastAsia="zh-CN" w:bidi="ar-SA"/>
    </w:rPr>
  </w:style>
  <w:style w:type="paragraph" w:customStyle="1" w:styleId="59">
    <w:name w:val="文献分类号"/>
    <w:autoRedefine/>
    <w:qFormat/>
    <w:uiPriority w:val="0"/>
    <w:pPr>
      <w:framePr w:hSpace="180" w:vSpace="180" w:wrap="around" w:vAnchor="margin" w:hAnchor="margin" w:y="1" w:anchorLock="1"/>
      <w:widowControl w:val="0"/>
      <w:textAlignment w:val="center"/>
    </w:pPr>
    <w:rPr>
      <w:rFonts w:ascii="黑体" w:hAnsi="Times New Roman" w:eastAsia="黑体" w:cs="Times New Roman"/>
      <w:sz w:val="21"/>
      <w:szCs w:val="21"/>
      <w:lang w:val="en-US" w:eastAsia="zh-CN" w:bidi="ar-SA"/>
    </w:rPr>
  </w:style>
  <w:style w:type="paragraph" w:customStyle="1" w:styleId="60">
    <w:name w:val="封面标准名称"/>
    <w:autoRedefine/>
    <w:qFormat/>
    <w:uiPriority w:val="0"/>
    <w:pPr>
      <w:framePr w:w="9639" w:h="6917" w:hRule="exact" w:wrap="around" w:vAnchor="page" w:hAnchor="page" w:xAlign="center" w:y="6408"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61">
    <w:name w:val="封面标准文稿编辑信息"/>
    <w:basedOn w:val="1"/>
    <w:autoRedefine/>
    <w:qFormat/>
    <w:uiPriority w:val="0"/>
    <w:pPr>
      <w:framePr w:w="9639" w:h="6917" w:hRule="exact" w:wrap="around" w:vAnchor="page" w:hAnchor="page" w:xAlign="center" w:y="6408" w:anchorLock="1"/>
      <w:spacing w:before="180" w:after="160" w:line="180" w:lineRule="exact"/>
      <w:jc w:val="center"/>
      <w:textAlignment w:val="center"/>
    </w:pPr>
    <w:rPr>
      <w:rFonts w:ascii="宋体" w:hAnsi="Times New Roman" w:eastAsia="宋体" w:cs="Times New Roman"/>
      <w:kern w:val="0"/>
      <w:szCs w:val="28"/>
    </w:rPr>
  </w:style>
  <w:style w:type="paragraph" w:customStyle="1" w:styleId="62">
    <w:name w:val="封面一致性程度标识"/>
    <w:autoRedefine/>
    <w:qFormat/>
    <w:uiPriority w:val="0"/>
    <w:pPr>
      <w:spacing w:before="440" w:line="400" w:lineRule="exact"/>
      <w:jc w:val="center"/>
    </w:pPr>
    <w:rPr>
      <w:rFonts w:ascii="宋体" w:hAnsi="Times New Roman" w:eastAsia="宋体" w:cs="Times New Roman"/>
      <w:sz w:val="28"/>
      <w:lang w:val="en-US" w:eastAsia="zh-CN" w:bidi="ar-SA"/>
    </w:rPr>
  </w:style>
  <w:style w:type="paragraph" w:customStyle="1" w:styleId="63">
    <w:name w:val="其他标准称谓"/>
    <w:next w:val="1"/>
    <w:autoRedefine/>
    <w:qFormat/>
    <w:uiPriority w:val="0"/>
    <w:pPr>
      <w:framePr w:hSpace="181" w:vSpace="181" w:wrap="around" w:vAnchor="page" w:hAnchor="page" w:x="1419" w:y="2286" w:anchorLock="1"/>
      <w:spacing w:line="0" w:lineRule="atLeast"/>
      <w:jc w:val="distribute"/>
    </w:pPr>
    <w:rPr>
      <w:rFonts w:ascii="黑体" w:hAnsi="宋体" w:eastAsia="黑体" w:cs="Times New Roman"/>
      <w:spacing w:val="-40"/>
      <w:sz w:val="48"/>
      <w:szCs w:val="52"/>
      <w:lang w:val="en-US" w:eastAsia="zh-CN" w:bidi="ar-SA"/>
    </w:rPr>
  </w:style>
  <w:style w:type="paragraph" w:customStyle="1" w:styleId="64">
    <w:name w:val="前言、引言标题"/>
    <w:next w:val="1"/>
    <w:autoRedefine/>
    <w:qFormat/>
    <w:uiPriority w:val="0"/>
    <w:pPr>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65">
    <w:name w:val="封面标准代替信息"/>
    <w:basedOn w:val="66"/>
    <w:autoRedefine/>
    <w:qFormat/>
    <w:uiPriority w:val="0"/>
    <w:pPr>
      <w:framePr w:wrap="around"/>
      <w:spacing w:before="57"/>
    </w:pPr>
    <w:rPr>
      <w:rFonts w:ascii="宋体"/>
      <w:sz w:val="21"/>
    </w:rPr>
  </w:style>
  <w:style w:type="paragraph" w:customStyle="1" w:styleId="66">
    <w:name w:val="封面标准号2"/>
    <w:basedOn w:val="1"/>
    <w:autoRedefine/>
    <w:qFormat/>
    <w:uiPriority w:val="0"/>
    <w:pPr>
      <w:framePr w:w="9138" w:h="1244" w:hRule="exact" w:wrap="around" w:vAnchor="page" w:hAnchor="margin" w:y="2908"/>
      <w:kinsoku w:val="0"/>
      <w:overflowPunct w:val="0"/>
      <w:autoSpaceDE w:val="0"/>
      <w:autoSpaceDN w:val="0"/>
      <w:adjustRightInd w:val="0"/>
      <w:spacing w:before="357" w:line="280" w:lineRule="exact"/>
      <w:jc w:val="right"/>
      <w:textAlignment w:val="center"/>
    </w:pPr>
    <w:rPr>
      <w:rFonts w:ascii="Times New Roman" w:hAnsi="Times New Roman" w:eastAsia="宋体" w:cs="Times New Roman"/>
      <w:kern w:val="0"/>
      <w:sz w:val="28"/>
      <w:szCs w:val="20"/>
    </w:rPr>
  </w:style>
  <w:style w:type="paragraph" w:customStyle="1" w:styleId="67">
    <w:name w:val="其他标准标志"/>
    <w:basedOn w:val="1"/>
    <w:autoRedefine/>
    <w:qFormat/>
    <w:uiPriority w:val="0"/>
    <w:pPr>
      <w:framePr w:w="6101" w:h="1389" w:hRule="exact" w:hSpace="181" w:vSpace="181" w:wrap="around" w:vAnchor="page" w:hAnchor="page" w:x="4673" w:y="942" w:anchorLock="1"/>
      <w:widowControl/>
      <w:shd w:val="solid" w:color="FFFFFF" w:fill="FFFFFF"/>
      <w:spacing w:line="0" w:lineRule="atLeast"/>
      <w:jc w:val="right"/>
    </w:pPr>
    <w:rPr>
      <w:rFonts w:ascii="Times New Roman" w:hAnsi="Times New Roman" w:eastAsia="宋体" w:cs="Times New Roman"/>
      <w:b/>
      <w:w w:val="130"/>
      <w:kern w:val="0"/>
      <w:sz w:val="96"/>
      <w:szCs w:val="96"/>
    </w:rPr>
  </w:style>
  <w:style w:type="paragraph" w:customStyle="1" w:styleId="68">
    <w:name w:val="修订2"/>
    <w:hidden/>
    <w:unhideWhenUsed/>
    <w:qFormat/>
    <w:uiPriority w:val="99"/>
    <w:rPr>
      <w:rFonts w:ascii="等线" w:hAnsi="等线" w:eastAsia="等线" w:cs="宋体"/>
      <w:kern w:val="2"/>
      <w:sz w:val="21"/>
      <w:szCs w:val="22"/>
      <w:lang w:val="en-US" w:eastAsia="zh-CN" w:bidi="ar-SA"/>
    </w:rPr>
  </w:style>
  <w:style w:type="paragraph" w:customStyle="1" w:styleId="69">
    <w:name w:val="修订3"/>
    <w:hidden/>
    <w:unhideWhenUsed/>
    <w:qFormat/>
    <w:uiPriority w:val="99"/>
    <w:rPr>
      <w:rFonts w:ascii="等线" w:hAnsi="等线" w:eastAsia="等线" w:cs="宋体"/>
      <w:kern w:val="2"/>
      <w:sz w:val="21"/>
      <w:szCs w:val="22"/>
      <w:lang w:val="en-US" w:eastAsia="zh-CN" w:bidi="ar-SA"/>
    </w:rPr>
  </w:style>
  <w:style w:type="paragraph" w:customStyle="1" w:styleId="70">
    <w:name w:val="Revision"/>
    <w:hidden/>
    <w:unhideWhenUsed/>
    <w:qFormat/>
    <w:uiPriority w:val="99"/>
    <w:rPr>
      <w:rFonts w:ascii="等线" w:hAnsi="等线" w:eastAsia="等线" w:cs="宋体"/>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3574</Words>
  <Characters>4116</Characters>
  <Lines>33</Lines>
  <Paragraphs>9</Paragraphs>
  <TotalTime>196</TotalTime>
  <ScaleCrop>false</ScaleCrop>
  <LinksUpToDate>false</LinksUpToDate>
  <CharactersWithSpaces>4258</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2024-11-29T01:30:00Z</dcterms:created>
  <dc:creator>童 言无忌</dc:creator>
  <cp:lastModifiedBy>忐忑</cp:lastModifiedBy>
  <dcterms:modified xsi:type="dcterms:W3CDTF">2025-03-21T00:56:32Z</dcterms:modified>
  <cp:revision>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317FB6EA8DB94BB0AAD2AE083504C6F6_13</vt:lpwstr>
  </property>
  <property fmtid="{D5CDD505-2E9C-101B-9397-08002B2CF9AE}" pid="4" name="KSOTemplateDocerSaveRecord">
    <vt:lpwstr>eyJoZGlkIjoiZTA2YjBjZGIyZjA3YjlkNGZiYjYyZDVjN2Y5M2RhZDMiLCJ1c2VySWQiOiI0MzYwMTU0NjQifQ==</vt:lpwstr>
  </property>
</Properties>
</file>