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C78F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20010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7D4096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11.160</w:t>
            </w:r>
            <w:r>
              <w:rPr>
                <w:rFonts w:ascii="黑体" w:hAnsi="黑体" w:eastAsia="黑体"/>
                <w:sz w:val="21"/>
                <w:szCs w:val="21"/>
              </w:rPr>
              <w:fldChar w:fldCharType="end"/>
            </w:r>
            <w:bookmarkEnd w:id="0"/>
          </w:p>
        </w:tc>
      </w:tr>
      <w:tr w14:paraId="4EB09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76A77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B029F9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F7A45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7C80525">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10C01FF7">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5970DB0">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EF4F34C">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626AD1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C9FB6D">
      <w:pPr>
        <w:pStyle w:val="50"/>
        <w:framePr w:w="9639" w:h="6976" w:hRule="exact" w:hSpace="0" w:vSpace="0" w:wrap="around" w:hAnchor="page" w:y="6408"/>
        <w:jc w:val="center"/>
        <w:rPr>
          <w:rFonts w:hint="eastAsia" w:ascii="黑体" w:hAnsi="黑体" w:eastAsia="黑体"/>
          <w:b w:val="0"/>
          <w:bCs w:val="0"/>
          <w:w w:val="100"/>
        </w:rPr>
      </w:pPr>
    </w:p>
    <w:p w14:paraId="33BF82C7">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3"/>
      <w:r>
        <w:rPr>
          <w:rFonts w:hint="eastAsia"/>
        </w:rPr>
        <w:t>大型活动医疗急救保障服务规范</w:t>
      </w:r>
      <w:bookmarkEnd w:id="10"/>
      <w:r>
        <w:fldChar w:fldCharType="end"/>
      </w:r>
      <w:bookmarkEnd w:id="9"/>
    </w:p>
    <w:p w14:paraId="5508E1A3">
      <w:pPr>
        <w:framePr w:w="9639" w:h="6974" w:hRule="exact" w:wrap="around" w:vAnchor="page" w:hAnchor="page" w:x="1419" w:y="6408" w:anchorLock="1"/>
        <w:ind w:left="-1418"/>
      </w:pPr>
    </w:p>
    <w:p w14:paraId="50C4FFC8">
      <w:pPr>
        <w:pStyle w:val="125"/>
        <w:framePr w:w="9639" w:h="6974" w:hRule="exact" w:wrap="around" w:vAnchor="page" w:hAnchor="page" w:x="1419" w:y="6408" w:anchorLock="1"/>
        <w:textAlignment w:val="bottom"/>
        <w:rPr>
          <w:rFonts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1"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eastAsia="黑体"/>
          <w:szCs w:val="28"/>
        </w:rPr>
        <w:t>Medical first-aid service specification for large-scale mass activity</w:t>
      </w:r>
      <w:r>
        <w:rPr>
          <w:rFonts w:eastAsia="黑体"/>
          <w:szCs w:val="28"/>
        </w:rPr>
        <w:fldChar w:fldCharType="end"/>
      </w:r>
      <w:bookmarkEnd w:id="11"/>
    </w:p>
    <w:p w14:paraId="30958621">
      <w:pPr>
        <w:framePr w:w="9639" w:h="6974" w:hRule="exact" w:wrap="around" w:vAnchor="page" w:hAnchor="page" w:x="1419" w:y="6408" w:anchorLock="1"/>
        <w:spacing w:line="760" w:lineRule="exact"/>
        <w:ind w:left="-1418"/>
      </w:pPr>
    </w:p>
    <w:p w14:paraId="73477E18">
      <w:pPr>
        <w:pStyle w:val="125"/>
        <w:framePr w:w="9639" w:h="6974" w:hRule="exact" w:wrap="around" w:vAnchor="page" w:hAnchor="page" w:x="1419" w:y="6408" w:anchorLock="1"/>
        <w:textAlignment w:val="bottom"/>
        <w:rPr>
          <w:rFonts w:eastAsia="黑体"/>
          <w:szCs w:val="28"/>
        </w:rPr>
      </w:pPr>
    </w:p>
    <w:p w14:paraId="18BD645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34BE4C2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037CF82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6C496EB2">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5828A424">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2A2DCE2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A495B5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412D62">
      <w:pPr>
        <w:pStyle w:val="89"/>
        <w:spacing w:before="900" w:after="468"/>
      </w:pPr>
      <w:bookmarkStart w:id="22" w:name="BookMark2"/>
      <w:r>
        <w:rPr>
          <w:spacing w:val="320"/>
        </w:rPr>
        <w:t>前</w:t>
      </w:r>
      <w:r>
        <w:t>言</w:t>
      </w:r>
    </w:p>
    <w:p w14:paraId="7E76E536">
      <w:pPr>
        <w:pStyle w:val="56"/>
        <w:ind w:firstLine="420"/>
      </w:pPr>
      <w:r>
        <w:rPr>
          <w:rFonts w:hint="eastAsia"/>
        </w:rPr>
        <w:t>本文件按照GB/T 1.1—2020《标准化工作导则  第1部分：标准化文件的结构和起草规则》的规定起草。</w:t>
      </w:r>
    </w:p>
    <w:p w14:paraId="324435F0">
      <w:pPr>
        <w:pStyle w:val="56"/>
        <w:ind w:firstLine="420"/>
      </w:pPr>
      <w:r>
        <w:rPr>
          <w:rFonts w:hint="eastAsia"/>
        </w:rPr>
        <w:t>请注意本文件的某些内容可能涉及专利。本文件的发布机构不承担识别专利的责任。</w:t>
      </w:r>
    </w:p>
    <w:p w14:paraId="06210F54">
      <w:pPr>
        <w:pStyle w:val="230"/>
      </w:pPr>
      <w:r>
        <w:rPr>
          <w:rFonts w:hint="eastAsia"/>
        </w:rPr>
        <w:t xml:space="preserve">本文件由皖南医学院第二附属医院提出。 </w:t>
      </w:r>
    </w:p>
    <w:p w14:paraId="3D55C8AE">
      <w:pPr>
        <w:pStyle w:val="230"/>
      </w:pPr>
      <w:r>
        <w:rPr>
          <w:rFonts w:hint="eastAsia"/>
        </w:rPr>
        <w:t xml:space="preserve">本文件由安徽省卫生健康委员会归口。 </w:t>
      </w:r>
    </w:p>
    <w:p w14:paraId="1F0099C6">
      <w:pPr>
        <w:pStyle w:val="230"/>
      </w:pPr>
      <w:r>
        <w:rPr>
          <w:rFonts w:hint="eastAsia"/>
        </w:rPr>
        <w:t>本文件起草单位：皖南医学院第二附属医院、蚌埠医科大学第一附属医院、安徽医科大学第二附属医院、皖南医学院第一附属医院、芜湖市卫生健康委员会、芜湖市急救中心、宣城市急救中心、芜湖市蓝天救援队、芜湖市镜湖区卫生健康委员会、芜湖市湾沚区总医院。</w:t>
      </w:r>
    </w:p>
    <w:p w14:paraId="7517FD3E">
      <w:pPr>
        <w:pStyle w:val="230"/>
        <w:rPr>
          <w:rFonts w:hint="default" w:eastAsia="宋体"/>
          <w:lang w:val="en-US" w:eastAsia="zh-CN"/>
        </w:rPr>
      </w:pPr>
      <w:r>
        <w:rPr>
          <w:rFonts w:hint="eastAsia"/>
        </w:rPr>
        <w:t>本文件主要起草人：</w:t>
      </w:r>
      <w:r>
        <w:rPr>
          <w:rFonts w:hint="eastAsia"/>
          <w:lang w:val="en-US" w:eastAsia="zh-CN"/>
        </w:rPr>
        <w:t>叶胜、 张海龙、赵祥爱、刘炎、熊栋林、李小军、李贺、吴敬医、汪卓赟、章浩然、赵军、杨军、阮晶晶</w:t>
      </w:r>
    </w:p>
    <w:p w14:paraId="7B4D6625">
      <w:pPr>
        <w:pStyle w:val="56"/>
        <w:ind w:firstLine="420"/>
      </w:pPr>
      <w:r>
        <w:rPr>
          <w:rFonts w:hint="eastAsia"/>
        </w:rPr>
        <w:t>本文件的使用单位和个人应同时严格执行国家、省、市各行政管理部门关于突发事件防控的法律法规和技术规范。</w:t>
      </w:r>
    </w:p>
    <w:p w14:paraId="0EC5FDC3">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55" w:name="_GoBack"/>
      <w:bookmarkEnd w:id="55"/>
    </w:p>
    <w:bookmarkEnd w:id="22"/>
    <w:p w14:paraId="3BEB2AE7">
      <w:pPr>
        <w:spacing w:line="20" w:lineRule="exact"/>
        <w:jc w:val="center"/>
        <w:rPr>
          <w:rFonts w:hint="eastAsia" w:ascii="黑体" w:hAnsi="黑体" w:eastAsia="黑体"/>
          <w:sz w:val="32"/>
          <w:szCs w:val="32"/>
        </w:rPr>
      </w:pPr>
      <w:bookmarkStart w:id="23" w:name="BookMark4"/>
    </w:p>
    <w:p w14:paraId="47D9BE2D">
      <w:pPr>
        <w:spacing w:line="20" w:lineRule="exact"/>
        <w:jc w:val="center"/>
        <w:rPr>
          <w:rFonts w:hint="eastAsia" w:ascii="黑体" w:hAnsi="黑体" w:eastAsia="黑体"/>
          <w:sz w:val="32"/>
          <w:szCs w:val="32"/>
        </w:rPr>
      </w:pPr>
    </w:p>
    <w:sdt>
      <w:sdtPr>
        <w:tag w:val="NEW_STAND_NAME"/>
        <w:id w:val="595910757"/>
        <w:lock w:val="sdtLocked"/>
        <w:placeholder>
          <w:docPart w:val="17C6507B8E1149179C64770CF7E998AE"/>
        </w:placeholder>
      </w:sdtPr>
      <w:sdtContent>
        <w:p w14:paraId="0761B186">
          <w:pPr>
            <w:pStyle w:val="177"/>
            <w:spacing w:before="312" w:beforeLines="100" w:after="686" w:afterLines="220"/>
            <w:rPr>
              <w:rFonts w:hint="eastAsia"/>
            </w:rPr>
          </w:pPr>
          <w:bookmarkStart w:id="24" w:name="NEW_STAND_NAME"/>
          <w:r>
            <w:rPr>
              <w:rFonts w:hint="eastAsia"/>
            </w:rPr>
            <w:t>大型活动医疗急救保障服务规范</w:t>
          </w:r>
        </w:p>
      </w:sdtContent>
    </w:sdt>
    <w:bookmarkEnd w:id="24"/>
    <w:p w14:paraId="49E407BE">
      <w:pPr>
        <w:pStyle w:val="104"/>
        <w:spacing w:before="312" w:after="312"/>
        <w:ind w:left="0"/>
      </w:pPr>
      <w:bookmarkStart w:id="25" w:name="_Toc26986771"/>
      <w:bookmarkStart w:id="26" w:name="_Toc24884218"/>
      <w:bookmarkStart w:id="27" w:name="_Toc26648465"/>
      <w:bookmarkStart w:id="28" w:name="_Toc26718930"/>
      <w:bookmarkStart w:id="29" w:name="_Toc17233333"/>
      <w:bookmarkStart w:id="30" w:name="_Toc24884211"/>
      <w:bookmarkStart w:id="31" w:name="_Toc26986530"/>
      <w:bookmarkStart w:id="32" w:name="_Toc17233325"/>
      <w:bookmarkStart w:id="33" w:name="_Toc97191423"/>
      <w:r>
        <w:rPr>
          <w:rFonts w:hint="eastAsia"/>
        </w:rPr>
        <w:t>范围</w:t>
      </w:r>
      <w:bookmarkEnd w:id="25"/>
      <w:bookmarkEnd w:id="26"/>
      <w:bookmarkEnd w:id="27"/>
      <w:bookmarkEnd w:id="28"/>
      <w:bookmarkEnd w:id="29"/>
      <w:bookmarkEnd w:id="30"/>
      <w:bookmarkEnd w:id="31"/>
      <w:bookmarkEnd w:id="32"/>
      <w:bookmarkEnd w:id="33"/>
    </w:p>
    <w:p w14:paraId="4C09E85A">
      <w:pPr>
        <w:pStyle w:val="56"/>
        <w:ind w:firstLine="420"/>
      </w:pPr>
      <w:bookmarkStart w:id="34" w:name="OLE_LINK11"/>
      <w:bookmarkStart w:id="35" w:name="_Toc26648466"/>
      <w:bookmarkStart w:id="36" w:name="_Toc17233326"/>
      <w:bookmarkStart w:id="37" w:name="_Toc24884212"/>
      <w:bookmarkStart w:id="38" w:name="_Toc24884219"/>
      <w:bookmarkStart w:id="39" w:name="_Toc17233334"/>
      <w:r>
        <w:rPr>
          <w:rFonts w:hint="eastAsia"/>
          <w:bCs/>
          <w:szCs w:val="21"/>
        </w:rPr>
        <w:t>本文件规定了医疗机构、急救中心（站）应对大型群体性活动医疗急救保障的</w:t>
      </w:r>
      <w:bookmarkStart w:id="40" w:name="OLE_LINK9"/>
      <w:r>
        <w:rPr>
          <w:rFonts w:hint="eastAsia"/>
          <w:bCs/>
          <w:szCs w:val="21"/>
        </w:rPr>
        <w:t>基本要求、工作制度、现场医疗急救保障、医疗急救保障队伍设置、信息报告和改进</w:t>
      </w:r>
      <w:bookmarkEnd w:id="40"/>
      <w:r>
        <w:rPr>
          <w:rFonts w:hint="eastAsia"/>
        </w:rPr>
        <w:t>。</w:t>
      </w:r>
    </w:p>
    <w:p w14:paraId="3323A6DA">
      <w:pPr>
        <w:pStyle w:val="56"/>
        <w:ind w:firstLine="420"/>
      </w:pPr>
      <w:r>
        <w:rPr>
          <w:rFonts w:hint="eastAsia"/>
        </w:rPr>
        <w:t>本文件适用于</w:t>
      </w:r>
      <w:r>
        <w:rPr>
          <w:rFonts w:hint="eastAsia"/>
          <w:bCs/>
          <w:szCs w:val="21"/>
        </w:rPr>
        <w:t>安徽省各级医疗机构、急救中心（站）参与大型群体性活动医疗急救保障的应急处置工作</w:t>
      </w:r>
      <w:r>
        <w:rPr>
          <w:rFonts w:hint="eastAsia"/>
        </w:rPr>
        <w:t>。</w:t>
      </w:r>
    </w:p>
    <w:bookmarkEnd w:id="34"/>
    <w:p w14:paraId="79C4D115">
      <w:pPr>
        <w:pStyle w:val="104"/>
        <w:spacing w:before="312" w:after="312"/>
        <w:ind w:left="0"/>
      </w:pPr>
      <w:bookmarkStart w:id="41" w:name="_Toc26986772"/>
      <w:bookmarkStart w:id="42" w:name="_Toc97191424"/>
      <w:bookmarkStart w:id="43" w:name="_Toc26718931"/>
      <w:bookmarkStart w:id="44" w:name="_Toc26986531"/>
      <w:r>
        <w:rPr>
          <w:rFonts w:hint="eastAsia"/>
        </w:rPr>
        <w:t>规范性引用文件</w:t>
      </w:r>
      <w:bookmarkEnd w:id="35"/>
      <w:bookmarkEnd w:id="36"/>
      <w:bookmarkEnd w:id="37"/>
      <w:bookmarkEnd w:id="38"/>
      <w:bookmarkEnd w:id="39"/>
      <w:bookmarkEnd w:id="41"/>
      <w:bookmarkEnd w:id="42"/>
      <w:bookmarkEnd w:id="43"/>
      <w:bookmarkEnd w:id="44"/>
    </w:p>
    <w:sdt>
      <w:sdtPr>
        <w:rPr>
          <w:rFonts w:hint="eastAsia"/>
        </w:rPr>
        <w:id w:val="715848253"/>
        <w:placeholder>
          <w:docPart w:val="9583EE8FD3A34D9F9E306B04F2D916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96154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BF9ECD">
      <w:pPr>
        <w:spacing w:line="240" w:lineRule="auto"/>
        <w:ind w:firstLine="420" w:firstLineChars="200"/>
        <w:jc w:val="left"/>
        <w:rPr>
          <w:rFonts w:ascii="宋体" w:hAnsi="Times New Roman"/>
          <w:kern w:val="0"/>
          <w:szCs w:val="20"/>
        </w:rPr>
      </w:pPr>
      <w:r>
        <w:rPr>
          <w:rFonts w:hint="eastAsia" w:ascii="宋体" w:hAnsi="Times New Roman"/>
          <w:kern w:val="0"/>
          <w:szCs w:val="20"/>
        </w:rPr>
        <w:t>DB 11/T 1292 公共卫生应急队伍组建通则</w:t>
      </w:r>
    </w:p>
    <w:p w14:paraId="55A4F139">
      <w:pPr>
        <w:spacing w:line="240" w:lineRule="auto"/>
        <w:ind w:firstLine="420" w:firstLineChars="200"/>
        <w:jc w:val="left"/>
        <w:rPr>
          <w:rFonts w:ascii="宋体" w:hAnsi="Times New Roman"/>
          <w:kern w:val="0"/>
          <w:szCs w:val="20"/>
        </w:rPr>
      </w:pPr>
      <w:r>
        <w:rPr>
          <w:rFonts w:hint="eastAsia" w:ascii="宋体" w:hAnsi="Times New Roman"/>
          <w:kern w:val="0"/>
          <w:szCs w:val="20"/>
        </w:rPr>
        <w:t>DB 33/T 1303 公共体育场馆应急救护管理规范</w:t>
      </w:r>
    </w:p>
    <w:p w14:paraId="7C3BFD41">
      <w:pPr>
        <w:spacing w:line="240" w:lineRule="auto"/>
        <w:ind w:firstLine="420" w:firstLineChars="200"/>
        <w:jc w:val="left"/>
        <w:rPr>
          <w:rFonts w:ascii="宋体" w:hAnsi="Times New Roman"/>
          <w:kern w:val="0"/>
          <w:szCs w:val="20"/>
        </w:rPr>
      </w:pPr>
      <w:r>
        <w:rPr>
          <w:rFonts w:hint="eastAsia" w:ascii="宋体" w:hAnsi="Times New Roman"/>
          <w:kern w:val="0"/>
          <w:szCs w:val="20"/>
        </w:rPr>
        <w:t>D</w:t>
      </w:r>
      <w:r>
        <w:rPr>
          <w:rFonts w:ascii="宋体" w:hAnsi="Times New Roman"/>
          <w:kern w:val="0"/>
          <w:szCs w:val="20"/>
        </w:rPr>
        <w:t xml:space="preserve">B </w:t>
      </w:r>
      <w:r>
        <w:rPr>
          <w:rFonts w:hint="eastAsia" w:ascii="宋体" w:hAnsi="Times New Roman"/>
          <w:kern w:val="0"/>
          <w:szCs w:val="20"/>
        </w:rPr>
        <w:t>37</w:t>
      </w:r>
      <w:r>
        <w:rPr>
          <w:rFonts w:ascii="宋体" w:hAnsi="Times New Roman"/>
          <w:kern w:val="0"/>
          <w:szCs w:val="20"/>
        </w:rPr>
        <w:t xml:space="preserve">/T </w:t>
      </w:r>
      <w:r>
        <w:rPr>
          <w:rFonts w:hint="eastAsia" w:ascii="宋体" w:hAnsi="Times New Roman"/>
          <w:kern w:val="0"/>
          <w:szCs w:val="20"/>
        </w:rPr>
        <w:t>3484 院前医疗急救服务规范</w:t>
      </w:r>
    </w:p>
    <w:p w14:paraId="246F9E33">
      <w:pPr>
        <w:spacing w:line="240" w:lineRule="auto"/>
        <w:ind w:firstLine="420" w:firstLineChars="200"/>
        <w:jc w:val="left"/>
        <w:rPr>
          <w:rFonts w:ascii="宋体" w:hAnsi="Times New Roman"/>
          <w:kern w:val="0"/>
          <w:szCs w:val="20"/>
        </w:rPr>
      </w:pPr>
      <w:r>
        <w:rPr>
          <w:rFonts w:hint="eastAsia" w:ascii="宋体" w:hAnsi="Times New Roman"/>
          <w:kern w:val="0"/>
          <w:szCs w:val="20"/>
        </w:rPr>
        <w:t>DB 32/T 4580 公共体育场馆大型群众性活动安全保障规范</w:t>
      </w:r>
    </w:p>
    <w:p w14:paraId="60F4428B">
      <w:pPr>
        <w:spacing w:line="240" w:lineRule="auto"/>
        <w:ind w:firstLine="420" w:firstLineChars="200"/>
        <w:jc w:val="left"/>
        <w:rPr>
          <w:rFonts w:ascii="宋体" w:hAnsi="Times New Roman"/>
          <w:kern w:val="0"/>
          <w:szCs w:val="20"/>
        </w:rPr>
      </w:pPr>
      <w:r>
        <w:rPr>
          <w:rFonts w:hint="eastAsia" w:ascii="宋体" w:hAnsi="Times New Roman"/>
          <w:kern w:val="0"/>
          <w:szCs w:val="20"/>
        </w:rPr>
        <w:t>DB 34/T 4675 突发公共事件应急志愿服务工作指南</w:t>
      </w:r>
    </w:p>
    <w:p w14:paraId="15A9BE5E">
      <w:pPr>
        <w:spacing w:line="240" w:lineRule="auto"/>
        <w:ind w:firstLine="420" w:firstLineChars="200"/>
        <w:jc w:val="left"/>
        <w:rPr>
          <w:rFonts w:ascii="宋体" w:hAnsi="Times New Roman"/>
          <w:kern w:val="0"/>
          <w:szCs w:val="20"/>
        </w:rPr>
      </w:pPr>
      <w:r>
        <w:rPr>
          <w:rFonts w:hint="eastAsia" w:ascii="宋体" w:hAnsi="Times New Roman"/>
          <w:kern w:val="0"/>
          <w:szCs w:val="20"/>
        </w:rPr>
        <w:t>DB 32/T 4659.11 医院公共卫生工作规范 第11部分：医院内突发公共卫生事件应急</w:t>
      </w:r>
    </w:p>
    <w:p w14:paraId="0C7CC218">
      <w:pPr>
        <w:spacing w:line="240" w:lineRule="auto"/>
        <w:ind w:firstLine="420" w:firstLineChars="200"/>
        <w:jc w:val="left"/>
        <w:rPr>
          <w:rFonts w:ascii="宋体" w:hAnsi="Times New Roman"/>
          <w:kern w:val="0"/>
          <w:szCs w:val="20"/>
        </w:rPr>
      </w:pPr>
      <w:r>
        <w:rPr>
          <w:rFonts w:hint="eastAsia" w:ascii="宋体" w:hAnsi="Times New Roman"/>
          <w:kern w:val="0"/>
          <w:szCs w:val="20"/>
        </w:rPr>
        <w:t>DB 3707/T 090 社会应急救援建设规范</w:t>
      </w:r>
    </w:p>
    <w:p w14:paraId="2BF8D6E5">
      <w:pPr>
        <w:spacing w:line="240" w:lineRule="auto"/>
        <w:ind w:firstLine="420" w:firstLineChars="200"/>
        <w:jc w:val="left"/>
        <w:rPr>
          <w:rFonts w:ascii="宋体" w:hAnsi="Times New Roman"/>
          <w:kern w:val="0"/>
          <w:szCs w:val="20"/>
        </w:rPr>
      </w:pPr>
      <w:r>
        <w:rPr>
          <w:rFonts w:hint="eastAsia" w:ascii="宋体" w:hAnsi="Times New Roman"/>
          <w:kern w:val="0"/>
          <w:szCs w:val="20"/>
        </w:rPr>
        <w:t>DB 4401/T 139 社会组织应对突发公共卫生事件防控规范</w:t>
      </w:r>
    </w:p>
    <w:p w14:paraId="0458D242">
      <w:pPr>
        <w:spacing w:line="240" w:lineRule="auto"/>
        <w:ind w:firstLine="420" w:firstLineChars="200"/>
        <w:jc w:val="left"/>
        <w:rPr>
          <w:rFonts w:ascii="宋体" w:hAnsi="Times New Roman"/>
          <w:kern w:val="0"/>
          <w:szCs w:val="20"/>
        </w:rPr>
      </w:pPr>
      <w:r>
        <w:rPr>
          <w:rFonts w:hint="eastAsia" w:ascii="宋体" w:hAnsi="Times New Roman"/>
          <w:kern w:val="0"/>
          <w:szCs w:val="20"/>
        </w:rPr>
        <w:t>D</w:t>
      </w:r>
      <w:r>
        <w:rPr>
          <w:rFonts w:ascii="宋体" w:hAnsi="Times New Roman"/>
          <w:kern w:val="0"/>
          <w:szCs w:val="20"/>
        </w:rPr>
        <w:t xml:space="preserve">B </w:t>
      </w:r>
      <w:r>
        <w:rPr>
          <w:rFonts w:hint="eastAsia" w:ascii="宋体" w:hAnsi="Times New Roman"/>
          <w:kern w:val="0"/>
          <w:szCs w:val="20"/>
        </w:rPr>
        <w:t>4403</w:t>
      </w:r>
      <w:r>
        <w:rPr>
          <w:rFonts w:ascii="宋体" w:hAnsi="Times New Roman"/>
          <w:kern w:val="0"/>
          <w:szCs w:val="20"/>
        </w:rPr>
        <w:t xml:space="preserve">/T </w:t>
      </w:r>
      <w:r>
        <w:rPr>
          <w:rFonts w:hint="eastAsia" w:ascii="宋体" w:hAnsi="Times New Roman"/>
          <w:kern w:val="0"/>
          <w:szCs w:val="20"/>
        </w:rPr>
        <w:t>244 急诊患者分级分诊规范</w:t>
      </w:r>
    </w:p>
    <w:p w14:paraId="7508AD64">
      <w:pPr>
        <w:spacing w:line="240" w:lineRule="auto"/>
        <w:ind w:firstLine="420" w:firstLineChars="200"/>
        <w:jc w:val="left"/>
        <w:rPr>
          <w:rFonts w:ascii="宋体" w:hAnsi="Times New Roman"/>
          <w:kern w:val="0"/>
          <w:szCs w:val="20"/>
        </w:rPr>
      </w:pPr>
      <w:r>
        <w:rPr>
          <w:rFonts w:hint="eastAsia" w:ascii="宋体" w:hAnsi="Times New Roman"/>
          <w:kern w:val="0"/>
          <w:szCs w:val="20"/>
        </w:rPr>
        <w:t>DB 3305/T 290 社会化应急救援队伍建设和管理规范</w:t>
      </w:r>
    </w:p>
    <w:p w14:paraId="4D09377A">
      <w:pPr>
        <w:pStyle w:val="56"/>
        <w:ind w:firstLine="420"/>
      </w:pPr>
      <w:r>
        <w:t>WS/T 292</w:t>
      </w:r>
      <w:r>
        <w:rPr>
          <w:rFonts w:hint="eastAsia"/>
        </w:rPr>
        <w:t xml:space="preserve"> </w:t>
      </w:r>
      <w:r>
        <w:t>救护车</w:t>
      </w:r>
    </w:p>
    <w:p w14:paraId="395DA816">
      <w:pPr>
        <w:pStyle w:val="56"/>
        <w:ind w:firstLine="420"/>
        <w:rPr>
          <w:szCs w:val="21"/>
        </w:rPr>
      </w:pPr>
      <w:r>
        <w:rPr>
          <w:rFonts w:hint="eastAsia"/>
          <w:szCs w:val="21"/>
        </w:rPr>
        <w:t>WS/T 451 院前医疗急救指挥信息系统基本功能规范</w:t>
      </w:r>
    </w:p>
    <w:p w14:paraId="133F3787">
      <w:pPr>
        <w:pStyle w:val="56"/>
        <w:ind w:firstLine="420"/>
      </w:pPr>
      <w:r>
        <w:rPr>
          <w:rFonts w:hint="eastAsia"/>
        </w:rPr>
        <w:t>T/CADERM 8001 马拉松赛事现场医疗保障人员配置要求</w:t>
      </w:r>
    </w:p>
    <w:p w14:paraId="024924C7">
      <w:pPr>
        <w:pStyle w:val="104"/>
        <w:spacing w:before="312" w:after="312"/>
        <w:ind w:left="0"/>
      </w:pPr>
      <w:r>
        <w:rPr>
          <w:rFonts w:hint="eastAsia"/>
        </w:rPr>
        <w:t>术语和定义</w:t>
      </w:r>
    </w:p>
    <w:sdt>
      <w:sdtPr>
        <w:id w:val="-1909835108"/>
        <w:placeholder>
          <w:docPart w:val="AE6C07D2A04A4A81823E615F253A3DE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B14871C">
          <w:pPr>
            <w:pStyle w:val="56"/>
            <w:ind w:firstLine="420"/>
          </w:pPr>
          <w:bookmarkStart w:id="45" w:name="_Toc26986532"/>
          <w:bookmarkEnd w:id="45"/>
          <w:r>
            <w:t>下列术语和定义适用于本文件。</w:t>
          </w:r>
        </w:p>
      </w:sdtContent>
    </w:sdt>
    <w:p w14:paraId="14CA74E5">
      <w:pPr>
        <w:pStyle w:val="232"/>
        <w:numPr>
          <w:ilvl w:val="0"/>
          <w:numId w:val="0"/>
        </w:numPr>
        <w:spacing w:before="156" w:after="156"/>
        <w:rPr>
          <w:rFonts w:ascii="Times New Roman"/>
        </w:rPr>
      </w:pPr>
      <w:r>
        <w:rPr>
          <w:rFonts w:hint="eastAsia"/>
        </w:rPr>
        <w:t>3.1大型活动</w:t>
      </w:r>
      <w:r>
        <w:rPr>
          <w:rFonts w:ascii="Times New Roman"/>
        </w:rPr>
        <w:t xml:space="preserve"> Large-scale mass activity</w:t>
      </w:r>
    </w:p>
    <w:p w14:paraId="4F05D1C7">
      <w:pPr>
        <w:pStyle w:val="56"/>
        <w:ind w:firstLine="420"/>
      </w:pPr>
      <w:r>
        <w:rPr>
          <w:color w:val="333333"/>
          <w:szCs w:val="21"/>
          <w:shd w:val="clear" w:color="auto" w:fill="FFFFFF"/>
        </w:rPr>
        <w:t>是指面向社会公众举办的每场次预计参加人数达到一千人以上的活动，包括体育比赛活动、展览（展销）活动、人才招聘会、演唱会（音乐会）、游园（灯会、庙会、焰火晚会）等活动</w:t>
      </w:r>
      <w:r>
        <w:rPr>
          <w:rFonts w:hint="eastAsia"/>
        </w:rPr>
        <w:t>。</w:t>
      </w:r>
    </w:p>
    <w:p w14:paraId="6B2998A8">
      <w:pPr>
        <w:pStyle w:val="232"/>
        <w:numPr>
          <w:ilvl w:val="0"/>
          <w:numId w:val="0"/>
        </w:numPr>
        <w:spacing w:before="156" w:after="156"/>
        <w:rPr>
          <w:rFonts w:ascii="Times New Roman"/>
        </w:rPr>
      </w:pPr>
      <w:r>
        <w:rPr>
          <w:rFonts w:hint="eastAsia" w:ascii="Times New Roman"/>
        </w:rPr>
        <w:t xml:space="preserve">3.2 </w:t>
      </w:r>
      <w:r>
        <w:rPr>
          <w:rFonts w:ascii="Times New Roman"/>
        </w:rPr>
        <w:t>医疗急救保障 Medical emergency support</w:t>
      </w:r>
    </w:p>
    <w:p w14:paraId="29E8C73C">
      <w:pPr>
        <w:pStyle w:val="56"/>
        <w:ind w:firstLine="420"/>
      </w:pPr>
      <w:r>
        <w:rPr>
          <w:szCs w:val="21"/>
        </w:rPr>
        <w:t>是指大型活动期间，为参与者（包括运动员、工作人员、组织者、公众等）提供及时有效的医疗急救服务，以</w:t>
      </w:r>
      <w:r>
        <w:rPr>
          <w:rFonts w:hint="eastAsia"/>
          <w:szCs w:val="21"/>
        </w:rPr>
        <w:t>保障其生命健康，减少或避免人员伤亡。</w:t>
      </w:r>
    </w:p>
    <w:p w14:paraId="2C14280A">
      <w:pPr>
        <w:pStyle w:val="232"/>
        <w:numPr>
          <w:ilvl w:val="0"/>
          <w:numId w:val="0"/>
        </w:numPr>
        <w:spacing w:before="156" w:after="156"/>
        <w:ind w:left="-2"/>
        <w:jc w:val="both"/>
        <w:rPr>
          <w:rFonts w:ascii="Times New Roman"/>
        </w:rPr>
      </w:pPr>
      <w:bookmarkStart w:id="46" w:name="_Hlk189388584"/>
      <w:r>
        <w:rPr>
          <w:rFonts w:hint="eastAsia" w:ascii="Times New Roman"/>
          <w:bCs/>
        </w:rPr>
        <w:t xml:space="preserve">3.3 </w:t>
      </w:r>
      <w:r>
        <w:rPr>
          <w:rFonts w:ascii="Times New Roman"/>
          <w:bCs/>
        </w:rPr>
        <w:t>院前急救</w:t>
      </w:r>
      <w:r>
        <w:rPr>
          <w:rFonts w:ascii="Times New Roman"/>
        </w:rPr>
        <w:t xml:space="preserve"> Pre-hospital care</w:t>
      </w:r>
    </w:p>
    <w:bookmarkEnd w:id="46"/>
    <w:p w14:paraId="153159A0">
      <w:pPr>
        <w:pStyle w:val="56"/>
        <w:ind w:firstLine="420"/>
      </w:pPr>
      <w:r>
        <w:rPr>
          <w:szCs w:val="21"/>
        </w:rPr>
        <w:t>是指医护人员或者</w:t>
      </w:r>
      <w:r>
        <w:rPr>
          <w:rFonts w:hint="eastAsia"/>
          <w:szCs w:val="21"/>
        </w:rPr>
        <w:t>“</w:t>
      </w:r>
      <w:r>
        <w:rPr>
          <w:szCs w:val="21"/>
        </w:rPr>
        <w:t>第一目击者</w:t>
      </w:r>
      <w:r>
        <w:rPr>
          <w:rFonts w:hint="eastAsia"/>
          <w:szCs w:val="21"/>
        </w:rPr>
        <w:t>”</w:t>
      </w:r>
      <w:r>
        <w:rPr>
          <w:szCs w:val="21"/>
        </w:rPr>
        <w:t>在院外对突发事件中急危重症患者进行紧急抢救，维持患者的体征，从而挽救患者的生命</w:t>
      </w:r>
      <w:r>
        <w:rPr>
          <w:rFonts w:hint="eastAsia"/>
        </w:rPr>
        <w:t>。</w:t>
      </w:r>
    </w:p>
    <w:p w14:paraId="0D011D23">
      <w:pPr>
        <w:pStyle w:val="232"/>
        <w:numPr>
          <w:ilvl w:val="0"/>
          <w:numId w:val="0"/>
        </w:numPr>
        <w:spacing w:before="156" w:after="156"/>
        <w:jc w:val="both"/>
        <w:rPr>
          <w:rFonts w:ascii="Times New Roman"/>
        </w:rPr>
      </w:pPr>
      <w:r>
        <w:rPr>
          <w:rFonts w:hint="eastAsia" w:ascii="Times New Roman"/>
        </w:rPr>
        <w:t xml:space="preserve">3.4 </w:t>
      </w:r>
      <w:r>
        <w:rPr>
          <w:rFonts w:ascii="Times New Roman"/>
        </w:rPr>
        <w:t>突发事件 Emergency events</w:t>
      </w:r>
    </w:p>
    <w:p w14:paraId="4FAFBD25">
      <w:pPr>
        <w:ind w:firstLine="420" w:firstLineChars="200"/>
      </w:pPr>
      <w:r>
        <w:rPr>
          <w:bCs/>
        </w:rPr>
        <w:t>是指突然发生，造成或者可能造成严重社会危害，需要采取应急处置措施予以应对的自然灾害、事故灾难、公共卫生事件和社会安全事件</w:t>
      </w:r>
      <w:r>
        <w:rPr>
          <w:rFonts w:hint="eastAsia"/>
          <w:bCs/>
        </w:rPr>
        <w:t>。</w:t>
      </w:r>
    </w:p>
    <w:p w14:paraId="59127EC8">
      <w:pPr>
        <w:pStyle w:val="232"/>
        <w:numPr>
          <w:ilvl w:val="0"/>
          <w:numId w:val="0"/>
        </w:numPr>
        <w:spacing w:before="156" w:after="156"/>
        <w:jc w:val="both"/>
        <w:rPr>
          <w:rFonts w:ascii="Times New Roman"/>
        </w:rPr>
      </w:pPr>
      <w:r>
        <w:rPr>
          <w:rFonts w:hint="eastAsia" w:ascii="Times New Roman"/>
        </w:rPr>
        <w:t xml:space="preserve">3.5 </w:t>
      </w:r>
      <w:r>
        <w:rPr>
          <w:rFonts w:ascii="Times New Roman"/>
        </w:rPr>
        <w:t>医疗急救保障队伍 Medical emergency support team</w:t>
      </w:r>
    </w:p>
    <w:p w14:paraId="4365D0DB">
      <w:pPr>
        <w:pStyle w:val="56"/>
        <w:ind w:firstLine="409" w:firstLineChars="195"/>
      </w:pPr>
      <w:r>
        <w:rPr>
          <w:szCs w:val="21"/>
        </w:rPr>
        <w:t>是指</w:t>
      </w:r>
      <w:r>
        <w:rPr>
          <w:bCs/>
          <w:szCs w:val="21"/>
        </w:rPr>
        <w:t>在紧急情况下为</w:t>
      </w:r>
      <w:r>
        <w:rPr>
          <w:rFonts w:hint="eastAsia"/>
          <w:bCs/>
          <w:szCs w:val="21"/>
        </w:rPr>
        <w:t>伤</w:t>
      </w:r>
      <w:r>
        <w:rPr>
          <w:bCs/>
          <w:szCs w:val="21"/>
        </w:rPr>
        <w:t>者提供快速、专业医疗援助的人员，运用</w:t>
      </w:r>
      <w:r>
        <w:rPr>
          <w:rFonts w:hint="eastAsia"/>
          <w:bCs/>
          <w:szCs w:val="21"/>
        </w:rPr>
        <w:t>医疗</w:t>
      </w:r>
      <w:r>
        <w:rPr>
          <w:bCs/>
          <w:szCs w:val="21"/>
        </w:rPr>
        <w:t>救护知识和技能，对各种急症、意外事故、突发事件等进行现场初步紧急救护，</w:t>
      </w:r>
      <w:r>
        <w:rPr>
          <w:rFonts w:hint="eastAsia"/>
          <w:bCs/>
          <w:szCs w:val="21"/>
        </w:rPr>
        <w:t>由</w:t>
      </w:r>
      <w:r>
        <w:rPr>
          <w:bCs/>
          <w:szCs w:val="21"/>
        </w:rPr>
        <w:t>医生、护师、急救员等</w:t>
      </w:r>
      <w:r>
        <w:rPr>
          <w:rFonts w:hint="eastAsia"/>
          <w:bCs/>
          <w:szCs w:val="21"/>
        </w:rPr>
        <w:t>人员组成</w:t>
      </w:r>
      <w:r>
        <w:rPr>
          <w:bCs/>
          <w:szCs w:val="21"/>
        </w:rPr>
        <w:t>。</w:t>
      </w:r>
    </w:p>
    <w:p w14:paraId="54580862">
      <w:pPr>
        <w:pStyle w:val="232"/>
        <w:numPr>
          <w:ilvl w:val="0"/>
          <w:numId w:val="0"/>
        </w:numPr>
        <w:spacing w:before="156" w:after="156"/>
        <w:jc w:val="both"/>
        <w:rPr>
          <w:rFonts w:ascii="Times New Roman"/>
        </w:rPr>
      </w:pPr>
      <w:r>
        <w:rPr>
          <w:rFonts w:hint="eastAsia" w:ascii="Times New Roman"/>
        </w:rPr>
        <w:t xml:space="preserve">3.6 </w:t>
      </w:r>
      <w:r>
        <w:rPr>
          <w:rFonts w:ascii="Times New Roman"/>
        </w:rPr>
        <w:t>群体伤 Mass casualty</w:t>
      </w:r>
    </w:p>
    <w:p w14:paraId="5046896B">
      <w:pPr>
        <w:snapToGrid w:val="0"/>
        <w:ind w:firstLine="420" w:firstLineChars="200"/>
      </w:pPr>
      <w:r>
        <w:rPr>
          <w:rFonts w:hint="eastAsia"/>
        </w:rPr>
        <w:t>是指由一种或一种以上致伤因素同时造成</w:t>
      </w:r>
      <w:r>
        <w:rPr>
          <w:rFonts w:hint="eastAsia" w:ascii="宋体" w:hAnsi="宋体"/>
        </w:rPr>
        <w:t>3</w:t>
      </w:r>
      <w:r>
        <w:rPr>
          <w:rFonts w:hint="eastAsia"/>
        </w:rPr>
        <w:t>人及以上的群体受伤时称群体损伤。</w:t>
      </w:r>
    </w:p>
    <w:p w14:paraId="5C1ECC82">
      <w:pPr>
        <w:pStyle w:val="104"/>
        <w:spacing w:before="312" w:after="312"/>
        <w:ind w:left="0"/>
      </w:pPr>
      <w:r>
        <w:rPr>
          <w:rFonts w:hint="eastAsia"/>
        </w:rPr>
        <w:t>基本要求</w:t>
      </w:r>
    </w:p>
    <w:p w14:paraId="2498775D">
      <w:pPr>
        <w:pStyle w:val="162"/>
        <w:ind w:left="-2" w:leftChars="-1"/>
      </w:pPr>
      <w:r>
        <w:rPr>
          <w:rFonts w:hint="eastAsia"/>
        </w:rPr>
        <w:t>应遵循“预防为主、快速处置”的原则，维护人民群众生命和财产安全，保障社会治安秩序和公共安全。</w:t>
      </w:r>
    </w:p>
    <w:p w14:paraId="0827EB74">
      <w:pPr>
        <w:pStyle w:val="162"/>
        <w:ind w:left="-2" w:leftChars="-1"/>
      </w:pPr>
      <w:r>
        <w:rPr>
          <w:rFonts w:hint="eastAsia" w:ascii="Times New Roman"/>
          <w:kern w:val="2"/>
        </w:rPr>
        <w:t>应坚持“安全第一，协同应急”的原则，确保自身安全，加强与综合应急救援队伍、公安消防应急队伍的协同处置</w:t>
      </w:r>
      <w:r>
        <w:rPr>
          <w:rFonts w:hint="eastAsia"/>
        </w:rPr>
        <w:t>。</w:t>
      </w:r>
    </w:p>
    <w:p w14:paraId="3E490EAC">
      <w:pPr>
        <w:pStyle w:val="162"/>
        <w:ind w:left="-2" w:leftChars="-1"/>
      </w:pPr>
      <w:r>
        <w:rPr>
          <w:rFonts w:hint="eastAsia"/>
        </w:rPr>
        <w:t>应</w:t>
      </w:r>
      <w:r>
        <w:rPr>
          <w:rFonts w:hint="eastAsia" w:ascii="Times New Roman"/>
          <w:kern w:val="2"/>
        </w:rPr>
        <w:t>突出“合理布局、区域联动”的原则，合理统筹急救医疗点、定点医疗机构及医疗巡诊队伍的布局安排</w:t>
      </w:r>
      <w:r>
        <w:rPr>
          <w:rFonts w:hint="eastAsia"/>
        </w:rPr>
        <w:t>。</w:t>
      </w:r>
    </w:p>
    <w:p w14:paraId="13C4A937">
      <w:pPr>
        <w:pStyle w:val="104"/>
        <w:spacing w:before="312" w:after="312"/>
        <w:ind w:left="0"/>
      </w:pPr>
      <w:r>
        <w:rPr>
          <w:rFonts w:hint="eastAsia"/>
        </w:rPr>
        <w:t>工作制度</w:t>
      </w:r>
    </w:p>
    <w:p w14:paraId="38B923F2">
      <w:pPr>
        <w:pStyle w:val="162"/>
        <w:numPr>
          <w:ilvl w:val="0"/>
          <w:numId w:val="0"/>
        </w:numPr>
      </w:pPr>
      <w:bookmarkStart w:id="47" w:name="OLE_LINK6"/>
      <w:r>
        <w:rPr>
          <w:rFonts w:hint="eastAsia"/>
        </w:rPr>
        <w:t>医疗机构、急救中心（站）应制定大型活动医疗急救保障工作制度，包含但不限于：</w:t>
      </w:r>
    </w:p>
    <w:bookmarkEnd w:id="47"/>
    <w:p w14:paraId="50B3CFE3">
      <w:pPr>
        <w:pStyle w:val="162"/>
        <w:numPr>
          <w:ilvl w:val="0"/>
          <w:numId w:val="33"/>
        </w:numPr>
        <w:ind w:left="284" w:hanging="284"/>
        <w:rPr>
          <w:rFonts w:ascii="Segoe UI" w:hAnsi="Segoe UI" w:cs="Segoe UI"/>
          <w:color w:val="0D0D0D"/>
          <w:shd w:val="clear" w:color="auto" w:fill="FFFFFF"/>
        </w:rPr>
      </w:pPr>
      <w:r>
        <w:rPr>
          <w:rFonts w:hint="eastAsia"/>
        </w:rPr>
        <w:t>应制定组织与协调制度，明确</w:t>
      </w:r>
      <w:r>
        <w:rPr>
          <w:rFonts w:ascii="Segoe UI" w:hAnsi="Segoe UI" w:cs="Segoe UI"/>
          <w:color w:val="0D0D0D"/>
          <w:shd w:val="clear" w:color="auto" w:fill="FFFFFF"/>
        </w:rPr>
        <w:t>医疗急救保障工作的</w:t>
      </w:r>
      <w:r>
        <w:rPr>
          <w:rFonts w:hint="eastAsia" w:ascii="Segoe UI" w:hAnsi="Segoe UI" w:cs="Segoe UI"/>
          <w:color w:val="0D0D0D"/>
          <w:shd w:val="clear" w:color="auto" w:fill="FFFFFF"/>
        </w:rPr>
        <w:t>承办科室</w:t>
      </w:r>
      <w:r>
        <w:rPr>
          <w:rFonts w:ascii="Segoe UI" w:hAnsi="Segoe UI" w:cs="Segoe UI"/>
          <w:color w:val="0D0D0D"/>
          <w:shd w:val="clear" w:color="auto" w:fill="FFFFFF"/>
        </w:rPr>
        <w:t>和责任部门</w:t>
      </w:r>
      <w:r>
        <w:rPr>
          <w:rFonts w:hint="eastAsia" w:ascii="Segoe UI" w:hAnsi="Segoe UI" w:cs="Segoe UI"/>
          <w:color w:val="0D0D0D"/>
          <w:shd w:val="clear" w:color="auto" w:fill="FFFFFF"/>
        </w:rPr>
        <w:t>，</w:t>
      </w:r>
      <w:r>
        <w:rPr>
          <w:rFonts w:ascii="Segoe UI" w:hAnsi="Segoe UI" w:cs="Segoe UI"/>
          <w:color w:val="0D0D0D"/>
          <w:shd w:val="clear" w:color="auto" w:fill="FFFFFF"/>
        </w:rPr>
        <w:t>规定各类人员在医疗急救保障工作中的职责</w:t>
      </w:r>
      <w:r>
        <w:rPr>
          <w:rFonts w:hint="eastAsia" w:ascii="Segoe UI" w:hAnsi="Segoe UI" w:cs="Segoe UI"/>
          <w:color w:val="0D0D0D"/>
          <w:shd w:val="clear" w:color="auto" w:fill="FFFFFF"/>
        </w:rPr>
        <w:t>要求</w:t>
      </w:r>
      <w:r>
        <w:rPr>
          <w:rFonts w:ascii="Segoe UI" w:hAnsi="Segoe UI" w:cs="Segoe UI"/>
          <w:color w:val="0D0D0D"/>
          <w:shd w:val="clear" w:color="auto" w:fill="FFFFFF"/>
        </w:rPr>
        <w:t>和任务分工</w:t>
      </w:r>
      <w:r>
        <w:rPr>
          <w:rFonts w:hint="eastAsia"/>
        </w:rPr>
        <w:t>；</w:t>
      </w:r>
    </w:p>
    <w:p w14:paraId="0B83CB56">
      <w:pPr>
        <w:pStyle w:val="162"/>
        <w:numPr>
          <w:ilvl w:val="0"/>
          <w:numId w:val="33"/>
        </w:numPr>
        <w:ind w:left="284" w:hanging="284"/>
        <w:rPr>
          <w:rFonts w:ascii="Segoe UI" w:hAnsi="Segoe UI" w:cs="Segoe UI"/>
          <w:color w:val="0D0D0D"/>
          <w:shd w:val="clear" w:color="auto" w:fill="FFFFFF"/>
        </w:rPr>
      </w:pPr>
      <w:r>
        <w:rPr>
          <w:rFonts w:hint="eastAsia" w:ascii="Segoe UI" w:hAnsi="Segoe UI" w:cs="Segoe UI"/>
          <w:color w:val="0D0D0D"/>
          <w:shd w:val="clear" w:color="auto" w:fill="FFFFFF"/>
        </w:rPr>
        <w:t>应制定</w:t>
      </w:r>
      <w:r>
        <w:rPr>
          <w:rFonts w:ascii="Segoe UI" w:hAnsi="Segoe UI" w:cs="Segoe UI"/>
          <w:color w:val="0D0D0D"/>
          <w:shd w:val="clear" w:color="auto" w:fill="FFFFFF"/>
        </w:rPr>
        <w:t>急救设备</w:t>
      </w:r>
      <w:r>
        <w:rPr>
          <w:rFonts w:hint="eastAsia" w:ascii="Segoe UI" w:hAnsi="Segoe UI" w:cs="Segoe UI"/>
          <w:color w:val="0D0D0D"/>
          <w:shd w:val="clear" w:color="auto" w:fill="FFFFFF"/>
        </w:rPr>
        <w:t>、药品</w:t>
      </w:r>
      <w:r>
        <w:rPr>
          <w:rFonts w:ascii="Segoe UI" w:hAnsi="Segoe UI" w:cs="Segoe UI"/>
          <w:color w:val="0D0D0D"/>
          <w:shd w:val="clear" w:color="auto" w:fill="FFFFFF"/>
        </w:rPr>
        <w:t>与物资保障制度</w:t>
      </w:r>
      <w:r>
        <w:rPr>
          <w:rFonts w:hint="eastAsia" w:ascii="Segoe UI" w:hAnsi="Segoe UI" w:cs="Segoe UI"/>
          <w:color w:val="0D0D0D"/>
          <w:shd w:val="clear" w:color="auto" w:fill="FFFFFF"/>
        </w:rPr>
        <w:t>；</w:t>
      </w:r>
    </w:p>
    <w:p w14:paraId="4DB4B18B">
      <w:pPr>
        <w:pStyle w:val="162"/>
        <w:numPr>
          <w:ilvl w:val="0"/>
          <w:numId w:val="33"/>
        </w:numPr>
        <w:ind w:left="284" w:hanging="284"/>
        <w:rPr>
          <w:rFonts w:ascii="Segoe UI" w:hAnsi="Segoe UI" w:cs="Segoe UI"/>
          <w:color w:val="0D0D0D"/>
          <w:shd w:val="clear" w:color="auto" w:fill="FFFFFF"/>
        </w:rPr>
      </w:pPr>
      <w:r>
        <w:rPr>
          <w:rFonts w:hint="eastAsia" w:ascii="Segoe UI" w:hAnsi="Segoe UI" w:cs="Segoe UI"/>
          <w:color w:val="0D0D0D"/>
          <w:shd w:val="clear" w:color="auto" w:fill="FFFFFF"/>
        </w:rPr>
        <w:t>应制定急救人员</w:t>
      </w:r>
      <w:r>
        <w:rPr>
          <w:rFonts w:ascii="Segoe UI" w:hAnsi="Segoe UI" w:cs="Segoe UI"/>
          <w:color w:val="0D0D0D"/>
          <w:shd w:val="clear" w:color="auto" w:fill="FFFFFF"/>
        </w:rPr>
        <w:t>配备与培训制度</w:t>
      </w:r>
      <w:r>
        <w:rPr>
          <w:rFonts w:hint="eastAsia" w:ascii="Segoe UI" w:hAnsi="Segoe UI" w:cs="Segoe UI"/>
          <w:color w:val="0D0D0D"/>
          <w:shd w:val="clear" w:color="auto" w:fill="FFFFFF"/>
        </w:rPr>
        <w:t>，</w:t>
      </w:r>
      <w:r>
        <w:rPr>
          <w:rFonts w:ascii="Segoe UI" w:hAnsi="Segoe UI" w:cs="Segoe UI"/>
          <w:color w:val="0D0D0D"/>
          <w:shd w:val="clear" w:color="auto" w:fill="FFFFFF"/>
        </w:rPr>
        <w:t>确保急救人员能够熟练掌握医疗急救知识与技能，提升现场应急处理能力</w:t>
      </w:r>
      <w:r>
        <w:rPr>
          <w:rFonts w:hint="eastAsia" w:ascii="Segoe UI" w:hAnsi="Segoe UI" w:cs="Segoe UI"/>
          <w:color w:val="0D0D0D"/>
          <w:shd w:val="clear" w:color="auto" w:fill="FFFFFF"/>
        </w:rPr>
        <w:t>；</w:t>
      </w:r>
    </w:p>
    <w:p w14:paraId="1601FB33">
      <w:pPr>
        <w:pStyle w:val="162"/>
        <w:numPr>
          <w:ilvl w:val="0"/>
          <w:numId w:val="33"/>
        </w:numPr>
        <w:ind w:left="284" w:hanging="284"/>
        <w:rPr>
          <w:rFonts w:ascii="Segoe UI" w:hAnsi="Segoe UI" w:cs="Segoe UI"/>
          <w:color w:val="0D0D0D"/>
          <w:shd w:val="clear" w:color="auto" w:fill="FFFFFF"/>
        </w:rPr>
      </w:pPr>
      <w:r>
        <w:rPr>
          <w:rFonts w:hint="eastAsia" w:ascii="Segoe UI" w:hAnsi="Segoe UI" w:cs="Segoe UI"/>
          <w:color w:val="0D0D0D"/>
          <w:shd w:val="clear" w:color="auto" w:fill="FFFFFF"/>
        </w:rPr>
        <w:t>应制定</w:t>
      </w:r>
      <w:r>
        <w:rPr>
          <w:rFonts w:ascii="Segoe UI" w:hAnsi="Segoe UI" w:cs="Segoe UI"/>
          <w:color w:val="0D0D0D"/>
          <w:shd w:val="clear" w:color="auto" w:fill="FFFFFF"/>
        </w:rPr>
        <w:t>医疗响应与处置流程制度</w:t>
      </w:r>
      <w:r>
        <w:rPr>
          <w:rFonts w:hint="eastAsia" w:ascii="Segoe UI" w:hAnsi="Segoe UI" w:cs="Segoe UI"/>
          <w:color w:val="0D0D0D"/>
          <w:shd w:val="clear" w:color="auto" w:fill="FFFFFF"/>
        </w:rPr>
        <w:t>，</w:t>
      </w:r>
      <w:r>
        <w:rPr>
          <w:rFonts w:ascii="Segoe UI" w:hAnsi="Segoe UI" w:cs="Segoe UI"/>
          <w:color w:val="0D0D0D"/>
          <w:shd w:val="clear" w:color="auto" w:fill="FFFFFF"/>
        </w:rPr>
        <w:t>明确医疗响应的标准流程</w:t>
      </w:r>
      <w:r>
        <w:rPr>
          <w:rFonts w:hint="eastAsia" w:ascii="Segoe UI" w:hAnsi="Segoe UI" w:cs="Segoe UI"/>
          <w:color w:val="0D0D0D"/>
          <w:shd w:val="clear" w:color="auto" w:fill="FFFFFF"/>
        </w:rPr>
        <w:t>；</w:t>
      </w:r>
    </w:p>
    <w:p w14:paraId="5D9AD9E0">
      <w:pPr>
        <w:pStyle w:val="162"/>
        <w:numPr>
          <w:ilvl w:val="0"/>
          <w:numId w:val="33"/>
        </w:numPr>
        <w:ind w:left="284" w:hanging="284"/>
        <w:rPr>
          <w:rFonts w:ascii="Segoe UI" w:hAnsi="Segoe UI" w:cs="Segoe UI"/>
          <w:color w:val="0D0D0D"/>
          <w:shd w:val="clear" w:color="auto" w:fill="FFFFFF"/>
        </w:rPr>
      </w:pPr>
      <w:r>
        <w:rPr>
          <w:rFonts w:hint="eastAsia" w:ascii="Segoe UI" w:hAnsi="Segoe UI" w:cs="Segoe UI"/>
          <w:color w:val="0D0D0D"/>
          <w:shd w:val="clear" w:color="auto" w:fill="FFFFFF"/>
        </w:rPr>
        <w:t>应制定</w:t>
      </w:r>
      <w:r>
        <w:rPr>
          <w:rFonts w:ascii="Segoe UI" w:hAnsi="Segoe UI" w:cs="Segoe UI"/>
          <w:color w:val="0D0D0D"/>
          <w:shd w:val="clear" w:color="auto" w:fill="FFFFFF"/>
        </w:rPr>
        <w:t>信息报告与反馈制度</w:t>
      </w:r>
      <w:r>
        <w:rPr>
          <w:rFonts w:hint="eastAsia" w:ascii="Segoe UI" w:hAnsi="Segoe UI" w:cs="Segoe UI"/>
          <w:color w:val="0D0D0D"/>
          <w:shd w:val="clear" w:color="auto" w:fill="FFFFFF"/>
        </w:rPr>
        <w:t>，</w:t>
      </w:r>
      <w:r>
        <w:rPr>
          <w:rFonts w:ascii="Segoe UI" w:hAnsi="Segoe UI" w:cs="Segoe UI"/>
          <w:color w:val="0D0D0D"/>
          <w:shd w:val="clear" w:color="auto" w:fill="FFFFFF"/>
        </w:rPr>
        <w:t>确保急救现场的信息能够及时、准确地传递到指挥中心，促进事后总结与改进工作</w:t>
      </w:r>
      <w:r>
        <w:rPr>
          <w:rFonts w:hint="eastAsia" w:ascii="Segoe UI" w:hAnsi="Segoe UI" w:cs="Segoe UI"/>
          <w:color w:val="0D0D0D"/>
          <w:shd w:val="clear" w:color="auto" w:fill="FFFFFF"/>
        </w:rPr>
        <w:t>；</w:t>
      </w:r>
    </w:p>
    <w:p w14:paraId="0EF50C9A">
      <w:pPr>
        <w:pStyle w:val="162"/>
        <w:numPr>
          <w:ilvl w:val="0"/>
          <w:numId w:val="33"/>
        </w:numPr>
        <w:ind w:left="284" w:hanging="284"/>
        <w:rPr>
          <w:rFonts w:ascii="Segoe UI" w:hAnsi="Segoe UI" w:cs="Segoe UI"/>
          <w:color w:val="0D0D0D"/>
          <w:shd w:val="clear" w:color="auto" w:fill="FFFFFF"/>
        </w:rPr>
      </w:pPr>
      <w:r>
        <w:rPr>
          <w:rFonts w:hint="eastAsia" w:ascii="Segoe UI" w:hAnsi="Segoe UI" w:cs="Segoe UI"/>
          <w:color w:val="0D0D0D"/>
          <w:shd w:val="clear" w:color="auto" w:fill="FFFFFF"/>
        </w:rPr>
        <w:t>应制定</w:t>
      </w:r>
      <w:r>
        <w:rPr>
          <w:rFonts w:ascii="Segoe UI" w:hAnsi="Segoe UI" w:cs="Segoe UI"/>
          <w:color w:val="0D0D0D"/>
          <w:shd w:val="clear" w:color="auto" w:fill="FFFFFF"/>
        </w:rPr>
        <w:t>急救安全风险评估制度</w:t>
      </w:r>
      <w:r>
        <w:rPr>
          <w:rFonts w:hint="eastAsia" w:ascii="Segoe UI" w:hAnsi="Segoe UI" w:cs="Segoe UI"/>
          <w:color w:val="0D0D0D"/>
          <w:shd w:val="clear" w:color="auto" w:fill="FFFFFF"/>
        </w:rPr>
        <w:t>，在</w:t>
      </w:r>
      <w:r>
        <w:rPr>
          <w:rFonts w:ascii="Segoe UI" w:hAnsi="Segoe UI" w:cs="Segoe UI"/>
          <w:color w:val="0D0D0D"/>
          <w:shd w:val="clear" w:color="auto" w:fill="FFFFFF"/>
        </w:rPr>
        <w:t>活动前识别潜在的医疗急救风险，提前做好预案</w:t>
      </w:r>
      <w:r>
        <w:rPr>
          <w:rFonts w:hint="eastAsia" w:ascii="Segoe UI" w:hAnsi="Segoe UI" w:cs="Segoe UI"/>
          <w:color w:val="0D0D0D"/>
          <w:shd w:val="clear" w:color="auto" w:fill="FFFFFF"/>
        </w:rPr>
        <w:t xml:space="preserve">。 </w:t>
      </w:r>
    </w:p>
    <w:p w14:paraId="4E50CF59">
      <w:pPr>
        <w:pStyle w:val="104"/>
        <w:spacing w:before="312" w:after="312"/>
        <w:ind w:left="0"/>
      </w:pPr>
      <w:r>
        <w:rPr>
          <w:rFonts w:hint="eastAsia"/>
        </w:rPr>
        <w:t>现场医疗急救保障</w:t>
      </w:r>
    </w:p>
    <w:p w14:paraId="511854BC">
      <w:pPr>
        <w:pStyle w:val="105"/>
        <w:spacing w:before="156" w:after="156"/>
        <w:ind w:left="-2" w:leftChars="-1"/>
      </w:pPr>
      <w:r>
        <w:rPr>
          <w:rFonts w:hint="eastAsia"/>
        </w:rPr>
        <w:t>病情评估方法</w:t>
      </w:r>
    </w:p>
    <w:p w14:paraId="2D778D96">
      <w:pPr>
        <w:pStyle w:val="230"/>
        <w:ind w:firstLine="0" w:firstLineChars="0"/>
        <w:rPr>
          <w:rFonts w:ascii="Times New Roman"/>
        </w:rPr>
      </w:pPr>
      <w:r>
        <w:rPr>
          <w:rFonts w:hint="eastAsia"/>
        </w:rPr>
        <w:t>对活动现场患者</w:t>
      </w:r>
      <w:r>
        <w:rPr>
          <w:rFonts w:ascii="Times New Roman"/>
        </w:rPr>
        <w:t>（伤者）进行初级评估，按照ABCDE方法进行评估</w:t>
      </w:r>
      <w:r>
        <w:rPr>
          <w:rFonts w:hint="eastAsia" w:ascii="Times New Roman"/>
        </w:rPr>
        <w:t>：</w:t>
      </w:r>
    </w:p>
    <w:p w14:paraId="1E130E67">
      <w:pPr>
        <w:pStyle w:val="230"/>
        <w:ind w:firstLine="0" w:firstLineChars="0"/>
        <w:rPr>
          <w:rFonts w:ascii="Times New Roman"/>
        </w:rPr>
      </w:pPr>
      <w:r>
        <w:rPr>
          <w:rFonts w:hint="eastAsia" w:ascii="Times New Roman"/>
        </w:rPr>
        <w:t>—</w:t>
      </w:r>
      <w:r>
        <w:rPr>
          <w:rFonts w:ascii="Times New Roman"/>
        </w:rPr>
        <w:t>A: 气道管理及颈椎保护；</w:t>
      </w:r>
    </w:p>
    <w:p w14:paraId="596FE053">
      <w:pPr>
        <w:pStyle w:val="230"/>
        <w:ind w:firstLine="0" w:firstLineChars="0"/>
        <w:rPr>
          <w:rFonts w:ascii="Times New Roman"/>
        </w:rPr>
      </w:pPr>
      <w:r>
        <w:rPr>
          <w:rFonts w:hint="eastAsia" w:ascii="Times New Roman"/>
        </w:rPr>
        <w:t>—</w:t>
      </w:r>
      <w:r>
        <w:rPr>
          <w:rFonts w:ascii="Times New Roman"/>
        </w:rPr>
        <w:t>B：呼吸功能监测及呼吸支持；</w:t>
      </w:r>
    </w:p>
    <w:p w14:paraId="33FDAF9D">
      <w:pPr>
        <w:pStyle w:val="230"/>
        <w:ind w:firstLine="0" w:firstLineChars="0"/>
        <w:rPr>
          <w:rFonts w:ascii="Times New Roman"/>
        </w:rPr>
      </w:pPr>
      <w:r>
        <w:rPr>
          <w:rFonts w:hint="eastAsia" w:ascii="Times New Roman"/>
        </w:rPr>
        <w:t>—</w:t>
      </w:r>
      <w:r>
        <w:rPr>
          <w:rFonts w:ascii="Times New Roman"/>
        </w:rPr>
        <w:t>C：循环功能监测及循环支持；</w:t>
      </w:r>
    </w:p>
    <w:p w14:paraId="2646DD3F">
      <w:pPr>
        <w:pStyle w:val="230"/>
        <w:ind w:firstLine="0" w:firstLineChars="0"/>
        <w:rPr>
          <w:rFonts w:ascii="Times New Roman"/>
        </w:rPr>
      </w:pPr>
      <w:r>
        <w:rPr>
          <w:rFonts w:hint="eastAsia" w:ascii="Times New Roman"/>
        </w:rPr>
        <w:t>—</w:t>
      </w:r>
      <w:r>
        <w:rPr>
          <w:rFonts w:ascii="Times New Roman"/>
        </w:rPr>
        <w:t>D：肢体运动及神经功能评估；</w:t>
      </w:r>
    </w:p>
    <w:p w14:paraId="07A2911B">
      <w:pPr>
        <w:pStyle w:val="230"/>
        <w:ind w:firstLine="0" w:firstLineChars="0"/>
      </w:pPr>
      <w:r>
        <w:rPr>
          <w:rFonts w:hint="eastAsia" w:ascii="Times New Roman"/>
        </w:rPr>
        <w:t>—</w:t>
      </w:r>
      <w:r>
        <w:rPr>
          <w:rFonts w:ascii="Times New Roman"/>
        </w:rPr>
        <w:t>E:</w:t>
      </w:r>
      <w:r>
        <w:rPr>
          <w:rFonts w:hint="eastAsia"/>
        </w:rPr>
        <w:t xml:space="preserve"> 暴露皮肤及保持体温。</w:t>
      </w:r>
    </w:p>
    <w:p w14:paraId="3CC611DE">
      <w:pPr>
        <w:pStyle w:val="105"/>
        <w:spacing w:before="156" w:after="156"/>
      </w:pPr>
      <w:r>
        <w:rPr>
          <w:rFonts w:hint="eastAsia"/>
        </w:rPr>
        <w:t>群体伤分检方法</w:t>
      </w:r>
    </w:p>
    <w:p w14:paraId="15A83B75">
      <w:pPr>
        <w:pStyle w:val="230"/>
        <w:ind w:firstLine="0" w:firstLineChars="0"/>
      </w:pPr>
      <w:r>
        <w:rPr>
          <w:rFonts w:hint="eastAsia"/>
        </w:rPr>
        <w:t>对于群体伤，采用START分检方法评估患者（伤者）病情：</w:t>
      </w:r>
    </w:p>
    <w:p w14:paraId="71FDA7C1">
      <w:pPr>
        <w:pStyle w:val="230"/>
        <w:ind w:firstLine="0" w:firstLineChars="0"/>
      </w:pPr>
      <w:r>
        <w:rPr>
          <w:rFonts w:hint="eastAsia"/>
        </w:rPr>
        <w:t>—第一优先救治红色标识患者（伤者）；</w:t>
      </w:r>
    </w:p>
    <w:p w14:paraId="2B19966B">
      <w:pPr>
        <w:pStyle w:val="230"/>
        <w:ind w:firstLine="0" w:firstLineChars="0"/>
      </w:pPr>
      <w:r>
        <w:rPr>
          <w:rFonts w:hint="eastAsia"/>
        </w:rPr>
        <w:t>—第二优先救治黄色标识患者（伤者）；</w:t>
      </w:r>
    </w:p>
    <w:p w14:paraId="0FAC51BA">
      <w:pPr>
        <w:pStyle w:val="230"/>
        <w:ind w:firstLine="0" w:firstLineChars="0"/>
      </w:pPr>
      <w:r>
        <w:rPr>
          <w:rFonts w:hint="eastAsia"/>
        </w:rPr>
        <w:t>—第三优先救治绿色标识患者（伤者）；</w:t>
      </w:r>
    </w:p>
    <w:p w14:paraId="60C811A7">
      <w:pPr>
        <w:pStyle w:val="230"/>
        <w:ind w:firstLine="0" w:firstLineChars="0"/>
      </w:pPr>
      <w:r>
        <w:rPr>
          <w:rFonts w:hint="eastAsia"/>
        </w:rPr>
        <w:t>—最后处置黑色标识患者（伤者）。</w:t>
      </w:r>
    </w:p>
    <w:p w14:paraId="0D2F57EF">
      <w:pPr>
        <w:pStyle w:val="105"/>
        <w:spacing w:before="156" w:after="156"/>
        <w:ind w:left="-2" w:leftChars="-1"/>
        <w:jc w:val="left"/>
      </w:pPr>
      <w:r>
        <w:rPr>
          <w:rFonts w:hint="eastAsia"/>
        </w:rPr>
        <w:t>病情严重程度分级</w:t>
      </w:r>
    </w:p>
    <w:p w14:paraId="6C4D340D">
      <w:pPr>
        <w:pStyle w:val="162"/>
        <w:numPr>
          <w:ilvl w:val="0"/>
          <w:numId w:val="0"/>
        </w:numPr>
        <w:ind w:firstLine="420" w:firstLineChars="200"/>
      </w:pPr>
      <w:r>
        <w:t>根据活动现场患者（伤者）病情严重程度，分为以下级别并按照不同颜色</w:t>
      </w:r>
      <w:r>
        <w:rPr>
          <w:rFonts w:hint="eastAsia"/>
        </w:rPr>
        <w:t>伤情卡</w:t>
      </w:r>
      <w:r>
        <w:t>标识</w:t>
      </w:r>
      <w:r>
        <w:rPr>
          <w:rFonts w:hint="eastAsia" w:ascii="Times New Roman"/>
        </w:rPr>
        <w:t>，根据严重程度分级进行医疗救治，并根据优先救治顺序送往定点医疗机构诊治</w:t>
      </w:r>
      <w:r>
        <w:rPr>
          <w:rFonts w:hint="eastAsia"/>
        </w:rPr>
        <w:t>：</w:t>
      </w:r>
    </w:p>
    <w:p w14:paraId="68D2DAD2">
      <w:pPr>
        <w:pStyle w:val="230"/>
        <w:ind w:firstLine="0" w:firstLineChars="0"/>
        <w:rPr>
          <w:rFonts w:ascii="Times New Roman"/>
        </w:rPr>
      </w:pPr>
      <w:r>
        <w:rPr>
          <w:rFonts w:hint="eastAsia" w:ascii="Times New Roman"/>
        </w:rPr>
        <w:t>—</w:t>
      </w:r>
      <w:r>
        <w:rPr>
          <w:rFonts w:ascii="Times New Roman"/>
        </w:rPr>
        <w:t>I级</w:t>
      </w:r>
      <w:r>
        <w:rPr>
          <w:rFonts w:hint="eastAsia" w:ascii="Times New Roman"/>
        </w:rPr>
        <w:t xml:space="preserve"> </w:t>
      </w:r>
      <w:r>
        <w:rPr>
          <w:rFonts w:ascii="Times New Roman"/>
        </w:rPr>
        <w:t>急危重症患者（红色）：患者生命体征不稳定，正在或即将发生的生命威胁或病情恶化，随时可发生死亡，需要立即救治。如：心脏骤停、气道窒息、休克、意识障碍、复合伤（致命性大出血）等；</w:t>
      </w:r>
    </w:p>
    <w:p w14:paraId="7C218D1E">
      <w:pPr>
        <w:pStyle w:val="230"/>
        <w:ind w:firstLine="0" w:firstLineChars="0"/>
        <w:rPr>
          <w:rFonts w:ascii="Times New Roman"/>
        </w:rPr>
      </w:pPr>
      <w:r>
        <w:rPr>
          <w:rFonts w:hint="eastAsia" w:ascii="Times New Roman"/>
        </w:rPr>
        <w:t>—</w:t>
      </w:r>
      <w:r>
        <w:rPr>
          <w:rFonts w:ascii="Times New Roman"/>
        </w:rPr>
        <w:t>II级</w:t>
      </w:r>
      <w:r>
        <w:rPr>
          <w:rFonts w:hint="eastAsia" w:ascii="Times New Roman"/>
        </w:rPr>
        <w:t xml:space="preserve"> </w:t>
      </w:r>
      <w:r>
        <w:rPr>
          <w:rFonts w:ascii="Times New Roman"/>
        </w:rPr>
        <w:t>急重患者（橙色）：患者病情危重或迅速恶化，如短时间内不能进行治疗则危及生命或造成严重的器官功能衰竭，需要优先救治。如：不明原因的严重疼痛伴大汗、急性心肌梗死、严重的局部创伤及多处骨折等；</w:t>
      </w:r>
    </w:p>
    <w:p w14:paraId="2E2FA824">
      <w:pPr>
        <w:pStyle w:val="230"/>
        <w:ind w:firstLine="0" w:firstLineChars="0"/>
        <w:rPr>
          <w:rFonts w:ascii="Times New Roman"/>
        </w:rPr>
      </w:pPr>
      <w:r>
        <w:rPr>
          <w:rFonts w:hint="eastAsia" w:ascii="Times New Roman"/>
        </w:rPr>
        <w:t>—</w:t>
      </w:r>
      <w:r>
        <w:rPr>
          <w:rFonts w:ascii="Times New Roman"/>
        </w:rPr>
        <w:t>III级</w:t>
      </w:r>
      <w:r>
        <w:rPr>
          <w:rFonts w:hint="eastAsia" w:ascii="Times New Roman"/>
        </w:rPr>
        <w:t xml:space="preserve"> </w:t>
      </w:r>
      <w:r>
        <w:rPr>
          <w:rFonts w:ascii="Times New Roman"/>
        </w:rPr>
        <w:t>急症患者（黄色）：患者存在潜在的生命威胁，如短时间内不进行干预，病情可进展至威胁生命或产生十分不利的结局，需要及时救治。如：急性哮喘、非心源性胸痛、中度失血、头部外伤、持续呕吐/脱水等；</w:t>
      </w:r>
    </w:p>
    <w:p w14:paraId="710CF051">
      <w:pPr>
        <w:pStyle w:val="230"/>
        <w:ind w:firstLine="0" w:firstLineChars="0"/>
        <w:rPr>
          <w:rFonts w:ascii="Times New Roman"/>
        </w:rPr>
      </w:pPr>
      <w:r>
        <w:rPr>
          <w:rFonts w:hint="eastAsia" w:ascii="Times New Roman"/>
        </w:rPr>
        <w:t>—</w:t>
      </w:r>
      <w:r>
        <w:rPr>
          <w:rFonts w:ascii="Times New Roman"/>
        </w:rPr>
        <w:t>IV级</w:t>
      </w:r>
      <w:r>
        <w:rPr>
          <w:rFonts w:hint="eastAsia" w:ascii="Times New Roman"/>
        </w:rPr>
        <w:t xml:space="preserve"> </w:t>
      </w:r>
      <w:r>
        <w:rPr>
          <w:rFonts w:ascii="Times New Roman"/>
        </w:rPr>
        <w:t>非急症患者（绿色）：患者出现轻度急性症状或慢性症状，生命体征平稳。如：中度疼痛、轻度肢体创伤、关节肿痛、轻度出血、轻度头部损伤等</w:t>
      </w:r>
      <w:r>
        <w:rPr>
          <w:rFonts w:hint="eastAsia" w:ascii="Times New Roman"/>
        </w:rPr>
        <w:t>。</w:t>
      </w:r>
    </w:p>
    <w:p w14:paraId="0F73FBBA">
      <w:pPr>
        <w:pStyle w:val="105"/>
        <w:spacing w:before="156" w:after="156"/>
      </w:pPr>
      <w:r>
        <w:rPr>
          <w:rFonts w:hint="eastAsia"/>
        </w:rPr>
        <w:t>医疗急救保障</w:t>
      </w:r>
    </w:p>
    <w:p w14:paraId="6F8CB78E">
      <w:pPr>
        <w:pStyle w:val="224"/>
        <w:ind w:left="0"/>
      </w:pPr>
      <w:r>
        <w:rPr>
          <w:rFonts w:hint="eastAsia"/>
        </w:rPr>
        <w:t>医疗急救保障人员应根据活动情况设定医疗点、巡诊队伍，并在活动中进行医疗急救保障，记录活动中患者（伤者）的姓名、性别、症状、受伤时间（地点）、现场处置及转运信息等。</w:t>
      </w:r>
    </w:p>
    <w:p w14:paraId="046AAA24">
      <w:pPr>
        <w:pStyle w:val="224"/>
        <w:ind w:left="0"/>
      </w:pPr>
      <w:r>
        <w:rPr>
          <w:rFonts w:hint="eastAsia"/>
        </w:rPr>
        <w:t>医疗急救保障人员应科学合理使用个人防护装备及应急救援设备。</w:t>
      </w:r>
    </w:p>
    <w:p w14:paraId="0B0DDBC2">
      <w:pPr>
        <w:pStyle w:val="224"/>
        <w:ind w:left="0"/>
      </w:pPr>
      <w:r>
        <w:rPr>
          <w:rFonts w:hint="eastAsia"/>
        </w:rPr>
        <w:t>医疗急救保障人员应在现场合理运用包括但不限于以下急救技术：</w:t>
      </w:r>
    </w:p>
    <w:p w14:paraId="2DB44931">
      <w:pPr>
        <w:pStyle w:val="230"/>
        <w:ind w:firstLine="0" w:firstLineChars="0"/>
        <w:rPr>
          <w:rFonts w:ascii="Times New Roman"/>
        </w:rPr>
      </w:pPr>
      <w:bookmarkStart w:id="48" w:name="_Hlk189575235"/>
      <w:r>
        <w:rPr>
          <w:rFonts w:hint="eastAsia" w:ascii="Times New Roman"/>
        </w:rPr>
        <w:t>—心肺复苏术；</w:t>
      </w:r>
    </w:p>
    <w:bookmarkEnd w:id="48"/>
    <w:p w14:paraId="78689A9D">
      <w:pPr>
        <w:pStyle w:val="230"/>
        <w:ind w:firstLine="0" w:firstLineChars="0"/>
        <w:rPr>
          <w:rFonts w:ascii="Times New Roman"/>
        </w:rPr>
      </w:pPr>
      <w:r>
        <w:rPr>
          <w:rFonts w:hint="eastAsia" w:ascii="Times New Roman"/>
        </w:rPr>
        <w:t>—自动体外除颤技术；</w:t>
      </w:r>
    </w:p>
    <w:p w14:paraId="6000739E">
      <w:pPr>
        <w:pStyle w:val="230"/>
        <w:ind w:firstLine="0" w:firstLineChars="0"/>
        <w:rPr>
          <w:rFonts w:ascii="Times New Roman"/>
        </w:rPr>
      </w:pPr>
      <w:r>
        <w:rPr>
          <w:rFonts w:hint="eastAsia" w:ascii="Times New Roman"/>
        </w:rPr>
        <w:t>—气道管理技术（人工气道及简易呼吸球囊通气）；</w:t>
      </w:r>
    </w:p>
    <w:p w14:paraId="0C605489">
      <w:pPr>
        <w:pStyle w:val="230"/>
        <w:ind w:firstLine="0" w:firstLineChars="0"/>
        <w:rPr>
          <w:rFonts w:ascii="Times New Roman"/>
        </w:rPr>
      </w:pPr>
      <w:r>
        <w:rPr>
          <w:rFonts w:hint="eastAsia" w:ascii="Times New Roman"/>
        </w:rPr>
        <w:t>—止血、包扎、骨折（脊柱）固定、外伤处理技术；</w:t>
      </w:r>
    </w:p>
    <w:p w14:paraId="6697C0F7">
      <w:pPr>
        <w:pStyle w:val="230"/>
        <w:ind w:firstLine="0" w:firstLineChars="0"/>
        <w:rPr>
          <w:rFonts w:ascii="Times New Roman"/>
        </w:rPr>
      </w:pPr>
      <w:r>
        <w:rPr>
          <w:rFonts w:hint="eastAsia" w:ascii="Times New Roman"/>
        </w:rPr>
        <w:t>—体温管理技术（物理降温及复温）；</w:t>
      </w:r>
    </w:p>
    <w:p w14:paraId="4EA36B81">
      <w:pPr>
        <w:pStyle w:val="230"/>
        <w:ind w:firstLine="0" w:firstLineChars="0"/>
        <w:rPr>
          <w:rFonts w:ascii="Times New Roman"/>
        </w:rPr>
      </w:pPr>
      <w:r>
        <w:rPr>
          <w:rFonts w:hint="eastAsia" w:ascii="Times New Roman"/>
        </w:rPr>
        <w:t>—静脉注射技术；</w:t>
      </w:r>
    </w:p>
    <w:p w14:paraId="66D2C295">
      <w:pPr>
        <w:pStyle w:val="230"/>
        <w:ind w:firstLine="0" w:firstLineChars="0"/>
        <w:rPr>
          <w:rFonts w:ascii="Times New Roman"/>
        </w:rPr>
      </w:pPr>
      <w:r>
        <w:rPr>
          <w:rFonts w:hint="eastAsia" w:ascii="Times New Roman"/>
        </w:rPr>
        <w:t>—心电监护及心电波形识别技术；</w:t>
      </w:r>
    </w:p>
    <w:p w14:paraId="3E7FBBD3">
      <w:pPr>
        <w:pStyle w:val="230"/>
        <w:ind w:firstLine="0" w:firstLineChars="0"/>
        <w:rPr>
          <w:rFonts w:ascii="Times New Roman"/>
        </w:rPr>
      </w:pPr>
      <w:r>
        <w:rPr>
          <w:rFonts w:hint="eastAsia" w:ascii="Times New Roman"/>
        </w:rPr>
        <w:t>—无创（有创）呼吸机辅助通气技术。</w:t>
      </w:r>
    </w:p>
    <w:p w14:paraId="20ED0A27">
      <w:pPr>
        <w:pStyle w:val="105"/>
        <w:spacing w:before="156" w:after="156"/>
      </w:pPr>
      <w:r>
        <w:rPr>
          <w:rFonts w:hint="eastAsia"/>
        </w:rPr>
        <w:t>医疗急救转运</w:t>
      </w:r>
    </w:p>
    <w:p w14:paraId="40AB3344">
      <w:pPr>
        <w:pStyle w:val="224"/>
        <w:ind w:left="0"/>
      </w:pPr>
      <w:r>
        <w:rPr>
          <w:rFonts w:hint="eastAsia"/>
        </w:rPr>
        <w:t>医疗急救保障指挥应协调患者（伤者）现场救治后转运，调度现场急救车辆和医护人员，就近就急、安全有序实施患者（伤者）转运；</w:t>
      </w:r>
    </w:p>
    <w:p w14:paraId="02DA91EC">
      <w:pPr>
        <w:pStyle w:val="224"/>
        <w:ind w:left="0"/>
      </w:pPr>
      <w:r>
        <w:rPr>
          <w:rFonts w:hint="eastAsia"/>
        </w:rPr>
        <w:t>对于III级以上危急重患者救治，应采取“一人一车、一医一护”转运措施，医疗急救保障人员应在转运途中密切观察患者（伤者）生命体征，确保治疗持续进行；</w:t>
      </w:r>
    </w:p>
    <w:p w14:paraId="65F98377">
      <w:pPr>
        <w:pStyle w:val="224"/>
        <w:ind w:left="0"/>
        <w:rPr>
          <w:rFonts w:ascii="Times New Roman"/>
        </w:rPr>
      </w:pPr>
      <w:r>
        <w:rPr>
          <w:rFonts w:hint="eastAsia"/>
        </w:rPr>
        <w:t>医疗急救保障人员应在途中向救治定点医院汇报患者（伤者）伤情及现场处置措施，保障</w:t>
      </w:r>
      <w:r>
        <w:rPr>
          <w:rFonts w:hint="eastAsia" w:ascii="Times New Roman"/>
        </w:rPr>
        <w:t>院前-院内急救无缝化衔接，开放绿色通道。</w:t>
      </w:r>
    </w:p>
    <w:p w14:paraId="30355355">
      <w:pPr>
        <w:pStyle w:val="105"/>
        <w:spacing w:before="156" w:after="156"/>
      </w:pPr>
      <w:bookmarkStart w:id="49" w:name="OLE_LINK4"/>
      <w:r>
        <w:rPr>
          <w:rFonts w:hint="eastAsia"/>
        </w:rPr>
        <w:t>传染病预警</w:t>
      </w:r>
    </w:p>
    <w:p w14:paraId="442DE964">
      <w:pPr>
        <w:pStyle w:val="165"/>
        <w:ind w:left="0"/>
      </w:pPr>
      <w:r>
        <w:t>医疗急救保障人员在现场接诊过程中，发现患者</w:t>
      </w:r>
      <w:r>
        <w:rPr>
          <w:rFonts w:hint="eastAsia"/>
        </w:rPr>
        <w:t>（伤者）</w:t>
      </w:r>
      <w:r>
        <w:t>出现发热、皮疹、腹泻、结膜红肿、黄疸等疑似传染病的临床表现时，应当立即进行详细的流行病学史调查</w:t>
      </w:r>
      <w:r>
        <w:rPr>
          <w:rFonts w:hint="eastAsia"/>
        </w:rPr>
        <w:t>；</w:t>
      </w:r>
    </w:p>
    <w:p w14:paraId="1FC9BFD6">
      <w:pPr>
        <w:pStyle w:val="165"/>
        <w:ind w:left="0"/>
      </w:pPr>
      <w:r>
        <w:rPr>
          <w:rFonts w:hint="eastAsia"/>
        </w:rPr>
        <w:t>医疗急救保障人员应</w:t>
      </w:r>
      <w:r>
        <w:t>向现场医疗</w:t>
      </w:r>
      <w:r>
        <w:rPr>
          <w:rFonts w:hint="eastAsia"/>
        </w:rPr>
        <w:t>急救</w:t>
      </w:r>
      <w:r>
        <w:t>保障指挥报告相关信息</w:t>
      </w:r>
      <w:r>
        <w:rPr>
          <w:rFonts w:hint="eastAsia"/>
        </w:rPr>
        <w:t>，报告内容应包括患者的基本信息、临床表现、可能的传染病类型及流行病学史；</w:t>
      </w:r>
    </w:p>
    <w:p w14:paraId="44FA5CCD">
      <w:pPr>
        <w:pStyle w:val="165"/>
        <w:ind w:left="0"/>
      </w:pPr>
      <w:r>
        <w:rPr>
          <w:rFonts w:hint="eastAsia"/>
        </w:rPr>
        <w:t>医疗急救保障人员应</w:t>
      </w:r>
      <w:r>
        <w:t>采取必要的个人防护措施，包括佩戴适当的防护服、口罩、手套、护目镜等防护装备，避免交叉感染的风险</w:t>
      </w:r>
      <w:r>
        <w:rPr>
          <w:rFonts w:hint="eastAsia"/>
        </w:rPr>
        <w:t>；</w:t>
      </w:r>
    </w:p>
    <w:p w14:paraId="08CABB53">
      <w:pPr>
        <w:pStyle w:val="165"/>
        <w:ind w:left="0"/>
      </w:pPr>
      <w:r>
        <w:rPr>
          <w:rFonts w:hint="eastAsia"/>
        </w:rPr>
        <w:t>医疗急救保障指挥应</w:t>
      </w:r>
      <w:r>
        <w:t>与</w:t>
      </w:r>
      <w:r>
        <w:rPr>
          <w:rFonts w:hint="eastAsia"/>
        </w:rPr>
        <w:t>卫生行政部分或疾病预防控制</w:t>
      </w:r>
      <w:r>
        <w:t>部门</w:t>
      </w:r>
      <w:r>
        <w:rPr>
          <w:rFonts w:hint="eastAsia"/>
        </w:rPr>
        <w:t>联动</w:t>
      </w:r>
      <w:r>
        <w:t>，</w:t>
      </w:r>
      <w:r>
        <w:rPr>
          <w:rFonts w:hint="eastAsia"/>
        </w:rPr>
        <w:t>进行</w:t>
      </w:r>
      <w:r>
        <w:t>流行病学调查及疫情报告</w:t>
      </w:r>
      <w:r>
        <w:rPr>
          <w:rFonts w:hint="eastAsia"/>
        </w:rPr>
        <w:t>。</w:t>
      </w:r>
    </w:p>
    <w:bookmarkEnd w:id="49"/>
    <w:p w14:paraId="783D9124">
      <w:pPr>
        <w:pStyle w:val="104"/>
        <w:spacing w:before="312" w:after="312"/>
        <w:ind w:left="0"/>
      </w:pPr>
      <w:r>
        <w:rPr>
          <w:rFonts w:hint="eastAsia"/>
        </w:rPr>
        <w:t>医疗急救保障队伍设置</w:t>
      </w:r>
    </w:p>
    <w:p w14:paraId="30D029B8">
      <w:pPr>
        <w:pStyle w:val="105"/>
        <w:spacing w:before="156" w:after="156"/>
      </w:pPr>
      <w:r>
        <w:rPr>
          <w:rFonts w:hint="eastAsia"/>
        </w:rPr>
        <w:t>基本要求</w:t>
      </w:r>
    </w:p>
    <w:p w14:paraId="02F35C3A">
      <w:pPr>
        <w:pStyle w:val="165"/>
        <w:ind w:left="0"/>
      </w:pPr>
      <w:r>
        <w:rPr>
          <w:rFonts w:hint="eastAsia"/>
        </w:rPr>
        <w:t>医疗急救保障队伍应建立健全的管理制度，包括但不限于以下制度：</w:t>
      </w:r>
    </w:p>
    <w:p w14:paraId="365D1985">
      <w:pPr>
        <w:pStyle w:val="165"/>
        <w:numPr>
          <w:ilvl w:val="0"/>
          <w:numId w:val="0"/>
        </w:numPr>
      </w:pPr>
      <w:bookmarkStart w:id="50" w:name="OLE_LINK5"/>
      <w:r>
        <w:rPr>
          <w:rFonts w:hint="eastAsia"/>
        </w:rPr>
        <w:t>—</w:t>
      </w:r>
      <w:bookmarkEnd w:id="50"/>
      <w:r>
        <w:rPr>
          <w:rFonts w:hint="eastAsia"/>
        </w:rPr>
        <w:t>岗位责任制度；</w:t>
      </w:r>
    </w:p>
    <w:p w14:paraId="660AAE09">
      <w:pPr>
        <w:pStyle w:val="165"/>
        <w:numPr>
          <w:ilvl w:val="0"/>
          <w:numId w:val="0"/>
        </w:numPr>
      </w:pPr>
      <w:r>
        <w:rPr>
          <w:rFonts w:hint="eastAsia"/>
        </w:rPr>
        <w:t>—安全管理制度；</w:t>
      </w:r>
    </w:p>
    <w:p w14:paraId="602212F8">
      <w:pPr>
        <w:pStyle w:val="165"/>
        <w:numPr>
          <w:ilvl w:val="0"/>
          <w:numId w:val="0"/>
        </w:numPr>
      </w:pPr>
      <w:r>
        <w:rPr>
          <w:rFonts w:hint="eastAsia"/>
        </w:rPr>
        <w:t>—档案管理制度；</w:t>
      </w:r>
    </w:p>
    <w:p w14:paraId="65ACC3C8">
      <w:pPr>
        <w:pStyle w:val="165"/>
        <w:numPr>
          <w:ilvl w:val="0"/>
          <w:numId w:val="0"/>
        </w:numPr>
      </w:pPr>
      <w:r>
        <w:rPr>
          <w:rFonts w:hint="eastAsia"/>
        </w:rPr>
        <w:t>—医疗培训制度；</w:t>
      </w:r>
    </w:p>
    <w:p w14:paraId="3CDD4EFC">
      <w:pPr>
        <w:pStyle w:val="165"/>
        <w:numPr>
          <w:ilvl w:val="0"/>
          <w:numId w:val="0"/>
        </w:numPr>
      </w:pPr>
      <w:r>
        <w:rPr>
          <w:rFonts w:hint="eastAsia"/>
        </w:rPr>
        <w:t>—保障宣传制度。</w:t>
      </w:r>
    </w:p>
    <w:p w14:paraId="37675A14">
      <w:pPr>
        <w:pStyle w:val="165"/>
        <w:ind w:left="0"/>
      </w:pPr>
      <w:r>
        <w:rPr>
          <w:rFonts w:hint="eastAsia"/>
        </w:rPr>
        <w:t>医疗急救保障队伍应着装统一，采用统一标志、队服进行标识；</w:t>
      </w:r>
    </w:p>
    <w:p w14:paraId="112BFCE8">
      <w:pPr>
        <w:pStyle w:val="165"/>
        <w:ind w:left="0"/>
      </w:pPr>
      <w:r>
        <w:rPr>
          <w:rFonts w:hint="eastAsia"/>
        </w:rPr>
        <w:t>医疗点应在醒目位置悬挂“医疗保障急救点”标识；巡诊组人员应佩戴“医疗急救保障”标识；</w:t>
      </w:r>
    </w:p>
    <w:p w14:paraId="6CF5FC06">
      <w:pPr>
        <w:pStyle w:val="165"/>
        <w:ind w:left="0"/>
      </w:pPr>
      <w:r>
        <w:rPr>
          <w:rFonts w:hint="eastAsia"/>
        </w:rPr>
        <w:t xml:space="preserve">鼓励医疗急救保障队员参加城市搜救、山地（水域）救援、无线电通讯等培训，提升队伍综合急救能力。 </w:t>
      </w:r>
    </w:p>
    <w:p w14:paraId="17D467FF">
      <w:pPr>
        <w:pStyle w:val="105"/>
        <w:spacing w:before="156" w:after="156"/>
      </w:pPr>
      <w:r>
        <w:rPr>
          <w:rFonts w:hint="eastAsia"/>
        </w:rPr>
        <w:t>人员要求</w:t>
      </w:r>
    </w:p>
    <w:p w14:paraId="3181EDCF">
      <w:pPr>
        <w:pStyle w:val="165"/>
        <w:ind w:left="0"/>
      </w:pPr>
      <w:r>
        <w:rPr>
          <w:rFonts w:hint="eastAsia"/>
        </w:rPr>
        <w:t>指挥者：应具有本科及以上学历，高级专业技术职称，任职急诊急救相关专业技术岗位10年及以上，能独立处理各种急危重症及突发事件，负责领导和协调医疗急救保障工作，对接活动组织部门及卫生行政部门，统筹活动期间医疗急救保障工作；</w:t>
      </w:r>
    </w:p>
    <w:p w14:paraId="2A94F5B2">
      <w:pPr>
        <w:pStyle w:val="165"/>
        <w:ind w:left="0"/>
      </w:pPr>
      <w:r>
        <w:rPr>
          <w:rFonts w:hint="eastAsia"/>
        </w:rPr>
        <w:t>医师：应具有本科及以上学历，主治及以上专业技术职称，任职超过3年以上，熟悉各种急症及突发事件处置流程，以急诊医学、重症医学、全科医学、内科学、外科学专业为主，掌握心肺复苏、气管插管、电除颤、呼吸机使用及创伤急救等基本技能；</w:t>
      </w:r>
    </w:p>
    <w:p w14:paraId="2FA27E70">
      <w:pPr>
        <w:pStyle w:val="165"/>
        <w:ind w:left="0"/>
      </w:pPr>
      <w:r>
        <w:rPr>
          <w:rFonts w:hint="eastAsia"/>
        </w:rPr>
        <w:t>护师：应具备护师及以上专业技术职称，任职超过2年以上，熟悉危重症急救护理、监护技术静脉（动脉）穿刺等操作技术及各种抢救设备、物品、药品管理；</w:t>
      </w:r>
    </w:p>
    <w:p w14:paraId="07D96130">
      <w:pPr>
        <w:pStyle w:val="165"/>
        <w:ind w:left="0"/>
      </w:pPr>
      <w:r>
        <w:rPr>
          <w:rFonts w:hint="eastAsia"/>
        </w:rPr>
        <w:t>急救志愿者：应年满18周岁，身体健康，接受过专业医疗急救培训，取得市级红十字会、急救中心、医疗机构所颁发的救护员合格证书并在有效期内，熟悉心肺复苏术、自动体外除颤仪、创伤基本急救技术等；</w:t>
      </w:r>
    </w:p>
    <w:p w14:paraId="39722164">
      <w:pPr>
        <w:pStyle w:val="165"/>
        <w:ind w:left="0"/>
      </w:pPr>
      <w:r>
        <w:rPr>
          <w:rFonts w:hint="eastAsia"/>
        </w:rPr>
        <w:t>配置要求：每次医疗急救保障可参考《马拉松赛事现场医疗保障人员配置要求》T/CADERM 8001设置1名指挥，每个医疗点由1名医师、1名护师和（或）1名急救志愿者组成；每个巡回医疗组按照由1名医师和（或）1名志愿者组成。</w:t>
      </w:r>
    </w:p>
    <w:p w14:paraId="4548D676">
      <w:pPr>
        <w:pStyle w:val="105"/>
        <w:spacing w:before="156" w:after="156"/>
      </w:pPr>
      <w:r>
        <w:rPr>
          <w:rFonts w:hint="eastAsia"/>
        </w:rPr>
        <w:t>药品及设备要求</w:t>
      </w:r>
    </w:p>
    <w:p w14:paraId="0F6BA797">
      <w:pPr>
        <w:pStyle w:val="165"/>
        <w:ind w:left="0"/>
      </w:pPr>
      <w:r>
        <w:rPr>
          <w:rFonts w:hint="eastAsia"/>
        </w:rPr>
        <w:t>医疗急救保障现场医疗点应准备充足的急救药品，包括但不限于：盐酸肾上腺素注射液、地塞米松注射液、硫酸阿托品注射液、硝酸甘油注射液、去乙酰毛花苷注射液、盐酸利多卡因注射液、氨茶碱注射液、苯巴比妥注射液、盐酸纳洛酮注射液、硫酸镁注射液、甘露醇注射液、多巴胺（或去甲肾上腺素）、50%葡萄糖注射液、盐酸山莨菪碱注射液、呋塞米注射液、地西泮注射液、硝酸甘油（口服）、硝苯地平片（口服）、0.9%氯化钠注射液、10%葡萄糖酸钙注射液、云南白药喷雾剂；</w:t>
      </w:r>
    </w:p>
    <w:p w14:paraId="5074C9E7">
      <w:pPr>
        <w:pStyle w:val="165"/>
        <w:ind w:left="0"/>
      </w:pPr>
      <w:r>
        <w:t>医疗急救保障现场</w:t>
      </w:r>
      <w:r>
        <w:rPr>
          <w:rFonts w:hint="eastAsia"/>
        </w:rPr>
        <w:t>医疗点</w:t>
      </w:r>
      <w:r>
        <w:t>应配备完善的急救设备，</w:t>
      </w:r>
      <w:bookmarkStart w:id="51" w:name="OLE_LINK7"/>
      <w:r>
        <w:t>包括但不限于：</w:t>
      </w:r>
      <w:bookmarkEnd w:id="51"/>
      <w:r>
        <w:rPr>
          <w:rFonts w:hint="eastAsia"/>
        </w:rPr>
        <w:t>自动体外除颤仪、心电图机、心电监护仪、血糖仪、</w:t>
      </w:r>
      <w:r>
        <w:t>氧气瓶</w:t>
      </w:r>
      <w:r>
        <w:rPr>
          <w:rFonts w:hint="eastAsia"/>
        </w:rPr>
        <w:t>、轮椅或急救</w:t>
      </w:r>
      <w:r>
        <w:t>担架</w:t>
      </w:r>
      <w:r>
        <w:rPr>
          <w:rFonts w:hint="eastAsia"/>
        </w:rPr>
        <w:t>、</w:t>
      </w:r>
      <w:r>
        <w:t>输液设备</w:t>
      </w:r>
      <w:r>
        <w:rPr>
          <w:rFonts w:hint="eastAsia"/>
        </w:rPr>
        <w:t>、</w:t>
      </w:r>
      <w:r>
        <w:t>气道管理工具</w:t>
      </w:r>
      <w:r>
        <w:rPr>
          <w:rFonts w:hint="eastAsia"/>
        </w:rPr>
        <w:t>（喉罩、氧气面罩）、</w:t>
      </w:r>
      <w:bookmarkStart w:id="52" w:name="OLE_LINK8"/>
      <w:r>
        <w:t>无菌敷料</w:t>
      </w:r>
      <w:r>
        <w:rPr>
          <w:rFonts w:hint="eastAsia"/>
        </w:rPr>
        <w:t>及止血带、</w:t>
      </w:r>
      <w:bookmarkEnd w:id="52"/>
      <w:r>
        <w:rPr>
          <w:rFonts w:hint="eastAsia"/>
        </w:rPr>
        <w:t>吸引器、消毒纱布（棉球）、双氧水、冷敷包、温度计、检伤卡片；</w:t>
      </w:r>
    </w:p>
    <w:p w14:paraId="5B883496">
      <w:pPr>
        <w:pStyle w:val="165"/>
        <w:ind w:left="0"/>
      </w:pPr>
      <w:r>
        <w:t>医疗急救保障现场应配备</w:t>
      </w:r>
      <w:r>
        <w:rPr>
          <w:rFonts w:hint="eastAsia"/>
        </w:rPr>
        <w:t>齐全的个人防护装备</w:t>
      </w:r>
      <w:r>
        <w:t>，包括但不限于</w:t>
      </w:r>
      <w:r>
        <w:rPr>
          <w:rFonts w:hint="eastAsia"/>
        </w:rPr>
        <w:t>：口罩、手套、防护面屏（面罩）、防护服；</w:t>
      </w:r>
    </w:p>
    <w:p w14:paraId="05C114EF">
      <w:pPr>
        <w:pStyle w:val="165"/>
        <w:ind w:left="0"/>
      </w:pPr>
      <w:r>
        <w:t>医疗急救保障现场</w:t>
      </w:r>
      <w:r>
        <w:rPr>
          <w:rFonts w:hint="eastAsia"/>
        </w:rPr>
        <w:t>巡诊人员应携带便携式急救包，</w:t>
      </w:r>
      <w:r>
        <w:t>包括但不限于：</w:t>
      </w:r>
      <w:r>
        <w:rPr>
          <w:rFonts w:hint="eastAsia"/>
        </w:rPr>
        <w:t>自动体外除颤仪、消毒纱布（棉球）、云南白药喷雾剂、冷敷包、</w:t>
      </w:r>
      <w:r>
        <w:t>无菌敷料</w:t>
      </w:r>
      <w:r>
        <w:rPr>
          <w:rFonts w:hint="eastAsia"/>
        </w:rPr>
        <w:t>及止血带；</w:t>
      </w:r>
    </w:p>
    <w:p w14:paraId="4DCB6D63">
      <w:pPr>
        <w:pStyle w:val="165"/>
        <w:ind w:left="0"/>
      </w:pPr>
      <w:r>
        <w:t>救护车应符合中华人民共和国卫生行业标准救护车WS/T 292</w:t>
      </w:r>
      <w:r>
        <w:rPr>
          <w:rFonts w:hint="eastAsia"/>
        </w:rPr>
        <w:t>要求</w:t>
      </w:r>
      <w:r>
        <w:t>；</w:t>
      </w:r>
    </w:p>
    <w:p w14:paraId="0A903C7A">
      <w:pPr>
        <w:pStyle w:val="104"/>
        <w:spacing w:before="312" w:after="312"/>
        <w:ind w:left="0"/>
      </w:pPr>
      <w:bookmarkStart w:id="53" w:name="_Hlk189577393"/>
      <w:r>
        <w:rPr>
          <w:rFonts w:hint="eastAsia"/>
        </w:rPr>
        <w:t>信息报告及服务改进</w:t>
      </w:r>
    </w:p>
    <w:p w14:paraId="44E6F26E">
      <w:pPr>
        <w:pStyle w:val="105"/>
        <w:spacing w:before="156" w:after="156"/>
      </w:pPr>
      <w:r>
        <w:rPr>
          <w:rFonts w:hint="eastAsia"/>
          <w:b/>
          <w:bCs/>
        </w:rPr>
        <w:t>信息报告</w:t>
      </w:r>
      <w:r>
        <w:rPr>
          <w:rFonts w:hint="eastAsia"/>
        </w:rPr>
        <w:t xml:space="preserve"> </w:t>
      </w:r>
    </w:p>
    <w:p w14:paraId="4E8836F1">
      <w:pPr>
        <w:pStyle w:val="53"/>
      </w:pPr>
      <w:r>
        <w:rPr>
          <w:rFonts w:hint="eastAsia"/>
        </w:rPr>
        <w:t>医疗急救保障结束后，医疗急救保障人员应撰写医疗急救保障报告，并向指挥汇报，内容包括但不限于以下方面：</w:t>
      </w:r>
    </w:p>
    <w:p w14:paraId="19F50F70">
      <w:pPr>
        <w:pStyle w:val="53"/>
      </w:pPr>
      <w:r>
        <w:rPr>
          <w:rFonts w:hint="eastAsia"/>
        </w:rPr>
        <w:t>—医疗急救设备情况：包括救护车、自动体外除颤仪、心电监护仪等运行情况及完好程度等；</w:t>
      </w:r>
    </w:p>
    <w:p w14:paraId="21E496E2">
      <w:pPr>
        <w:pStyle w:val="53"/>
      </w:pPr>
      <w:r>
        <w:rPr>
          <w:rFonts w:hint="eastAsia"/>
        </w:rPr>
        <w:t>—医护人员配备情况：包括医护人员配备、工作时间、工作符合程度等；</w:t>
      </w:r>
    </w:p>
    <w:p w14:paraId="597D174B">
      <w:pPr>
        <w:pStyle w:val="53"/>
      </w:pPr>
      <w:r>
        <w:rPr>
          <w:rFonts w:hint="eastAsia"/>
        </w:rPr>
        <w:t>—应急预案执行情况：包括急救保障应急预案在实际事件中的执行效果和反馈情况；</w:t>
      </w:r>
    </w:p>
    <w:p w14:paraId="2EF3851E">
      <w:pPr>
        <w:pStyle w:val="53"/>
      </w:pPr>
      <w:r>
        <w:rPr>
          <w:rFonts w:hint="eastAsia"/>
        </w:rPr>
        <w:t>—突发事件应对情况：包括意外伤害、突发疾病等急救响应情况以及急救保障人员</w:t>
      </w:r>
      <w:r>
        <w:t>应对突发事件的响应速度、处置能力和救治效果等</w:t>
      </w:r>
      <w:r>
        <w:rPr>
          <w:rFonts w:hint="eastAsia"/>
        </w:rPr>
        <w:t>；</w:t>
      </w:r>
    </w:p>
    <w:p w14:paraId="4F46A6D1">
      <w:pPr>
        <w:pStyle w:val="53"/>
      </w:pPr>
      <w:r>
        <w:rPr>
          <w:rFonts w:hint="eastAsia"/>
        </w:rPr>
        <w:t>—急救服务效果评价：包括</w:t>
      </w:r>
      <w:r>
        <w:t>医疗急救服务的用户满意度和反馈情况，包括参与者和公众对医疗急救服务的评价和建议。</w:t>
      </w:r>
    </w:p>
    <w:p w14:paraId="647A6E60">
      <w:pPr>
        <w:pStyle w:val="105"/>
        <w:spacing w:before="156" w:after="156"/>
      </w:pPr>
      <w:r>
        <w:rPr>
          <w:rFonts w:hint="eastAsia"/>
        </w:rPr>
        <w:t>服务改进</w:t>
      </w:r>
    </w:p>
    <w:p w14:paraId="15F1F007">
      <w:pPr>
        <w:pStyle w:val="56"/>
        <w:ind w:firstLine="0" w:firstLineChars="0"/>
      </w:pPr>
      <w:r>
        <w:t>医疗急救保障队伍应建立持续改进机制，通过各类评估、反馈和总结，不断提升急救服务的质量与效能</w:t>
      </w:r>
      <w:r>
        <w:rPr>
          <w:rFonts w:hint="eastAsia"/>
        </w:rPr>
        <w:t>：</w:t>
      </w:r>
    </w:p>
    <w:p w14:paraId="47E93988">
      <w:pPr>
        <w:pStyle w:val="165"/>
        <w:ind w:left="0"/>
      </w:pPr>
      <w:r>
        <w:t>医疗急救保障队伍应定期召开工作总结会议、案例回顾会等，系统归纳急救保障中的问题与不足</w:t>
      </w:r>
      <w:r>
        <w:rPr>
          <w:rFonts w:hint="eastAsia"/>
        </w:rPr>
        <w:t>；</w:t>
      </w:r>
    </w:p>
    <w:p w14:paraId="5950FC62">
      <w:pPr>
        <w:pStyle w:val="165"/>
        <w:ind w:left="0"/>
      </w:pPr>
      <w:r>
        <w:rPr>
          <w:rFonts w:hint="eastAsia"/>
        </w:rPr>
        <w:t>医疗急救保障队伍应</w:t>
      </w:r>
      <w:r>
        <w:t>收集活动参与者、公众和各方对急救</w:t>
      </w:r>
      <w:r>
        <w:rPr>
          <w:rFonts w:hint="eastAsia"/>
        </w:rPr>
        <w:t>保障</w:t>
      </w:r>
      <w:r>
        <w:t>服务的评价、意见和建议</w:t>
      </w:r>
      <w:r>
        <w:rPr>
          <w:rFonts w:hint="eastAsia"/>
        </w:rPr>
        <w:t>，</w:t>
      </w:r>
      <w:r>
        <w:t>建立完善的用户反馈机制，定期记录并分析急救服务的用户满意度</w:t>
      </w:r>
      <w:r>
        <w:rPr>
          <w:rFonts w:hint="eastAsia"/>
        </w:rPr>
        <w:t>；</w:t>
      </w:r>
    </w:p>
    <w:p w14:paraId="24ADEAE6">
      <w:pPr>
        <w:pStyle w:val="165"/>
        <w:ind w:left="0"/>
      </w:pPr>
      <w:r>
        <w:t>医疗急救保障队伍应针对发现的问题和不足，制定具体的改进措施和整改计划</w:t>
      </w:r>
      <w:bookmarkEnd w:id="53"/>
      <w:r>
        <w:rPr>
          <w:rFonts w:hint="eastAsia"/>
        </w:rPr>
        <w:t>，包括急救设备</w:t>
      </w:r>
      <w:r>
        <w:t>更新、人员培训、急救预案修订等</w:t>
      </w:r>
      <w:r>
        <w:rPr>
          <w:rFonts w:hint="eastAsia"/>
        </w:rPr>
        <w:t>；</w:t>
      </w:r>
      <w:bookmarkEnd w:id="23"/>
      <w:bookmarkStart w:id="54" w:name="BookMark8"/>
    </w:p>
    <w:p w14:paraId="589DA5F8">
      <w:pPr>
        <w:ind w:firstLine="420" w:firstLineChars="200"/>
        <w:jc w:val="center"/>
      </w:pPr>
    </w:p>
    <w:p w14:paraId="36E26254">
      <w:pPr>
        <w:ind w:firstLine="420" w:firstLineChars="200"/>
        <w:jc w:val="center"/>
      </w:pPr>
    </w:p>
    <w:p w14:paraId="45EF00D8">
      <w:pPr>
        <w:ind w:firstLine="420" w:firstLineChars="200"/>
        <w:jc w:val="center"/>
        <w:rPr>
          <w:rFonts w:ascii="黑体" w:eastAsia="黑体"/>
          <w:kern w:val="0"/>
        </w:rPr>
      </w:pPr>
    </w:p>
    <w:p w14:paraId="27CD9962">
      <w:pPr>
        <w:ind w:firstLine="420" w:firstLineChars="200"/>
        <w:jc w:val="center"/>
        <w:rPr>
          <w:rFonts w:ascii="黑体" w:eastAsia="黑体"/>
          <w:kern w:val="0"/>
        </w:rPr>
      </w:pPr>
    </w:p>
    <w:p w14:paraId="0A7AC39C">
      <w:pPr>
        <w:ind w:firstLine="420" w:firstLineChars="200"/>
        <w:jc w:val="center"/>
        <w:rPr>
          <w:rFonts w:ascii="黑体" w:eastAsia="黑体"/>
          <w:kern w:val="0"/>
        </w:rPr>
      </w:pPr>
      <w:r>
        <w:rPr>
          <w:rFonts w:hint="eastAsia" w:ascii="黑体" w:eastAsia="黑体"/>
          <w:kern w:val="0"/>
        </w:rPr>
        <w:t>参考文献</w:t>
      </w:r>
    </w:p>
    <w:p w14:paraId="22AEDBB7">
      <w:pPr>
        <w:pStyle w:val="241"/>
        <w:numPr>
          <w:ilvl w:val="0"/>
          <w:numId w:val="34"/>
        </w:numPr>
        <w:ind w:firstLineChars="0"/>
        <w:jc w:val="left"/>
      </w:pPr>
      <w:r>
        <w:t>突发事件医疗应急工作管理办法（试行）（2023年）国家卫生健康委员会</w:t>
      </w:r>
    </w:p>
    <w:p w14:paraId="292FBD1F">
      <w:pPr>
        <w:pStyle w:val="241"/>
        <w:numPr>
          <w:ilvl w:val="0"/>
          <w:numId w:val="34"/>
        </w:numPr>
        <w:ind w:firstLineChars="0"/>
        <w:jc w:val="left"/>
      </w:pPr>
      <w:r>
        <w:t>大型群众性活动安全管理条例（2007年）中华人民共和国国务院令（第505号）</w:t>
      </w:r>
    </w:p>
    <w:p w14:paraId="2777063C">
      <w:pPr>
        <w:pStyle w:val="241"/>
        <w:numPr>
          <w:ilvl w:val="0"/>
          <w:numId w:val="34"/>
        </w:numPr>
        <w:ind w:firstLineChars="0"/>
        <w:jc w:val="left"/>
      </w:pPr>
      <w:r>
        <w:t>院前医疗急救管理办法（2013年）国家卫生健康委员会</w:t>
      </w:r>
    </w:p>
    <w:p w14:paraId="1C36F993">
      <w:pPr>
        <w:pStyle w:val="241"/>
        <w:numPr>
          <w:ilvl w:val="0"/>
          <w:numId w:val="34"/>
        </w:numPr>
        <w:ind w:firstLineChars="0"/>
        <w:jc w:val="left"/>
      </w:pPr>
      <w:r>
        <w:t>国家基本公共卫生服务规范（第三版）（2017年）国家卫生健康委员会</w:t>
      </w:r>
    </w:p>
    <w:p w14:paraId="041144B6">
      <w:pPr>
        <w:pStyle w:val="241"/>
        <w:numPr>
          <w:ilvl w:val="0"/>
          <w:numId w:val="34"/>
        </w:numPr>
        <w:ind w:firstLineChars="0"/>
        <w:jc w:val="left"/>
      </w:pPr>
      <w:r>
        <w:t>中华人民共和国传染病防治法（2004年） 中华人民共和国主席令（第 17 号）</w:t>
      </w:r>
    </w:p>
    <w:p w14:paraId="2585B876">
      <w:pPr>
        <w:pStyle w:val="241"/>
        <w:numPr>
          <w:ilvl w:val="0"/>
          <w:numId w:val="34"/>
        </w:numPr>
        <w:ind w:firstLineChars="0"/>
        <w:jc w:val="left"/>
      </w:pPr>
      <w:r>
        <w:t>中华人民共和国突发事件应对法（2007年） 中华人民共和国主席令（第 69 号）</w:t>
      </w:r>
    </w:p>
    <w:p w14:paraId="16023F24">
      <w:pPr>
        <w:pStyle w:val="241"/>
        <w:numPr>
          <w:ilvl w:val="0"/>
          <w:numId w:val="34"/>
        </w:numPr>
        <w:ind w:firstLineChars="0"/>
        <w:jc w:val="left"/>
      </w:pPr>
      <w:r>
        <w:t>突发公共卫生事件应急条例（2003年） 中华人民共和国国务院令（第 376 号）</w:t>
      </w:r>
    </w:p>
    <w:p w14:paraId="6F3D0B5C">
      <w:pPr>
        <w:pStyle w:val="241"/>
        <w:numPr>
          <w:ilvl w:val="0"/>
          <w:numId w:val="34"/>
        </w:numPr>
        <w:ind w:firstLineChars="0"/>
      </w:pPr>
      <w:r>
        <w:t xml:space="preserve">国家卫生应急队伍管理办法（试行）（2010年） 国家卫生应急办公室 </w:t>
      </w:r>
    </w:p>
    <w:p w14:paraId="13E9CCF9">
      <w:pPr>
        <w:ind w:left="420"/>
        <w:rPr>
          <w:rFonts w:ascii="Times New Roman" w:hAnsi="Times New Roman"/>
          <w:highlight w:val="yellow"/>
        </w:rPr>
      </w:pPr>
      <w:r>
        <w:rPr>
          <w:rFonts w:ascii="Times New Roman" w:hAnsi="Times New Roman"/>
        </w:rPr>
        <w:t>9、项海青, 滕建荣. G20杭州峰会医疗保障医疗点的设置[J]. 中华流行病学杂志, 2017, 38(4): 553-555.</w:t>
      </w:r>
    </w:p>
    <w:p w14:paraId="1CDFE3BF">
      <w:pPr>
        <w:ind w:left="420" w:leftChars="200"/>
        <w:rPr>
          <w:rFonts w:ascii="Times New Roman" w:hAnsi="Times New Roman"/>
        </w:rPr>
      </w:pPr>
      <w:r>
        <w:rPr>
          <w:rFonts w:ascii="Times New Roman" w:hAnsi="Times New Roman"/>
        </w:rPr>
        <w:t>10、 徐百超, 骆丁, 张华. 我国体育赛事医疗安全保障的优化策略研究[J]. 中华急诊医学杂志, 2023, 32(9): 1152-1157.</w:t>
      </w:r>
    </w:p>
    <w:p w14:paraId="6748FAE9">
      <w:pPr>
        <w:ind w:left="420" w:leftChars="200"/>
      </w:pPr>
      <w:r>
        <w:drawing>
          <wp:inline distT="0" distB="0" distL="0" distR="0">
            <wp:extent cx="1485900" cy="317500"/>
            <wp:effectExtent l="0" t="0" r="0" b="6350"/>
            <wp:docPr id="1374993268" name="图片 1"/>
            <wp:cNvGraphicFramePr/>
            <a:graphic xmlns:a="http://schemas.openxmlformats.org/drawingml/2006/main">
              <a:graphicData uri="http://schemas.openxmlformats.org/drawingml/2006/picture">
                <pic:pic xmlns:pic="http://schemas.openxmlformats.org/drawingml/2006/picture">
                  <pic:nvPicPr>
                    <pic:cNvPr id="137499326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E0002EFF" w:usb1="C000785B"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CA35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374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FEF8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7BC1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5A7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4430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ADD1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81573">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3193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232"/>
      <w:suff w:val="nothing"/>
      <w:lvlText w:val="%1.%2　"/>
      <w:lvlJc w:val="left"/>
      <w:pPr>
        <w:ind w:left="170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4"/>
      <w:suff w:val="nothing"/>
      <w:lvlText w:val="%1.%2.%3　"/>
      <w:lvlJc w:val="left"/>
      <w:pPr>
        <w:ind w:left="851"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3687"/>
        </w:tabs>
        <w:ind w:left="3687" w:hanging="426"/>
      </w:pPr>
      <w:rPr>
        <w:rFonts w:hint="eastAsia" w:ascii="宋体" w:hAnsi="Times New Roman" w:eastAsia="宋体"/>
        <w:b w:val="0"/>
        <w:i w:val="0"/>
        <w:sz w:val="21"/>
      </w:rPr>
    </w:lvl>
    <w:lvl w:ilvl="1" w:tentative="0">
      <w:start w:val="1"/>
      <w:numFmt w:val="none"/>
      <w:pStyle w:val="187"/>
      <w:lvlText w:val=""/>
      <w:lvlJc w:val="left"/>
      <w:pPr>
        <w:ind w:left="3687" w:hanging="431"/>
      </w:pPr>
      <w:rPr>
        <w:rFonts w:hint="default" w:ascii="Symbol" w:hAnsi="Symbol"/>
        <w:sz w:val="21"/>
      </w:rPr>
    </w:lvl>
    <w:lvl w:ilvl="2" w:tentative="0">
      <w:start w:val="1"/>
      <w:numFmt w:val="bullet"/>
      <w:pStyle w:val="172"/>
      <w:lvlText w:val=""/>
      <w:lvlJc w:val="left"/>
      <w:pPr>
        <w:ind w:left="3687" w:hanging="426"/>
      </w:pPr>
      <w:rPr>
        <w:rFonts w:hint="default" w:ascii="Wingdings" w:hAnsi="Wingdings"/>
        <w:sz w:val="21"/>
      </w:rPr>
    </w:lvl>
    <w:lvl w:ilvl="3" w:tentative="0">
      <w:start w:val="1"/>
      <w:numFmt w:val="decimal"/>
      <w:lvlText w:val="%4."/>
      <w:lvlJc w:val="left"/>
      <w:pPr>
        <w:tabs>
          <w:tab w:val="left" w:pos="4907"/>
        </w:tabs>
        <w:ind w:left="4720" w:hanging="528"/>
      </w:pPr>
      <w:rPr>
        <w:rFonts w:hint="eastAsia"/>
      </w:rPr>
    </w:lvl>
    <w:lvl w:ilvl="4" w:tentative="0">
      <w:start w:val="1"/>
      <w:numFmt w:val="lowerLetter"/>
      <w:lvlText w:val="%5)"/>
      <w:lvlJc w:val="left"/>
      <w:pPr>
        <w:tabs>
          <w:tab w:val="left" w:pos="5219"/>
        </w:tabs>
        <w:ind w:left="5032" w:hanging="528"/>
      </w:pPr>
      <w:rPr>
        <w:rFonts w:hint="eastAsia"/>
      </w:rPr>
    </w:lvl>
    <w:lvl w:ilvl="5" w:tentative="0">
      <w:start w:val="1"/>
      <w:numFmt w:val="lowerRoman"/>
      <w:lvlText w:val="%6."/>
      <w:lvlJc w:val="right"/>
      <w:pPr>
        <w:tabs>
          <w:tab w:val="left" w:pos="5531"/>
        </w:tabs>
        <w:ind w:left="5344" w:hanging="528"/>
      </w:pPr>
      <w:rPr>
        <w:rFonts w:hint="eastAsia"/>
      </w:rPr>
    </w:lvl>
    <w:lvl w:ilvl="6" w:tentative="0">
      <w:start w:val="1"/>
      <w:numFmt w:val="decimal"/>
      <w:lvlText w:val="%7."/>
      <w:lvlJc w:val="left"/>
      <w:pPr>
        <w:tabs>
          <w:tab w:val="left" w:pos="5843"/>
        </w:tabs>
        <w:ind w:left="5656" w:hanging="528"/>
      </w:pPr>
      <w:rPr>
        <w:rFonts w:hint="eastAsia"/>
      </w:rPr>
    </w:lvl>
    <w:lvl w:ilvl="7" w:tentative="0">
      <w:start w:val="1"/>
      <w:numFmt w:val="lowerLetter"/>
      <w:lvlText w:val="%8)"/>
      <w:lvlJc w:val="left"/>
      <w:pPr>
        <w:tabs>
          <w:tab w:val="left" w:pos="6155"/>
        </w:tabs>
        <w:ind w:left="5968" w:hanging="528"/>
      </w:pPr>
      <w:rPr>
        <w:rFonts w:hint="eastAsia"/>
      </w:rPr>
    </w:lvl>
    <w:lvl w:ilvl="8" w:tentative="0">
      <w:start w:val="1"/>
      <w:numFmt w:val="lowerRoman"/>
      <w:lvlText w:val="%9."/>
      <w:lvlJc w:val="right"/>
      <w:pPr>
        <w:tabs>
          <w:tab w:val="left" w:pos="6467"/>
        </w:tabs>
        <w:ind w:left="6280"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701"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993"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299184C"/>
    <w:multiLevelType w:val="multilevel"/>
    <w:tmpl w:val="7299184C"/>
    <w:lvl w:ilvl="0" w:tentative="0">
      <w:start w:val="1"/>
      <w:numFmt w:val="decimal"/>
      <w:lvlText w:val="%1、"/>
      <w:lvlJc w:val="left"/>
      <w:pPr>
        <w:ind w:left="786"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2">
    <w:nsid w:val="72E22A51"/>
    <w:multiLevelType w:val="multilevel"/>
    <w:tmpl w:val="72E22A51"/>
    <w:lvl w:ilvl="0" w:tentative="0">
      <w:start w:val="3"/>
      <w:numFmt w:val="bullet"/>
      <w:lvlText w:val="—"/>
      <w:lvlJc w:val="left"/>
      <w:pPr>
        <w:ind w:left="643" w:hanging="360"/>
      </w:pPr>
      <w:rPr>
        <w:rFonts w:hint="eastAsia" w:ascii="宋体" w:hAnsi="宋体" w:eastAsia="宋体" w:cs="Times New Roman"/>
      </w:rPr>
    </w:lvl>
    <w:lvl w:ilvl="1" w:tentative="0">
      <w:start w:val="1"/>
      <w:numFmt w:val="bullet"/>
      <w:lvlText w:val=""/>
      <w:lvlJc w:val="left"/>
      <w:pPr>
        <w:ind w:left="1163" w:hanging="440"/>
      </w:pPr>
      <w:rPr>
        <w:rFonts w:hint="default" w:ascii="Wingdings" w:hAnsi="Wingdings"/>
      </w:rPr>
    </w:lvl>
    <w:lvl w:ilvl="2" w:tentative="0">
      <w:start w:val="1"/>
      <w:numFmt w:val="bullet"/>
      <w:lvlText w:val=""/>
      <w:lvlJc w:val="left"/>
      <w:pPr>
        <w:ind w:left="1603" w:hanging="440"/>
      </w:pPr>
      <w:rPr>
        <w:rFonts w:hint="default" w:ascii="Wingdings" w:hAnsi="Wingdings"/>
      </w:rPr>
    </w:lvl>
    <w:lvl w:ilvl="3" w:tentative="0">
      <w:start w:val="1"/>
      <w:numFmt w:val="bullet"/>
      <w:lvlText w:val=""/>
      <w:lvlJc w:val="left"/>
      <w:pPr>
        <w:ind w:left="2043" w:hanging="440"/>
      </w:pPr>
      <w:rPr>
        <w:rFonts w:hint="default" w:ascii="Wingdings" w:hAnsi="Wingdings"/>
      </w:rPr>
    </w:lvl>
    <w:lvl w:ilvl="4" w:tentative="0">
      <w:start w:val="1"/>
      <w:numFmt w:val="bullet"/>
      <w:lvlText w:val=""/>
      <w:lvlJc w:val="left"/>
      <w:pPr>
        <w:ind w:left="2483" w:hanging="440"/>
      </w:pPr>
      <w:rPr>
        <w:rFonts w:hint="default" w:ascii="Wingdings" w:hAnsi="Wingdings"/>
      </w:rPr>
    </w:lvl>
    <w:lvl w:ilvl="5" w:tentative="0">
      <w:start w:val="1"/>
      <w:numFmt w:val="bullet"/>
      <w:lvlText w:val=""/>
      <w:lvlJc w:val="left"/>
      <w:pPr>
        <w:ind w:left="2923" w:hanging="440"/>
      </w:pPr>
      <w:rPr>
        <w:rFonts w:hint="default" w:ascii="Wingdings" w:hAnsi="Wingdings"/>
      </w:rPr>
    </w:lvl>
    <w:lvl w:ilvl="6" w:tentative="0">
      <w:start w:val="1"/>
      <w:numFmt w:val="bullet"/>
      <w:lvlText w:val=""/>
      <w:lvlJc w:val="left"/>
      <w:pPr>
        <w:ind w:left="3363" w:hanging="440"/>
      </w:pPr>
      <w:rPr>
        <w:rFonts w:hint="default" w:ascii="Wingdings" w:hAnsi="Wingdings"/>
      </w:rPr>
    </w:lvl>
    <w:lvl w:ilvl="7" w:tentative="0">
      <w:start w:val="1"/>
      <w:numFmt w:val="bullet"/>
      <w:lvlText w:val=""/>
      <w:lvlJc w:val="left"/>
      <w:pPr>
        <w:ind w:left="3803" w:hanging="440"/>
      </w:pPr>
      <w:rPr>
        <w:rFonts w:hint="default" w:ascii="Wingdings" w:hAnsi="Wingdings"/>
      </w:rPr>
    </w:lvl>
    <w:lvl w:ilvl="8" w:tentative="0">
      <w:start w:val="1"/>
      <w:numFmt w:val="bullet"/>
      <w:lvlText w:val=""/>
      <w:lvlJc w:val="left"/>
      <w:pPr>
        <w:ind w:left="4243" w:hanging="440"/>
      </w:pPr>
      <w:rPr>
        <w:rFonts w:hint="default" w:ascii="Wingdings" w:hAnsi="Wingdings"/>
      </w:rPr>
    </w:lvl>
  </w:abstractNum>
  <w:abstractNum w:abstractNumId="33">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3"/>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3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neeb49zC47A5QN7xHI3dLXtfAYbAwleBHqhLX+SA4uFoYnA34o94Pi5FbZQF9c0gLnB1MnnIooRi0KE+nGaV8w==" w:salt="1+Uia+SiwCstq8v3oNi31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3MDYyMzExZTRhM2JiYWRmY2VlNTdiMWFmYzIxNjkifQ=="/>
  </w:docVars>
  <w:rsids>
    <w:rsidRoot w:val="00BE48D0"/>
    <w:rsid w:val="0000040A"/>
    <w:rsid w:val="00000A94"/>
    <w:rsid w:val="00001972"/>
    <w:rsid w:val="00001D9A"/>
    <w:rsid w:val="00007B3A"/>
    <w:rsid w:val="000107E0"/>
    <w:rsid w:val="00011FDE"/>
    <w:rsid w:val="00012FFD"/>
    <w:rsid w:val="00014162"/>
    <w:rsid w:val="00014340"/>
    <w:rsid w:val="0001452F"/>
    <w:rsid w:val="00016A9C"/>
    <w:rsid w:val="00022184"/>
    <w:rsid w:val="00022762"/>
    <w:rsid w:val="000238E0"/>
    <w:rsid w:val="000249DB"/>
    <w:rsid w:val="0002595E"/>
    <w:rsid w:val="000303C3"/>
    <w:rsid w:val="000331D3"/>
    <w:rsid w:val="000346A5"/>
    <w:rsid w:val="000357EA"/>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AD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CD8"/>
    <w:rsid w:val="00113B1E"/>
    <w:rsid w:val="0011711C"/>
    <w:rsid w:val="00117AE6"/>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AE9"/>
    <w:rsid w:val="001A4BAF"/>
    <w:rsid w:val="001A4CF3"/>
    <w:rsid w:val="001B06E8"/>
    <w:rsid w:val="001B71D0"/>
    <w:rsid w:val="001B71EE"/>
    <w:rsid w:val="001C04A8"/>
    <w:rsid w:val="001C2C03"/>
    <w:rsid w:val="001C42F7"/>
    <w:rsid w:val="001C45A6"/>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65D"/>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88C"/>
    <w:rsid w:val="00233D64"/>
    <w:rsid w:val="0023482A"/>
    <w:rsid w:val="002359CB"/>
    <w:rsid w:val="00243540"/>
    <w:rsid w:val="00243946"/>
    <w:rsid w:val="0024497B"/>
    <w:rsid w:val="0024515B"/>
    <w:rsid w:val="00246021"/>
    <w:rsid w:val="0024666E"/>
    <w:rsid w:val="00247F52"/>
    <w:rsid w:val="00250B25"/>
    <w:rsid w:val="00250BBE"/>
    <w:rsid w:val="002515C2"/>
    <w:rsid w:val="0025194F"/>
    <w:rsid w:val="002523EA"/>
    <w:rsid w:val="0026148A"/>
    <w:rsid w:val="00261EF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7BF"/>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A7"/>
    <w:rsid w:val="003705F4"/>
    <w:rsid w:val="00370D58"/>
    <w:rsid w:val="00371316"/>
    <w:rsid w:val="00376713"/>
    <w:rsid w:val="003767CA"/>
    <w:rsid w:val="00380028"/>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41B"/>
    <w:rsid w:val="003A4077"/>
    <w:rsid w:val="003A6A15"/>
    <w:rsid w:val="003A7E83"/>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498"/>
    <w:rsid w:val="003F3F08"/>
    <w:rsid w:val="003F49F1"/>
    <w:rsid w:val="003F6272"/>
    <w:rsid w:val="00400E72"/>
    <w:rsid w:val="00401400"/>
    <w:rsid w:val="00404869"/>
    <w:rsid w:val="00405884"/>
    <w:rsid w:val="00407D39"/>
    <w:rsid w:val="0041477A"/>
    <w:rsid w:val="004167A3"/>
    <w:rsid w:val="0043228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47F"/>
    <w:rsid w:val="004746B1"/>
    <w:rsid w:val="0047583F"/>
    <w:rsid w:val="00475DE8"/>
    <w:rsid w:val="00481C44"/>
    <w:rsid w:val="00484936"/>
    <w:rsid w:val="00485C89"/>
    <w:rsid w:val="00486BE3"/>
    <w:rsid w:val="004905E4"/>
    <w:rsid w:val="00490A89"/>
    <w:rsid w:val="00490AB4"/>
    <w:rsid w:val="00492F02"/>
    <w:rsid w:val="004931F4"/>
    <w:rsid w:val="004939AE"/>
    <w:rsid w:val="004A12DF"/>
    <w:rsid w:val="004A17E6"/>
    <w:rsid w:val="004A1BA8"/>
    <w:rsid w:val="004A3413"/>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509"/>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62A"/>
    <w:rsid w:val="00555044"/>
    <w:rsid w:val="00561475"/>
    <w:rsid w:val="0056487B"/>
    <w:rsid w:val="00564FB9"/>
    <w:rsid w:val="00565AF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2B5"/>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4F1"/>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F4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B0"/>
    <w:rsid w:val="00704387"/>
    <w:rsid w:val="00707669"/>
    <w:rsid w:val="00711CBA"/>
    <w:rsid w:val="00711FB5"/>
    <w:rsid w:val="00712A01"/>
    <w:rsid w:val="00714F58"/>
    <w:rsid w:val="00722FBF"/>
    <w:rsid w:val="00722FC2"/>
    <w:rsid w:val="00724879"/>
    <w:rsid w:val="00724E1B"/>
    <w:rsid w:val="00725949"/>
    <w:rsid w:val="00727FA2"/>
    <w:rsid w:val="007322D9"/>
    <w:rsid w:val="00732B42"/>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F17"/>
    <w:rsid w:val="00765C43"/>
    <w:rsid w:val="00765EFB"/>
    <w:rsid w:val="007671CA"/>
    <w:rsid w:val="00767C61"/>
    <w:rsid w:val="0077008A"/>
    <w:rsid w:val="00773C1F"/>
    <w:rsid w:val="00774DA4"/>
    <w:rsid w:val="00776599"/>
    <w:rsid w:val="0078114B"/>
    <w:rsid w:val="00781DD2"/>
    <w:rsid w:val="00783ECF"/>
    <w:rsid w:val="0078413A"/>
    <w:rsid w:val="00784E20"/>
    <w:rsid w:val="007959E8"/>
    <w:rsid w:val="00795E9C"/>
    <w:rsid w:val="00796D69"/>
    <w:rsid w:val="007A0521"/>
    <w:rsid w:val="007A2E12"/>
    <w:rsid w:val="007A3475"/>
    <w:rsid w:val="007A41C8"/>
    <w:rsid w:val="007A54CE"/>
    <w:rsid w:val="007A6FD9"/>
    <w:rsid w:val="007A7FFA"/>
    <w:rsid w:val="007B04EB"/>
    <w:rsid w:val="007B0D4F"/>
    <w:rsid w:val="007B5A3D"/>
    <w:rsid w:val="007B5B95"/>
    <w:rsid w:val="007B68EA"/>
    <w:rsid w:val="007B7453"/>
    <w:rsid w:val="007C09B5"/>
    <w:rsid w:val="007C18D1"/>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1FA"/>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FD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AE9"/>
    <w:rsid w:val="00921CB4"/>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FE4"/>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8B8"/>
    <w:rsid w:val="00A06A6B"/>
    <w:rsid w:val="00A07E47"/>
    <w:rsid w:val="00A11D44"/>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135"/>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78C"/>
    <w:rsid w:val="00AF47C5"/>
    <w:rsid w:val="00AF5398"/>
    <w:rsid w:val="00B049AF"/>
    <w:rsid w:val="00B07242"/>
    <w:rsid w:val="00B10534"/>
    <w:rsid w:val="00B113DB"/>
    <w:rsid w:val="00B11D8A"/>
    <w:rsid w:val="00B12981"/>
    <w:rsid w:val="00B147DD"/>
    <w:rsid w:val="00B156FD"/>
    <w:rsid w:val="00B16686"/>
    <w:rsid w:val="00B21F61"/>
    <w:rsid w:val="00B261F1"/>
    <w:rsid w:val="00B265BC"/>
    <w:rsid w:val="00B31FB1"/>
    <w:rsid w:val="00B33952"/>
    <w:rsid w:val="00B33C5E"/>
    <w:rsid w:val="00B342F4"/>
    <w:rsid w:val="00B34369"/>
    <w:rsid w:val="00B34DC2"/>
    <w:rsid w:val="00B35A62"/>
    <w:rsid w:val="00B378E5"/>
    <w:rsid w:val="00B4346D"/>
    <w:rsid w:val="00B440F4"/>
    <w:rsid w:val="00B447A5"/>
    <w:rsid w:val="00B4654C"/>
    <w:rsid w:val="00B46AF0"/>
    <w:rsid w:val="00B47293"/>
    <w:rsid w:val="00B50E50"/>
    <w:rsid w:val="00B52120"/>
    <w:rsid w:val="00B54ABC"/>
    <w:rsid w:val="00B54DDE"/>
    <w:rsid w:val="00B56FBE"/>
    <w:rsid w:val="00B60ACF"/>
    <w:rsid w:val="00B62559"/>
    <w:rsid w:val="00B62B58"/>
    <w:rsid w:val="00B65149"/>
    <w:rsid w:val="00B66567"/>
    <w:rsid w:val="00B66A07"/>
    <w:rsid w:val="00B66F52"/>
    <w:rsid w:val="00B66FE5"/>
    <w:rsid w:val="00B72880"/>
    <w:rsid w:val="00B758BF"/>
    <w:rsid w:val="00B77EC8"/>
    <w:rsid w:val="00B827A6"/>
    <w:rsid w:val="00B831CE"/>
    <w:rsid w:val="00B86677"/>
    <w:rsid w:val="00B87131"/>
    <w:rsid w:val="00B939B1"/>
    <w:rsid w:val="00B9610A"/>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8D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532"/>
    <w:rsid w:val="00C521D6"/>
    <w:rsid w:val="00C55232"/>
    <w:rsid w:val="00C553A4"/>
    <w:rsid w:val="00C55A06"/>
    <w:rsid w:val="00C55D03"/>
    <w:rsid w:val="00C601BC"/>
    <w:rsid w:val="00C6329F"/>
    <w:rsid w:val="00C63340"/>
    <w:rsid w:val="00C643F9"/>
    <w:rsid w:val="00C64E95"/>
    <w:rsid w:val="00C70FA8"/>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76D3"/>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726"/>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6071"/>
    <w:rsid w:val="00D6636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545"/>
    <w:rsid w:val="00DB38EE"/>
    <w:rsid w:val="00DB498B"/>
    <w:rsid w:val="00DB66CA"/>
    <w:rsid w:val="00DB6BCA"/>
    <w:rsid w:val="00DB73F7"/>
    <w:rsid w:val="00DC0321"/>
    <w:rsid w:val="00DC3067"/>
    <w:rsid w:val="00DC370B"/>
    <w:rsid w:val="00DC5B90"/>
    <w:rsid w:val="00DC757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17A"/>
    <w:rsid w:val="00E52EFD"/>
    <w:rsid w:val="00E5408A"/>
    <w:rsid w:val="00E56800"/>
    <w:rsid w:val="00E60C63"/>
    <w:rsid w:val="00E62FF9"/>
    <w:rsid w:val="00E635D6"/>
    <w:rsid w:val="00E639BC"/>
    <w:rsid w:val="00E664CC"/>
    <w:rsid w:val="00E70388"/>
    <w:rsid w:val="00E70F92"/>
    <w:rsid w:val="00E7191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47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CC0"/>
    <w:rsid w:val="00EF3235"/>
    <w:rsid w:val="00EF7E72"/>
    <w:rsid w:val="00F06D37"/>
    <w:rsid w:val="00F07B9D"/>
    <w:rsid w:val="00F11586"/>
    <w:rsid w:val="00F1183B"/>
    <w:rsid w:val="00F11C9F"/>
    <w:rsid w:val="00F12263"/>
    <w:rsid w:val="00F134E5"/>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E4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FC1"/>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0753F"/>
    <w:rsid w:val="02CB7F49"/>
    <w:rsid w:val="041963BB"/>
    <w:rsid w:val="04360A37"/>
    <w:rsid w:val="056F1060"/>
    <w:rsid w:val="065364CF"/>
    <w:rsid w:val="06D961E4"/>
    <w:rsid w:val="0768022C"/>
    <w:rsid w:val="098D0659"/>
    <w:rsid w:val="0A504BEF"/>
    <w:rsid w:val="0DC42165"/>
    <w:rsid w:val="0E097CEF"/>
    <w:rsid w:val="0EF4547A"/>
    <w:rsid w:val="0F3A26DF"/>
    <w:rsid w:val="1010343F"/>
    <w:rsid w:val="107B798B"/>
    <w:rsid w:val="120704B3"/>
    <w:rsid w:val="12BD2877"/>
    <w:rsid w:val="13A40DD7"/>
    <w:rsid w:val="147026FF"/>
    <w:rsid w:val="15805CC9"/>
    <w:rsid w:val="15BC5202"/>
    <w:rsid w:val="15DC45FD"/>
    <w:rsid w:val="17EB3CBB"/>
    <w:rsid w:val="19461C80"/>
    <w:rsid w:val="1A496EF9"/>
    <w:rsid w:val="1A4F2DB6"/>
    <w:rsid w:val="1ADC6D40"/>
    <w:rsid w:val="1AFC7398"/>
    <w:rsid w:val="1B1A121B"/>
    <w:rsid w:val="1B507AEB"/>
    <w:rsid w:val="1C08430B"/>
    <w:rsid w:val="1C590EBE"/>
    <w:rsid w:val="1E9A58A6"/>
    <w:rsid w:val="1F8A67C2"/>
    <w:rsid w:val="1FB03E0F"/>
    <w:rsid w:val="206C1E08"/>
    <w:rsid w:val="22C915C8"/>
    <w:rsid w:val="230E7CB2"/>
    <w:rsid w:val="239A7550"/>
    <w:rsid w:val="254C4AC2"/>
    <w:rsid w:val="257D1F44"/>
    <w:rsid w:val="258C2B0A"/>
    <w:rsid w:val="26982DBF"/>
    <w:rsid w:val="271D6716"/>
    <w:rsid w:val="278E316A"/>
    <w:rsid w:val="27FE232B"/>
    <w:rsid w:val="285D48A0"/>
    <w:rsid w:val="293F7F56"/>
    <w:rsid w:val="29901AD4"/>
    <w:rsid w:val="29F174FC"/>
    <w:rsid w:val="2A4E6BE6"/>
    <w:rsid w:val="2A9F6AE3"/>
    <w:rsid w:val="2AD01CF1"/>
    <w:rsid w:val="2AF95FAD"/>
    <w:rsid w:val="2D26573B"/>
    <w:rsid w:val="2E5F7614"/>
    <w:rsid w:val="2F1E025C"/>
    <w:rsid w:val="2FAC234A"/>
    <w:rsid w:val="31B27E1D"/>
    <w:rsid w:val="32101599"/>
    <w:rsid w:val="33A44E48"/>
    <w:rsid w:val="342015F4"/>
    <w:rsid w:val="347D40B1"/>
    <w:rsid w:val="364D2448"/>
    <w:rsid w:val="367B576D"/>
    <w:rsid w:val="3720190B"/>
    <w:rsid w:val="37D90437"/>
    <w:rsid w:val="38DB74DA"/>
    <w:rsid w:val="3A9A4755"/>
    <w:rsid w:val="3AC4360F"/>
    <w:rsid w:val="3AFE5C11"/>
    <w:rsid w:val="3B0D7EC0"/>
    <w:rsid w:val="3B7A39C8"/>
    <w:rsid w:val="3C586D82"/>
    <w:rsid w:val="3D1344A7"/>
    <w:rsid w:val="3D474EA5"/>
    <w:rsid w:val="3DE03BA2"/>
    <w:rsid w:val="3E1675C3"/>
    <w:rsid w:val="3E3672E3"/>
    <w:rsid w:val="3F03223E"/>
    <w:rsid w:val="3F402B4A"/>
    <w:rsid w:val="3FCF73C6"/>
    <w:rsid w:val="4050500F"/>
    <w:rsid w:val="408633C2"/>
    <w:rsid w:val="40AF01AD"/>
    <w:rsid w:val="41017A79"/>
    <w:rsid w:val="413E6F64"/>
    <w:rsid w:val="42BA19DD"/>
    <w:rsid w:val="4337755D"/>
    <w:rsid w:val="45815C6A"/>
    <w:rsid w:val="45AA6F6F"/>
    <w:rsid w:val="46C6427C"/>
    <w:rsid w:val="4716784A"/>
    <w:rsid w:val="48272AF9"/>
    <w:rsid w:val="48567212"/>
    <w:rsid w:val="4A582E50"/>
    <w:rsid w:val="4A5D6DF6"/>
    <w:rsid w:val="4ABD2016"/>
    <w:rsid w:val="4B9F5E20"/>
    <w:rsid w:val="4EA16178"/>
    <w:rsid w:val="4F4B0A14"/>
    <w:rsid w:val="4F794D58"/>
    <w:rsid w:val="51642065"/>
    <w:rsid w:val="51AB6549"/>
    <w:rsid w:val="531700B6"/>
    <w:rsid w:val="55445697"/>
    <w:rsid w:val="56186177"/>
    <w:rsid w:val="56967D4A"/>
    <w:rsid w:val="56C279BA"/>
    <w:rsid w:val="580274A8"/>
    <w:rsid w:val="586F1E4F"/>
    <w:rsid w:val="58A97AA0"/>
    <w:rsid w:val="59577BD8"/>
    <w:rsid w:val="59F31D91"/>
    <w:rsid w:val="5A953A4E"/>
    <w:rsid w:val="5B3475AF"/>
    <w:rsid w:val="5C460DFF"/>
    <w:rsid w:val="5CC20BEA"/>
    <w:rsid w:val="5D1D6FCD"/>
    <w:rsid w:val="5D83037A"/>
    <w:rsid w:val="5EE65064"/>
    <w:rsid w:val="5F933D87"/>
    <w:rsid w:val="61756F5A"/>
    <w:rsid w:val="61761FA3"/>
    <w:rsid w:val="617A1A94"/>
    <w:rsid w:val="61E11B13"/>
    <w:rsid w:val="631167A4"/>
    <w:rsid w:val="64485E79"/>
    <w:rsid w:val="65C46ACA"/>
    <w:rsid w:val="67773A18"/>
    <w:rsid w:val="67E52011"/>
    <w:rsid w:val="692D004E"/>
    <w:rsid w:val="699E4FA8"/>
    <w:rsid w:val="6A0C2AB7"/>
    <w:rsid w:val="6AC91605"/>
    <w:rsid w:val="6B1116BB"/>
    <w:rsid w:val="6D003795"/>
    <w:rsid w:val="6E1814A6"/>
    <w:rsid w:val="6EA278B9"/>
    <w:rsid w:val="6F2D45E9"/>
    <w:rsid w:val="6FD24AF2"/>
    <w:rsid w:val="71052712"/>
    <w:rsid w:val="71D64AC4"/>
    <w:rsid w:val="72520F90"/>
    <w:rsid w:val="74816EB6"/>
    <w:rsid w:val="7494275B"/>
    <w:rsid w:val="753541F8"/>
    <w:rsid w:val="7694046D"/>
    <w:rsid w:val="76CA3830"/>
    <w:rsid w:val="770C71DA"/>
    <w:rsid w:val="77A978D2"/>
    <w:rsid w:val="78177BE5"/>
    <w:rsid w:val="79116D2A"/>
    <w:rsid w:val="793E6BD1"/>
    <w:rsid w:val="79584959"/>
    <w:rsid w:val="7B252618"/>
    <w:rsid w:val="7B2C1D83"/>
    <w:rsid w:val="7B4231CA"/>
    <w:rsid w:val="7CF1691A"/>
    <w:rsid w:val="7FCA030F"/>
    <w:rsid w:val="7FD43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uiPriority w:val="0"/>
    <w:rPr>
      <w:rFonts w:ascii="宋体"/>
      <w:sz w:val="21"/>
    </w:rPr>
  </w:style>
  <w:style w:type="paragraph" w:customStyle="1" w:styleId="232">
    <w:name w:val="一级条标题"/>
    <w:next w:val="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1"/>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1"/>
    <w:uiPriority w:val="0"/>
    <w:pPr>
      <w:numPr>
        <w:ilvl w:val="2"/>
      </w:numPr>
      <w:spacing w:before="50" w:after="50"/>
      <w:outlineLvl w:val="3"/>
    </w:pPr>
  </w:style>
  <w:style w:type="paragraph" w:customStyle="1" w:styleId="235">
    <w:name w:val="三级条标题"/>
    <w:basedOn w:val="234"/>
    <w:next w:val="1"/>
    <w:qFormat/>
    <w:uiPriority w:val="0"/>
    <w:pPr>
      <w:numPr>
        <w:ilvl w:val="3"/>
      </w:numPr>
      <w:outlineLvl w:val="4"/>
    </w:pPr>
  </w:style>
  <w:style w:type="paragraph" w:customStyle="1" w:styleId="236">
    <w:name w:val="四级条标题"/>
    <w:basedOn w:val="235"/>
    <w:next w:val="1"/>
    <w:uiPriority w:val="0"/>
    <w:pPr>
      <w:numPr>
        <w:ilvl w:val="4"/>
      </w:numPr>
      <w:outlineLvl w:val="5"/>
    </w:pPr>
  </w:style>
  <w:style w:type="paragraph" w:customStyle="1" w:styleId="237">
    <w:name w:val="二级条"/>
    <w:basedOn w:val="1"/>
    <w:next w:val="1"/>
    <w:qFormat/>
    <w:uiPriority w:val="0"/>
    <w:pPr>
      <w:widowControl/>
      <w:numPr>
        <w:ilvl w:val="5"/>
        <w:numId w:val="32"/>
      </w:numPr>
      <w:adjustRightInd/>
      <w:spacing w:line="240" w:lineRule="auto"/>
      <w:jc w:val="left"/>
      <w:outlineLvl w:val="6"/>
    </w:pPr>
    <w:rPr>
      <w:rFonts w:ascii="宋体" w:hAnsi="Times New Roman"/>
      <w:kern w:val="0"/>
    </w:rPr>
  </w:style>
  <w:style w:type="paragraph" w:customStyle="1" w:styleId="238">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9">
    <w:name w:val="字母编号列项（一级）"/>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40">
    <w:name w:val="编号列项（三级）"/>
    <w:uiPriority w:val="0"/>
    <w:pPr>
      <w:tabs>
        <w:tab w:val="left" w:pos="0"/>
      </w:tabs>
      <w:ind w:left="1679" w:hanging="420"/>
    </w:pPr>
    <w:rPr>
      <w:rFonts w:ascii="宋体" w:hAnsi="Times New Roman" w:eastAsia="宋体" w:cs="Times New Roman"/>
      <w:sz w:val="21"/>
      <w:lang w:val="en-US" w:eastAsia="zh-CN" w:bidi="ar-SA"/>
    </w:rPr>
  </w:style>
  <w:style w:type="paragraph" w:styleId="241">
    <w:name w:val="List Paragraph"/>
    <w:basedOn w:val="1"/>
    <w:uiPriority w:val="99"/>
    <w:pPr>
      <w:adjustRightInd/>
      <w:spacing w:line="240" w:lineRule="auto"/>
      <w:ind w:firstLine="420" w:firstLineChars="200"/>
    </w:pPr>
    <w:rPr>
      <w:rFonts w:ascii="Times New Roman" w:hAnsi="Times New Roman"/>
      <w:szCs w:val="24"/>
    </w:rPr>
  </w:style>
  <w:style w:type="table" w:customStyle="1" w:styleId="24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C6507B8E1149179C64770CF7E998AE"/>
        <w:style w:val=""/>
        <w:category>
          <w:name w:val="常规"/>
          <w:gallery w:val="placeholder"/>
        </w:category>
        <w:types>
          <w:type w:val="bbPlcHdr"/>
        </w:types>
        <w:behaviors>
          <w:behavior w:val="content"/>
        </w:behaviors>
        <w:description w:val=""/>
        <w:guid w:val="{EF4AF17B-D7BF-4DD4-BEAC-E032E955EE07}"/>
      </w:docPartPr>
      <w:docPartBody>
        <w:p w14:paraId="49F0D9D0">
          <w:pPr>
            <w:pStyle w:val="5"/>
            <w:rPr>
              <w:rFonts w:hint="eastAsia"/>
            </w:rPr>
          </w:pPr>
          <w:r>
            <w:rPr>
              <w:rStyle w:val="4"/>
              <w:rFonts w:hint="eastAsia"/>
            </w:rPr>
            <w:t>单击或点击此处输入文字。</w:t>
          </w:r>
        </w:p>
      </w:docPartBody>
    </w:docPart>
    <w:docPart>
      <w:docPartPr>
        <w:name w:val="9583EE8FD3A34D9F9E306B04F2D9160C"/>
        <w:style w:val=""/>
        <w:category>
          <w:name w:val="常规"/>
          <w:gallery w:val="placeholder"/>
        </w:category>
        <w:types>
          <w:type w:val="bbPlcHdr"/>
        </w:types>
        <w:behaviors>
          <w:behavior w:val="content"/>
        </w:behaviors>
        <w:description w:val=""/>
        <w:guid w:val="{4EFF2C88-B67B-4C83-95C1-0DCE65C11C33}"/>
      </w:docPartPr>
      <w:docPartBody>
        <w:p w14:paraId="64353A2E">
          <w:pPr>
            <w:pStyle w:val="6"/>
            <w:rPr>
              <w:rFonts w:hint="eastAsia"/>
            </w:rPr>
          </w:pPr>
          <w:r>
            <w:rPr>
              <w:rStyle w:val="4"/>
              <w:rFonts w:hint="eastAsia"/>
            </w:rPr>
            <w:t>选择一项。</w:t>
          </w:r>
        </w:p>
      </w:docPartBody>
    </w:docPart>
    <w:docPart>
      <w:docPartPr>
        <w:name w:val="AE6C07D2A04A4A81823E615F253A3DEB"/>
        <w:style w:val=""/>
        <w:category>
          <w:name w:val="常规"/>
          <w:gallery w:val="placeholder"/>
        </w:category>
        <w:types>
          <w:type w:val="bbPlcHdr"/>
        </w:types>
        <w:behaviors>
          <w:behavior w:val="content"/>
        </w:behaviors>
        <w:description w:val=""/>
        <w:guid w:val="{FD3FB4FE-75A1-4A44-B96B-FE74A059BE96}"/>
      </w:docPartPr>
      <w:docPartBody>
        <w:p w14:paraId="0FCE421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411"/>
    <w:rsid w:val="002B6CF4"/>
    <w:rsid w:val="003657F9"/>
    <w:rsid w:val="00380028"/>
    <w:rsid w:val="00763F17"/>
    <w:rsid w:val="00765411"/>
    <w:rsid w:val="00834BF0"/>
    <w:rsid w:val="00B1095C"/>
    <w:rsid w:val="00C70FA8"/>
    <w:rsid w:val="00DF5951"/>
    <w:rsid w:val="00EF0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7C6507B8E1149179C64770CF7E998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583EE8FD3A34D9F9E306B04F2D916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E6C07D2A04A4A81823E615F253A3DE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5042</Words>
  <Characters>5467</Characters>
  <Lines>42</Lines>
  <Paragraphs>12</Paragraphs>
  <TotalTime>2</TotalTime>
  <ScaleCrop>false</ScaleCrop>
  <LinksUpToDate>false</LinksUpToDate>
  <CharactersWithSpaces>5589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2025-02-02T01:28:00Z</dcterms:created>
  <dc:creator>张莹</dc:creator>
  <dc:description>&lt;config cover="true" show_menu="true" version="1.0.0" doctype="SDKXY"&gt;_x000d_
&lt;/config&gt;</dc:description>
  <cp:lastModifiedBy>宁静致远</cp:lastModifiedBy>
  <cp:lastPrinted>2020-08-30T10:00:00Z</cp:lastPrinted>
  <dcterms:modified xsi:type="dcterms:W3CDTF">2025-03-12T07:33:04Z</dcterms:modified>
  <dc:title>地方标准</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CDD6D1B99A5E4630A1AED0AD977FFD7E_13</vt:lpwstr>
  </property>
  <property fmtid="{D5CDD505-2E9C-101B-9397-08002B2CF9AE}" pid="16" name="KSOTemplateDocerSaveRecord">
    <vt:lpwstr>eyJoZGlkIjoiZTQyZTE3MGY1MDhkMDk3NDYwZWE4MmU3MjU3YmY5YzIiLCJ1c2VySWQiOiI0Mzc3OTg0OTQifQ==</vt:lpwstr>
  </property>
</Properties>
</file>