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2</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pPr>
      <w:r>
        <w:rPr>
          <w:rFonts w:hint="eastAsia" w:eastAsia="方正小标宋简体" w:cs="Times New Roman"/>
          <w:color w:val="000000"/>
          <w:sz w:val="44"/>
          <w:szCs w:val="44"/>
          <w:lang w:eastAsia="zh-CN"/>
        </w:rPr>
        <w:t>起草说明</w:t>
      </w:r>
    </w:p>
    <w:p>
      <w:pPr>
        <w:spacing w:line="600" w:lineRule="exact"/>
        <w:rPr>
          <w:rFonts w:ascii="Times New Roman" w:hAnsi="Times New Roman" w:eastAsia="仿宋_GB2312" w:cs="Nimbus Roman"/>
          <w:color w:val="000000" w:themeColor="text1"/>
          <w:sz w:val="32"/>
          <w:szCs w:val="32"/>
          <w14:textFill>
            <w14:solidFill>
              <w14:schemeClr w14:val="tx1"/>
            </w14:solidFill>
          </w14:textFill>
        </w:rPr>
      </w:pPr>
    </w:p>
    <w:p>
      <w:pPr>
        <w:spacing w:line="600" w:lineRule="exact"/>
        <w:ind w:firstLine="640" w:firstLineChars="200"/>
        <w:rPr>
          <w:rFonts w:hint="default" w:ascii="Nimbus Roman" w:hAnsi="Nimbus Roman" w:eastAsia="黑体" w:cs="Nimbus Roman"/>
          <w:color w:val="000000"/>
          <w:sz w:val="32"/>
          <w:szCs w:val="32"/>
          <w:lang w:eastAsia="zh-CN"/>
        </w:rPr>
      </w:pPr>
      <w:r>
        <w:rPr>
          <w:rFonts w:hint="eastAsia" w:ascii="Nimbus Roman" w:hAnsi="Nimbus Roman" w:eastAsia="黑体" w:cs="Nimbus Roman"/>
          <w:color w:val="000000"/>
          <w:sz w:val="32"/>
          <w:szCs w:val="32"/>
          <w:lang w:eastAsia="zh-CN"/>
        </w:rPr>
        <w:t>一、政策背景</w:t>
      </w:r>
    </w:p>
    <w:p>
      <w:pPr>
        <w:spacing w:line="600" w:lineRule="exact"/>
        <w:ind w:firstLine="640" w:firstLineChars="200"/>
        <w:rPr>
          <w:rFonts w:hint="eastAsia" w:ascii="Nimbus Roman" w:hAnsi="Nimbus Roman" w:eastAsia="仿宋_GB2312" w:cs="Nimbus Roman"/>
          <w:color w:val="000000"/>
          <w:sz w:val="32"/>
          <w:szCs w:val="32"/>
          <w:lang w:eastAsia="zh-CN"/>
        </w:rPr>
      </w:pPr>
      <w:r>
        <w:rPr>
          <w:rFonts w:hint="eastAsia" w:ascii="Nimbus Roman" w:hAnsi="Nimbus Roman" w:eastAsia="仿宋_GB2312" w:cs="Nimbus Roman"/>
          <w:color w:val="000000"/>
          <w:sz w:val="32"/>
          <w:szCs w:val="32"/>
          <w:lang w:val="en-US" w:eastAsia="zh-CN"/>
        </w:rPr>
        <w:t>为进一步规范我省医药机构医疗保障协议管理工作，根据《医疗保障基金使用监督管理条例》《广东省医疗机构医疗保障定点管理暂行办法》《广东省零售药店医疗保障定点管理暂行办法》等规章和有关规定，以及国家医疗保障局关于加强医保定点医药机构管理有关工作要求，我局起草了《广东省医药机构医疗保障协议管理经办规程（试行）》（征求意见稿，以下简称《经办规程》）。</w:t>
      </w:r>
    </w:p>
    <w:p>
      <w:pPr>
        <w:spacing w:line="600" w:lineRule="exact"/>
        <w:ind w:firstLine="640" w:firstLineChars="200"/>
        <w:rPr>
          <w:rFonts w:hint="eastAsia" w:ascii="Nimbus Roman" w:hAnsi="Nimbus Roman" w:eastAsia="黑体" w:cs="Nimbus Roman"/>
          <w:color w:val="000000"/>
          <w:sz w:val="32"/>
          <w:szCs w:val="32"/>
          <w:lang w:eastAsia="zh-CN"/>
        </w:rPr>
      </w:pPr>
      <w:r>
        <w:rPr>
          <w:rFonts w:hint="eastAsia" w:ascii="Nimbus Roman" w:hAnsi="Nimbus Roman" w:eastAsia="黑体" w:cs="Nimbus Roman"/>
          <w:color w:val="000000"/>
          <w:sz w:val="32"/>
          <w:szCs w:val="32"/>
          <w:lang w:eastAsia="zh-CN"/>
        </w:rPr>
        <w:t>二、政策依据</w:t>
      </w:r>
    </w:p>
    <w:p>
      <w:pPr>
        <w:spacing w:line="600" w:lineRule="exact"/>
        <w:ind w:firstLine="640" w:firstLineChars="200"/>
        <w:rPr>
          <w:rFonts w:hint="eastAsia" w:ascii="Times New Roman" w:hAnsi="Times New Roman" w:eastAsia="仿宋_GB2312" w:cs="Nimbus Roman"/>
          <w:color w:val="000000" w:themeColor="text1"/>
          <w:sz w:val="32"/>
          <w:szCs w:val="32"/>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（一）</w:t>
      </w:r>
      <w:r>
        <w:rPr>
          <w:rFonts w:hint="eastAsia" w:ascii="Times New Roman" w:hAnsi="Times New Roman" w:eastAsia="仿宋_GB2312" w:cs="Nimbus Roman"/>
          <w:color w:val="000000" w:themeColor="text1"/>
          <w:sz w:val="32"/>
          <w:szCs w:val="32"/>
          <w14:textFill>
            <w14:solidFill>
              <w14:schemeClr w14:val="tx1"/>
            </w14:solidFill>
          </w14:textFill>
        </w:rPr>
        <w:t>《</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医疗保障基金使用监督管理条例</w:t>
      </w:r>
      <w:r>
        <w:rPr>
          <w:rFonts w:hint="eastAsia" w:ascii="Times New Roman" w:hAnsi="Times New Roman" w:eastAsia="仿宋_GB2312" w:cs="Nimbus Roman"/>
          <w:color w:val="000000" w:themeColor="text1"/>
          <w:sz w:val="32"/>
          <w:szCs w:val="32"/>
          <w14:textFill>
            <w14:solidFill>
              <w14:schemeClr w14:val="tx1"/>
            </w14:solidFill>
          </w14:textFill>
        </w:rPr>
        <w:t>》（</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中华人民共和国国务院令第735号</w:t>
      </w:r>
      <w:r>
        <w:rPr>
          <w:rFonts w:hint="eastAsia" w:ascii="Times New Roman" w:hAnsi="Times New Roman" w:eastAsia="仿宋_GB2312" w:cs="Nimbus Roman"/>
          <w:color w:val="000000" w:themeColor="text1"/>
          <w:sz w:val="32"/>
          <w:szCs w:val="32"/>
          <w14:textFill>
            <w14:solidFill>
              <w14:schemeClr w14:val="tx1"/>
            </w14:solidFill>
          </w14:textFill>
        </w:rPr>
        <w:t>）</w:t>
      </w:r>
    </w:p>
    <w:p>
      <w:pPr>
        <w:spacing w:line="600" w:lineRule="exact"/>
        <w:ind w:firstLine="640" w:firstLineChars="200"/>
        <w:rPr>
          <w:rFonts w:hint="eastAsia" w:ascii="Times New Roman" w:hAnsi="Times New Roman" w:eastAsia="仿宋_GB2312" w:cs="Nimbus Roman"/>
          <w:color w:val="000000" w:themeColor="text1"/>
          <w:sz w:val="32"/>
          <w:szCs w:val="32"/>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（二）</w:t>
      </w:r>
      <w:r>
        <w:rPr>
          <w:rFonts w:hint="eastAsia" w:ascii="Times New Roman" w:hAnsi="Times New Roman" w:eastAsia="仿宋_GB2312" w:cs="Nimbus Roman"/>
          <w:color w:val="000000" w:themeColor="text1"/>
          <w:sz w:val="32"/>
          <w:szCs w:val="32"/>
          <w14:textFill>
            <w14:solidFill>
              <w14:schemeClr w14:val="tx1"/>
            </w14:solidFill>
          </w14:textFill>
        </w:rPr>
        <w:t>《广东省医疗保障局关于延长广东省医疗机构医疗保障定点管理暂行办法有效期的通知》（粤医保</w:t>
      </w:r>
      <w:r>
        <w:rPr>
          <w:rFonts w:hint="eastAsia" w:ascii="Times New Roman" w:hAnsi="Times New Roman" w:eastAsia="仿宋_GB2312" w:cs="Nimbus Roman"/>
          <w:color w:val="000000" w:themeColor="text1"/>
          <w:sz w:val="32"/>
          <w:szCs w:val="32"/>
          <w:lang w:eastAsia="zh-CN"/>
          <w14:textFill>
            <w14:solidFill>
              <w14:schemeClr w14:val="tx1"/>
            </w14:solidFill>
          </w14:textFill>
        </w:rPr>
        <w:t>规</w:t>
      </w:r>
      <w:r>
        <w:rPr>
          <w:rFonts w:hint="eastAsia" w:ascii="Times New Roman" w:hAnsi="Times New Roman" w:eastAsia="仿宋_GB2312" w:cs="Nimbus Roman"/>
          <w:color w:val="000000" w:themeColor="text1"/>
          <w:sz w:val="32"/>
          <w:szCs w:val="32"/>
          <w14:textFill>
            <w14:solidFill>
              <w14:schemeClr w14:val="tx1"/>
            </w14:solidFill>
          </w14:textFill>
        </w:rPr>
        <w:t>〔20</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24</w:t>
      </w:r>
      <w:r>
        <w:rPr>
          <w:rFonts w:hint="eastAsia" w:ascii="Times New Roman" w:hAnsi="Times New Roman" w:eastAsia="仿宋_GB2312" w:cs="Nimbus Roman"/>
          <w:color w:val="000000" w:themeColor="text1"/>
          <w:sz w:val="32"/>
          <w:szCs w:val="32"/>
          <w14:textFill>
            <w14:solidFill>
              <w14:schemeClr w14:val="tx1"/>
            </w14:solidFill>
          </w14:textFill>
        </w:rPr>
        <w:t>〕</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Nimbus Roman"/>
          <w:color w:val="000000" w:themeColor="text1"/>
          <w:sz w:val="32"/>
          <w:szCs w:val="32"/>
          <w14:textFill>
            <w14:solidFill>
              <w14:schemeClr w14:val="tx1"/>
            </w14:solidFill>
          </w14:textFill>
        </w:rPr>
        <w:t>号）</w:t>
      </w:r>
    </w:p>
    <w:p>
      <w:pPr>
        <w:ind w:firstLine="640" w:firstLineChars="200"/>
        <w:rPr>
          <w:rFonts w:hint="default"/>
          <w:lang w:val="en-US" w:eastAsia="zh-CN"/>
        </w:rPr>
      </w:pP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（三）</w:t>
      </w:r>
      <w:r>
        <w:rPr>
          <w:rFonts w:hint="eastAsia" w:ascii="Times New Roman" w:hAnsi="Times New Roman" w:eastAsia="仿宋_GB2312" w:cs="仿宋_GB2312"/>
          <w:sz w:val="32"/>
          <w:szCs w:val="32"/>
          <w:lang w:val="zh-CN" w:eastAsia="zh-CN"/>
        </w:rPr>
        <w:t>《广东省医疗保障局关于延长广东省零售药店医疗保障定点管理暂行办法有效期的通知》（粤医保规〔2024〕</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lang w:val="zh-CN" w:eastAsia="zh-CN"/>
        </w:rPr>
        <w:t>号）</w:t>
      </w:r>
    </w:p>
    <w:p>
      <w:pPr>
        <w:pStyle w:val="11"/>
        <w:numPr>
          <w:ilvl w:val="0"/>
          <w:numId w:val="0"/>
        </w:numPr>
        <w:spacing w:line="560" w:lineRule="exact"/>
        <w:ind w:left="630" w:leftChars="0"/>
        <w:rPr>
          <w:rFonts w:ascii="Nimbus Roman" w:hAnsi="Nimbus Roman" w:eastAsia="黑体" w:cs="Nimbus Roman"/>
          <w:color w:val="auto"/>
          <w:sz w:val="32"/>
          <w:szCs w:val="32"/>
        </w:rPr>
      </w:pPr>
      <w:r>
        <w:rPr>
          <w:rFonts w:hint="eastAsia" w:ascii="Nimbus Roman" w:hAnsi="Nimbus Roman" w:eastAsia="黑体" w:cs="Nimbus Roman"/>
          <w:color w:val="auto"/>
          <w:sz w:val="32"/>
          <w:szCs w:val="32"/>
          <w:lang w:eastAsia="zh-CN"/>
        </w:rPr>
        <w:t>三、</w:t>
      </w:r>
      <w:r>
        <w:rPr>
          <w:rFonts w:ascii="Nimbus Roman" w:hAnsi="Nimbus Roman" w:eastAsia="黑体" w:cs="Nimbus Roman"/>
          <w:color w:val="auto"/>
          <w:sz w:val="32"/>
          <w:szCs w:val="32"/>
        </w:rPr>
        <w:t>主要</w:t>
      </w:r>
      <w:r>
        <w:rPr>
          <w:rFonts w:hint="eastAsia" w:ascii="Nimbus Roman" w:hAnsi="Nimbus Roman" w:eastAsia="黑体" w:cs="Nimbus Roman"/>
          <w:color w:val="auto"/>
          <w:sz w:val="32"/>
          <w:szCs w:val="32"/>
          <w:lang w:eastAsia="zh-CN"/>
        </w:rPr>
        <w:t>内容</w:t>
      </w:r>
    </w:p>
    <w:p>
      <w:pPr>
        <w:ind w:firstLine="640" w:firstLineChars="200"/>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《经办规程》</w:t>
      </w:r>
      <w:r>
        <w:rPr>
          <w:rFonts w:hint="eastAsia" w:ascii="Times New Roman" w:hAnsi="Times New Roman" w:eastAsia="仿宋_GB2312" w:cs="仿宋_GB2312"/>
          <w:sz w:val="32"/>
          <w:szCs w:val="32"/>
          <w:lang w:val="en-US" w:eastAsia="zh-CN"/>
        </w:rPr>
        <w:t>共有7章51条。第一章是总则，包括文件依据、主要概念、权责义务、工作分工等8条内容。第二章是定点申请，包括申请范围、申请条件、申请材料、不予受理情形、受理工作要求等14条内容。第三章是组织评估，包括评估时限、评估人员组成、评估内容、评估流程等4条内容。第四章是协议签订，包括协议文本内容、协议签订流程、悬挂定点标识、信息数据维护、信息变更、协议续签等8条内容。第五章是协议履行，包括动态管理机制、监督方式、定点医药机构配合工作要求、修订和补充协议、违约处理等5条内容。第六章协议变更和解除，包括退出机制、中止协议、解除协议、违规违约处理、公开定点信息、争议处理等10条内容。第七章附则，包括制定权限、实施时间等2条内容。</w:t>
      </w:r>
      <w:bookmarkStart w:id="0" w:name="_GoBack"/>
      <w:bookmarkEnd w:id="0"/>
    </w:p>
    <w:p>
      <w:pPr>
        <w:pStyle w:val="11"/>
        <w:numPr>
          <w:ilvl w:val="0"/>
          <w:numId w:val="0"/>
        </w:numPr>
        <w:spacing w:line="560" w:lineRule="exact"/>
        <w:ind w:left="630" w:leftChars="0"/>
        <w:rPr>
          <w:rFonts w:hint="default" w:ascii="Nimbus Roman" w:hAnsi="Nimbus Roman" w:eastAsia="黑体" w:cs="Nimbus Roman"/>
          <w:color w:val="auto"/>
          <w:sz w:val="32"/>
          <w:szCs w:val="32"/>
          <w:lang w:val="en-US" w:eastAsia="zh-CN"/>
        </w:rPr>
      </w:pPr>
      <w:r>
        <w:rPr>
          <w:rFonts w:hint="eastAsia" w:ascii="Nimbus Roman" w:hAnsi="Nimbus Roman" w:eastAsia="黑体" w:cs="Nimbus Roman"/>
          <w:color w:val="auto"/>
          <w:sz w:val="32"/>
          <w:szCs w:val="32"/>
          <w:lang w:val="en-US" w:eastAsia="zh-CN"/>
        </w:rPr>
        <w:t>四</w:t>
      </w:r>
      <w:r>
        <w:rPr>
          <w:rFonts w:hint="default" w:ascii="Nimbus Roman" w:hAnsi="Nimbus Roman" w:eastAsia="黑体" w:cs="Nimbus Roman"/>
          <w:color w:val="auto"/>
          <w:sz w:val="32"/>
          <w:szCs w:val="32"/>
          <w:lang w:val="en-US" w:eastAsia="zh-CN"/>
        </w:rPr>
        <w:t>、主要</w:t>
      </w:r>
      <w:r>
        <w:rPr>
          <w:rFonts w:hint="eastAsia" w:ascii="Nimbus Roman" w:hAnsi="Nimbus Roman" w:eastAsia="黑体" w:cs="Nimbus Roman"/>
          <w:color w:val="auto"/>
          <w:sz w:val="32"/>
          <w:szCs w:val="32"/>
          <w:lang w:val="en-US" w:eastAsia="zh-CN"/>
        </w:rPr>
        <w:t>亮点</w:t>
      </w:r>
    </w:p>
    <w:p>
      <w:pPr>
        <w:numPr>
          <w:ilvl w:val="0"/>
          <w:numId w:val="0"/>
        </w:numPr>
        <w:spacing w:line="600" w:lineRule="exact"/>
        <w:ind w:firstLine="640" w:firstLineChars="200"/>
        <w:rPr>
          <w:rFonts w:hint="default" w:ascii="Times New Roman" w:hAnsi="Times New Roman" w:eastAsia="仿宋_GB2312" w:cs="Nimbus Roman"/>
          <w:color w:val="000000"/>
          <w:sz w:val="32"/>
          <w:szCs w:val="32"/>
          <w:lang w:val="en-US" w:eastAsia="zh-CN"/>
        </w:rPr>
      </w:pPr>
      <w:r>
        <w:rPr>
          <w:rFonts w:hint="default" w:ascii="Times New Roman" w:hAnsi="Times New Roman" w:eastAsia="仿宋_GB2312" w:cs="Nimbus Roman"/>
          <w:color w:val="000000"/>
          <w:sz w:val="32"/>
          <w:szCs w:val="32"/>
          <w:lang w:val="en-US" w:eastAsia="zh-CN"/>
        </w:rPr>
        <w:t>《经办规程》相较目前正在实行的《广东省医疗机构医疗保障定点管理经办规程》《广东省零售药店医疗保障定点管理经办规程》，内容上的主要变化有更新</w:t>
      </w:r>
      <w:r>
        <w:rPr>
          <w:rFonts w:hint="eastAsia" w:ascii="Times New Roman" w:hAnsi="Times New Roman" w:eastAsia="仿宋_GB2312" w:cs="Nimbus Roman"/>
          <w:color w:val="000000"/>
          <w:sz w:val="32"/>
          <w:szCs w:val="32"/>
          <w:lang w:val="en-US" w:eastAsia="zh-CN"/>
        </w:rPr>
        <w:t>医保信息系统管理、医保支付资格等</w:t>
      </w:r>
      <w:r>
        <w:rPr>
          <w:rFonts w:hint="default" w:ascii="Times New Roman" w:hAnsi="Times New Roman" w:eastAsia="仿宋_GB2312" w:cs="Nimbus Roman"/>
          <w:color w:val="000000"/>
          <w:sz w:val="32"/>
          <w:szCs w:val="32"/>
          <w:lang w:val="en-US" w:eastAsia="zh-CN"/>
        </w:rPr>
        <w:t>工作要求，优化新增定点医药机构办理流程，提高医保经办机构服务效能。</w:t>
      </w:r>
    </w:p>
    <w:p>
      <w:pPr>
        <w:numPr>
          <w:ilvl w:val="0"/>
          <w:numId w:val="0"/>
        </w:numPr>
        <w:spacing w:line="600" w:lineRule="exact"/>
        <w:ind w:firstLine="640" w:firstLineChars="200"/>
        <w:rPr>
          <w:rFonts w:hint="default" w:ascii="Times New Roman" w:hAnsi="Times New Roman" w:eastAsia="仿宋_GB2312" w:cs="Nimbus Roman"/>
          <w:color w:val="000000"/>
          <w:sz w:val="32"/>
          <w:szCs w:val="32"/>
          <w:lang w:val="en-US" w:eastAsia="zh-CN"/>
        </w:rPr>
      </w:pPr>
    </w:p>
    <w:sectPr>
      <w:footerReference r:id="rId3" w:type="default"/>
      <w:pgSz w:w="11906" w:h="16838"/>
      <w:pgMar w:top="2098" w:right="1587" w:bottom="2098"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88"/>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仿宋简体">
    <w:altName w:val="方正仿宋_GBK"/>
    <w:panose1 w:val="02010601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w:panose1 w:val="00000500000000000000"/>
    <w:charset w:val="00"/>
    <w:family w:val="auto"/>
    <w:pitch w:val="default"/>
    <w:sig w:usb0="00000287" w:usb1="00000800" w:usb2="00000000" w:usb3="00000000" w:csb0="6000009F" w:csb1="00000000"/>
  </w:font>
  <w:font w:name="汉仪平安行粗简">
    <w:panose1 w:val="00020600040101010101"/>
    <w:charset w:val="86"/>
    <w:family w:val="auto"/>
    <w:pitch w:val="default"/>
    <w:sig w:usb0="A00002BF" w:usb1="18EF7CFA"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Wingdings 3">
    <w:panose1 w:val="050401020108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方正仿宋简体">
    <w:altName w:val="方正仿宋_GBK"/>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1Y2Y4ZWVmNDMwZmY3ZjdmN2U0M2NiODIzMzhhMzAifQ=="/>
  </w:docVars>
  <w:rsids>
    <w:rsidRoot w:val="000A57E0"/>
    <w:rsid w:val="00044C2E"/>
    <w:rsid w:val="000A57E0"/>
    <w:rsid w:val="000B4FC0"/>
    <w:rsid w:val="00104148"/>
    <w:rsid w:val="001C3A90"/>
    <w:rsid w:val="002B079D"/>
    <w:rsid w:val="00304D75"/>
    <w:rsid w:val="003057D6"/>
    <w:rsid w:val="003400CB"/>
    <w:rsid w:val="003C2324"/>
    <w:rsid w:val="003F66D4"/>
    <w:rsid w:val="00436B24"/>
    <w:rsid w:val="00485D05"/>
    <w:rsid w:val="00557288"/>
    <w:rsid w:val="00571227"/>
    <w:rsid w:val="00597486"/>
    <w:rsid w:val="005A70BA"/>
    <w:rsid w:val="005B4144"/>
    <w:rsid w:val="005F4D4B"/>
    <w:rsid w:val="00605939"/>
    <w:rsid w:val="006073EF"/>
    <w:rsid w:val="006B7DEC"/>
    <w:rsid w:val="006F62B5"/>
    <w:rsid w:val="00747A52"/>
    <w:rsid w:val="007C3EE2"/>
    <w:rsid w:val="00882DA8"/>
    <w:rsid w:val="00885451"/>
    <w:rsid w:val="009073A5"/>
    <w:rsid w:val="009344B6"/>
    <w:rsid w:val="009911BA"/>
    <w:rsid w:val="009A111F"/>
    <w:rsid w:val="00A436DA"/>
    <w:rsid w:val="00A83AE7"/>
    <w:rsid w:val="00AF6223"/>
    <w:rsid w:val="00B67C03"/>
    <w:rsid w:val="00BC6A02"/>
    <w:rsid w:val="00BF15A2"/>
    <w:rsid w:val="00BF3F75"/>
    <w:rsid w:val="00CA2552"/>
    <w:rsid w:val="00CC627F"/>
    <w:rsid w:val="00CE2547"/>
    <w:rsid w:val="00D868E5"/>
    <w:rsid w:val="00D904FB"/>
    <w:rsid w:val="00E26749"/>
    <w:rsid w:val="00E441EB"/>
    <w:rsid w:val="00E61F9A"/>
    <w:rsid w:val="00E659AC"/>
    <w:rsid w:val="00F03505"/>
    <w:rsid w:val="00FA561B"/>
    <w:rsid w:val="00FC2528"/>
    <w:rsid w:val="00FF7521"/>
    <w:rsid w:val="01311D17"/>
    <w:rsid w:val="01A8473E"/>
    <w:rsid w:val="03824AAC"/>
    <w:rsid w:val="05761F50"/>
    <w:rsid w:val="06DA3EF0"/>
    <w:rsid w:val="0A1307D7"/>
    <w:rsid w:val="0A480097"/>
    <w:rsid w:val="0CFF367D"/>
    <w:rsid w:val="0FBB1E6E"/>
    <w:rsid w:val="11114515"/>
    <w:rsid w:val="1182036D"/>
    <w:rsid w:val="11C71F12"/>
    <w:rsid w:val="11D3426A"/>
    <w:rsid w:val="16575D9C"/>
    <w:rsid w:val="17272996"/>
    <w:rsid w:val="1A7DDF47"/>
    <w:rsid w:val="1BA87379"/>
    <w:rsid w:val="1BBD5B28"/>
    <w:rsid w:val="1BC32AA9"/>
    <w:rsid w:val="1C7F79C9"/>
    <w:rsid w:val="1CFF70D1"/>
    <w:rsid w:val="1FEEA1F9"/>
    <w:rsid w:val="1FEF3AB2"/>
    <w:rsid w:val="21192AAA"/>
    <w:rsid w:val="217C0ED7"/>
    <w:rsid w:val="234D351C"/>
    <w:rsid w:val="277B360C"/>
    <w:rsid w:val="27AA1FE9"/>
    <w:rsid w:val="28925D46"/>
    <w:rsid w:val="28FF44AC"/>
    <w:rsid w:val="2AD31938"/>
    <w:rsid w:val="2B0319AF"/>
    <w:rsid w:val="2BEF7A55"/>
    <w:rsid w:val="2BFF7F4F"/>
    <w:rsid w:val="2F7782CD"/>
    <w:rsid w:val="2FDB8853"/>
    <w:rsid w:val="2FE39C71"/>
    <w:rsid w:val="3232438D"/>
    <w:rsid w:val="35144DB9"/>
    <w:rsid w:val="357F0F84"/>
    <w:rsid w:val="37740704"/>
    <w:rsid w:val="37D452D1"/>
    <w:rsid w:val="39457F60"/>
    <w:rsid w:val="39470B2A"/>
    <w:rsid w:val="39783F40"/>
    <w:rsid w:val="39DC6C22"/>
    <w:rsid w:val="3A324001"/>
    <w:rsid w:val="3ADFDA6A"/>
    <w:rsid w:val="3AFA99E2"/>
    <w:rsid w:val="3C156351"/>
    <w:rsid w:val="3CDF1EEC"/>
    <w:rsid w:val="3CEF5B74"/>
    <w:rsid w:val="3CFF81B0"/>
    <w:rsid w:val="3D3D4EC9"/>
    <w:rsid w:val="3DA3BB69"/>
    <w:rsid w:val="3DFBC5C2"/>
    <w:rsid w:val="3E90085F"/>
    <w:rsid w:val="3EBF7E72"/>
    <w:rsid w:val="3F7F1DD4"/>
    <w:rsid w:val="3F963D8F"/>
    <w:rsid w:val="3FDB8F39"/>
    <w:rsid w:val="3FE45593"/>
    <w:rsid w:val="40D573E7"/>
    <w:rsid w:val="4136427F"/>
    <w:rsid w:val="44003D81"/>
    <w:rsid w:val="47837708"/>
    <w:rsid w:val="4AEF24D9"/>
    <w:rsid w:val="4B1F0EF2"/>
    <w:rsid w:val="4BDFCA88"/>
    <w:rsid w:val="4E0538DC"/>
    <w:rsid w:val="5087164D"/>
    <w:rsid w:val="50D63AF7"/>
    <w:rsid w:val="524A3FB4"/>
    <w:rsid w:val="536D3D17"/>
    <w:rsid w:val="537E38FB"/>
    <w:rsid w:val="53BDCFDD"/>
    <w:rsid w:val="54534E5F"/>
    <w:rsid w:val="5663FDC4"/>
    <w:rsid w:val="57B9097D"/>
    <w:rsid w:val="58BF0736"/>
    <w:rsid w:val="5B7CF441"/>
    <w:rsid w:val="5D347AD0"/>
    <w:rsid w:val="5DBE5856"/>
    <w:rsid w:val="5DCD9999"/>
    <w:rsid w:val="5E8994EF"/>
    <w:rsid w:val="5F2E11C1"/>
    <w:rsid w:val="5FF701CC"/>
    <w:rsid w:val="5FFED66E"/>
    <w:rsid w:val="5FFF38CA"/>
    <w:rsid w:val="5FFFF977"/>
    <w:rsid w:val="601D24C2"/>
    <w:rsid w:val="63B975BD"/>
    <w:rsid w:val="66FFF68D"/>
    <w:rsid w:val="67FF3FF0"/>
    <w:rsid w:val="67FFE033"/>
    <w:rsid w:val="69BEF020"/>
    <w:rsid w:val="69F60AE9"/>
    <w:rsid w:val="6B77C008"/>
    <w:rsid w:val="6BFEE0F0"/>
    <w:rsid w:val="6C2B319D"/>
    <w:rsid w:val="6CBFEDE3"/>
    <w:rsid w:val="6CFCEA0F"/>
    <w:rsid w:val="6DFE49A6"/>
    <w:rsid w:val="6EAA7D9F"/>
    <w:rsid w:val="6F317C19"/>
    <w:rsid w:val="6F57BE4C"/>
    <w:rsid w:val="6F71E799"/>
    <w:rsid w:val="6F7B9B6B"/>
    <w:rsid w:val="6FCFF403"/>
    <w:rsid w:val="6FDF2C46"/>
    <w:rsid w:val="6FF87DEC"/>
    <w:rsid w:val="6FFBEA1A"/>
    <w:rsid w:val="6FFC191E"/>
    <w:rsid w:val="6FFF7D74"/>
    <w:rsid w:val="71FF22F7"/>
    <w:rsid w:val="72BFC6BF"/>
    <w:rsid w:val="72DE698F"/>
    <w:rsid w:val="735F75D1"/>
    <w:rsid w:val="74EF03DF"/>
    <w:rsid w:val="757AFDA2"/>
    <w:rsid w:val="75F7A419"/>
    <w:rsid w:val="76790A7B"/>
    <w:rsid w:val="767F607C"/>
    <w:rsid w:val="769493BF"/>
    <w:rsid w:val="76ADE600"/>
    <w:rsid w:val="76F9C3D5"/>
    <w:rsid w:val="77A60D1A"/>
    <w:rsid w:val="77CFB1D3"/>
    <w:rsid w:val="7902148D"/>
    <w:rsid w:val="7925600D"/>
    <w:rsid w:val="79B7D700"/>
    <w:rsid w:val="7A3E7DCF"/>
    <w:rsid w:val="7A965476"/>
    <w:rsid w:val="7B3BA6B3"/>
    <w:rsid w:val="7B4EA43E"/>
    <w:rsid w:val="7B6D837C"/>
    <w:rsid w:val="7BEB5F94"/>
    <w:rsid w:val="7BFDFEBB"/>
    <w:rsid w:val="7BFE6220"/>
    <w:rsid w:val="7BFECA70"/>
    <w:rsid w:val="7BFFE282"/>
    <w:rsid w:val="7CEB0AC5"/>
    <w:rsid w:val="7D5D0E2B"/>
    <w:rsid w:val="7D5ECB9C"/>
    <w:rsid w:val="7D65D63E"/>
    <w:rsid w:val="7DBD40A2"/>
    <w:rsid w:val="7DBFBE13"/>
    <w:rsid w:val="7DFF0B35"/>
    <w:rsid w:val="7E33A012"/>
    <w:rsid w:val="7E5D4D48"/>
    <w:rsid w:val="7E7781A5"/>
    <w:rsid w:val="7E7FC47E"/>
    <w:rsid w:val="7ECBC819"/>
    <w:rsid w:val="7EDB5E87"/>
    <w:rsid w:val="7EEF5A65"/>
    <w:rsid w:val="7F3D6956"/>
    <w:rsid w:val="7F3F227A"/>
    <w:rsid w:val="7F5BC226"/>
    <w:rsid w:val="7F5FA603"/>
    <w:rsid w:val="7F7D0A47"/>
    <w:rsid w:val="7FD508BB"/>
    <w:rsid w:val="7FD964A1"/>
    <w:rsid w:val="7FDDA412"/>
    <w:rsid w:val="7FDDECBD"/>
    <w:rsid w:val="7FEF5E64"/>
    <w:rsid w:val="7FF368BC"/>
    <w:rsid w:val="7FF6AC11"/>
    <w:rsid w:val="7FFB40AF"/>
    <w:rsid w:val="7FFBD79D"/>
    <w:rsid w:val="7FFF0C37"/>
    <w:rsid w:val="7FFF2DC9"/>
    <w:rsid w:val="86AD40AA"/>
    <w:rsid w:val="8BF7547E"/>
    <w:rsid w:val="927ED0CC"/>
    <w:rsid w:val="9A5FCFF7"/>
    <w:rsid w:val="9DBFA6D8"/>
    <w:rsid w:val="9FFF54BF"/>
    <w:rsid w:val="AEF242B6"/>
    <w:rsid w:val="B3FD8E97"/>
    <w:rsid w:val="B43F2C4F"/>
    <w:rsid w:val="B5FF2B61"/>
    <w:rsid w:val="B6BDCA4E"/>
    <w:rsid w:val="B7FB3719"/>
    <w:rsid w:val="B9DB6179"/>
    <w:rsid w:val="BA37D40D"/>
    <w:rsid w:val="BB77F5AF"/>
    <w:rsid w:val="BBFF542D"/>
    <w:rsid w:val="BCB200FF"/>
    <w:rsid w:val="BF7F7491"/>
    <w:rsid w:val="BFDD2FB3"/>
    <w:rsid w:val="BFEF5F7F"/>
    <w:rsid w:val="BFEFF2E6"/>
    <w:rsid w:val="BFF6A651"/>
    <w:rsid w:val="CAFECE5F"/>
    <w:rsid w:val="CD7FC08B"/>
    <w:rsid w:val="CFBA4FA0"/>
    <w:rsid w:val="CFFD26D2"/>
    <w:rsid w:val="CFFFB28E"/>
    <w:rsid w:val="D5FEB252"/>
    <w:rsid w:val="D74D3761"/>
    <w:rsid w:val="DBED3176"/>
    <w:rsid w:val="DD5BF2C9"/>
    <w:rsid w:val="DDF7E498"/>
    <w:rsid w:val="DDFE3B85"/>
    <w:rsid w:val="DDFF7048"/>
    <w:rsid w:val="DEFF153A"/>
    <w:rsid w:val="DF9AE382"/>
    <w:rsid w:val="DFA3DEC3"/>
    <w:rsid w:val="DFD76C04"/>
    <w:rsid w:val="DFDB8958"/>
    <w:rsid w:val="DFFB1D92"/>
    <w:rsid w:val="E37FA25D"/>
    <w:rsid w:val="E3BE5657"/>
    <w:rsid w:val="E58687EE"/>
    <w:rsid w:val="E7FEFCA6"/>
    <w:rsid w:val="E9A94260"/>
    <w:rsid w:val="ED4CEE34"/>
    <w:rsid w:val="ED77CC6F"/>
    <w:rsid w:val="EF0F7CEB"/>
    <w:rsid w:val="EFDEEC6A"/>
    <w:rsid w:val="F377CD8D"/>
    <w:rsid w:val="F378D4B5"/>
    <w:rsid w:val="F3FE534D"/>
    <w:rsid w:val="F4F74566"/>
    <w:rsid w:val="F4FA332E"/>
    <w:rsid w:val="F4FEC093"/>
    <w:rsid w:val="F564839F"/>
    <w:rsid w:val="F76DB244"/>
    <w:rsid w:val="F76F3D89"/>
    <w:rsid w:val="F7FD79F2"/>
    <w:rsid w:val="F7FEB75E"/>
    <w:rsid w:val="F9BBC91C"/>
    <w:rsid w:val="FAFBC0A6"/>
    <w:rsid w:val="FBED4BF8"/>
    <w:rsid w:val="FBFB0D26"/>
    <w:rsid w:val="FBFF8FB6"/>
    <w:rsid w:val="FCB7F655"/>
    <w:rsid w:val="FCFE0BC6"/>
    <w:rsid w:val="FDFEE767"/>
    <w:rsid w:val="FDFFC11E"/>
    <w:rsid w:val="FEEF9279"/>
    <w:rsid w:val="FF3DF7C1"/>
    <w:rsid w:val="FF7E0E19"/>
    <w:rsid w:val="FF7FF41F"/>
    <w:rsid w:val="FFA71897"/>
    <w:rsid w:val="FFAE0A70"/>
    <w:rsid w:val="FFBA2840"/>
    <w:rsid w:val="FFBD1FD4"/>
    <w:rsid w:val="FFCFEBA0"/>
    <w:rsid w:val="FFD3E1F1"/>
    <w:rsid w:val="FFDD5F59"/>
    <w:rsid w:val="FFF94EDA"/>
    <w:rsid w:val="FFFBB42D"/>
    <w:rsid w:val="FFFE58BA"/>
    <w:rsid w:val="FFFF3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4">
    <w:name w:val="Normal Indent"/>
    <w:basedOn w:val="1"/>
    <w:qFormat/>
    <w:uiPriority w:val="0"/>
    <w:pPr>
      <w:ind w:firstLine="420" w:firstLineChars="200"/>
    </w:pPr>
    <w:rPr>
      <w:rFonts w:ascii="Times New Roman" w:hAnsi="Times New Roman" w:eastAsia="宋体" w:cs="Times New Roman"/>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Char Char Char Char1 Char Char Char"/>
    <w:basedOn w:val="1"/>
    <w:qFormat/>
    <w:uiPriority w:val="0"/>
    <w:rPr>
      <w:rFonts w:ascii="Times New Roman" w:hAnsi="Times New Roman" w:eastAsia="宋体" w:cs="Times New Roman"/>
      <w:szCs w:val="24"/>
    </w:rPr>
  </w:style>
  <w:style w:type="paragraph" w:styleId="11">
    <w:name w:val="List Paragraph"/>
    <w:basedOn w:val="1"/>
    <w:qFormat/>
    <w:uiPriority w:val="34"/>
    <w:pPr>
      <w:ind w:firstLine="420" w:firstLineChars="200"/>
    </w:pPr>
  </w:style>
  <w:style w:type="paragraph" w:customStyle="1" w:styleId="1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3">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4">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5">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417</Words>
  <Characters>2383</Characters>
  <Lines>19</Lines>
  <Paragraphs>5</Paragraphs>
  <TotalTime>48</TotalTime>
  <ScaleCrop>false</ScaleCrop>
  <LinksUpToDate>false</LinksUpToDate>
  <CharactersWithSpaces>2795</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2022-12-05T01:22:00Z</dcterms:created>
  <dc:creator>He Bingjie</dc:creator>
  <cp:lastModifiedBy>曾学韬</cp:lastModifiedBy>
  <cp:lastPrinted>2025-03-17T16:32:38Z</cp:lastPrinted>
  <dcterms:modified xsi:type="dcterms:W3CDTF">2025-03-17T17:19:12Z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ribbonExt">
    <vt:lpwstr>{"WPSExtOfficeTab":{"OnGetEnabled":false,"OnGetVisible":false}}</vt:lpwstr>
  </property>
  <property fmtid="{D5CDD505-2E9C-101B-9397-08002B2CF9AE}" pid="4" name="ICV">
    <vt:lpwstr>918C434059BD94D32B997F6762113E1B</vt:lpwstr>
  </property>
  <property fmtid="{D5CDD505-2E9C-101B-9397-08002B2CF9AE}" pid="5" name="showFlag">
    <vt:bool>true</vt:bool>
  </property>
  <property fmtid="{D5CDD505-2E9C-101B-9397-08002B2CF9AE}" pid="6" name="userName">
    <vt:lpwstr>陈小玲</vt:lpwstr>
  </property>
</Properties>
</file>