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4CEA25">
      <w:pPr>
        <w:numPr>
          <w:ilvl w:val="0"/>
          <w:numId w:val="0"/>
        </w:numPr>
        <w:spacing w:line="540" w:lineRule="exact"/>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72B13F58">
      <w:pPr>
        <w:pStyle w:val="15"/>
        <w:widowControl/>
        <w:shd w:val="clear" w:color="070000" w:fill="FFFFFF"/>
        <w:spacing w:line="560" w:lineRule="exact"/>
        <w:jc w:val="left"/>
        <w:rPr>
          <w:rFonts w:hint="eastAsia" w:ascii="黑体" w:hAnsi="黑体" w:eastAsia="黑体"/>
          <w:sz w:val="32"/>
          <w:szCs w:val="32"/>
        </w:rPr>
      </w:pPr>
    </w:p>
    <w:p w14:paraId="5C7630E4">
      <w:pPr>
        <w:pStyle w:val="7"/>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起草说明</w:t>
      </w:r>
    </w:p>
    <w:p w14:paraId="7FC11517">
      <w:pPr>
        <w:rPr>
          <w:rFonts w:hint="default"/>
          <w:lang w:val="en-US" w:eastAsia="zh-CN"/>
        </w:rPr>
      </w:pPr>
    </w:p>
    <w:p w14:paraId="25E5D89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Times New Roman" w:hAnsi="Times New Roman" w:eastAsia="仿宋_GB2312" w:cs="Times New Roman"/>
          <w:color w:val="000000"/>
          <w:kern w:val="0"/>
          <w:sz w:val="32"/>
          <w:szCs w:val="32"/>
          <w:u w:val="none"/>
          <w:lang w:val="en-US" w:eastAsia="zh-CN" w:bidi="ar-SA"/>
        </w:rPr>
        <w:t>根据</w:t>
      </w:r>
      <w:r>
        <w:rPr>
          <w:rFonts w:hint="eastAsia" w:ascii="Times New Roman" w:hAnsi="仿宋_GB2312" w:eastAsia="仿宋_GB2312" w:cs="Times New Roman"/>
          <w:color w:val="auto"/>
          <w:sz w:val="32"/>
          <w:szCs w:val="32"/>
          <w:lang w:eastAsia="zh-CN"/>
        </w:rPr>
        <w:t>《广东省医疗保障局关于公布临床量表评估类医疗服务价格项目的通知》（粤医保发〔202</w:t>
      </w:r>
      <w:r>
        <w:rPr>
          <w:rFonts w:hint="eastAsia" w:ascii="Times New Roman" w:hAnsi="仿宋_GB2312" w:eastAsia="仿宋_GB2312" w:cs="Times New Roman"/>
          <w:color w:val="auto"/>
          <w:sz w:val="32"/>
          <w:szCs w:val="32"/>
          <w:lang w:val="en-US" w:eastAsia="zh-CN"/>
        </w:rPr>
        <w:t>5</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lang w:val="en-US" w:eastAsia="zh-CN"/>
        </w:rPr>
        <w:t>4</w:t>
      </w:r>
      <w:r>
        <w:rPr>
          <w:rFonts w:hint="eastAsia" w:ascii="Times New Roman" w:hAnsi="仿宋_GB2312" w:eastAsia="仿宋_GB2312" w:cs="Times New Roman"/>
          <w:color w:val="auto"/>
          <w:sz w:val="32"/>
          <w:szCs w:val="32"/>
          <w:lang w:eastAsia="zh-CN"/>
        </w:rPr>
        <w:t>号）</w:t>
      </w:r>
      <w:r>
        <w:rPr>
          <w:rFonts w:hint="eastAsia" w:eastAsia="仿宋_GB2312" w:cs="Times New Roman"/>
          <w:b w:val="0"/>
          <w:i w:val="0"/>
          <w:snapToGrid/>
          <w:color w:val="000000"/>
          <w:sz w:val="32"/>
          <w:szCs w:val="32"/>
          <w:lang w:val="en-US" w:eastAsia="zh-CN"/>
        </w:rPr>
        <w:t>精神</w:t>
      </w:r>
      <w:r>
        <w:rPr>
          <w:rFonts w:hint="eastAsia" w:ascii="仿宋_GB2312" w:hAnsi="仿宋_GB2312" w:eastAsia="仿宋_GB2312" w:cs="仿宋_GB2312"/>
          <w:sz w:val="32"/>
          <w:szCs w:val="32"/>
          <w:lang w:val="en-US" w:eastAsia="zh-CN"/>
        </w:rPr>
        <w:t>，我局起草了</w:t>
      </w:r>
      <w:r>
        <w:rPr>
          <w:rFonts w:hint="eastAsia" w:ascii="Times New Roman" w:hAnsi="仿宋_GB2312" w:eastAsia="仿宋_GB2312" w:cs="Times New Roman"/>
          <w:sz w:val="32"/>
          <w:szCs w:val="32"/>
        </w:rPr>
        <w:t>《梅州市医疗保障局关于公布临床量表评估类医疗服务项目定价方案（征求意见稿）》</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现将有关情况</w:t>
      </w:r>
      <w:r>
        <w:rPr>
          <w:rFonts w:hint="eastAsia" w:ascii="仿宋_GB2312" w:hAnsi="仿宋_GB2312" w:eastAsia="仿宋_GB2312" w:cs="仿宋_GB2312"/>
          <w:sz w:val="32"/>
          <w:szCs w:val="32"/>
          <w:lang w:val="en-US" w:eastAsia="zh-CN"/>
        </w:rPr>
        <w:t>说明</w:t>
      </w:r>
      <w:r>
        <w:rPr>
          <w:rFonts w:hint="default" w:ascii="仿宋_GB2312" w:hAnsi="仿宋_GB2312" w:eastAsia="仿宋_GB2312" w:cs="仿宋_GB2312"/>
          <w:sz w:val="32"/>
          <w:szCs w:val="32"/>
          <w:lang w:val="en-US" w:eastAsia="zh-CN"/>
        </w:rPr>
        <w:t>如下：</w:t>
      </w:r>
    </w:p>
    <w:p w14:paraId="7804B222">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
          <w:sz w:val="32"/>
          <w:szCs w:val="32"/>
        </w:rPr>
      </w:pPr>
      <w:r>
        <w:rPr>
          <w:rFonts w:hint="eastAsia" w:ascii="黑体" w:hAnsi="黑体" w:eastAsia="黑体" w:cs="黑体"/>
          <w:sz w:val="32"/>
          <w:szCs w:val="32"/>
          <w:lang w:val="en-US" w:eastAsia="zh-CN"/>
        </w:rPr>
        <w:t>一、政策</w:t>
      </w:r>
      <w:r>
        <w:rPr>
          <w:rFonts w:hint="eastAsia" w:ascii="黑体" w:hAnsi="黑体" w:eastAsia="黑体" w:cs="黑体"/>
          <w:sz w:val="32"/>
          <w:szCs w:val="32"/>
        </w:rPr>
        <w:t>背景</w:t>
      </w:r>
    </w:p>
    <w:p w14:paraId="71B9D197">
      <w:pPr>
        <w:keepNext w:val="0"/>
        <w:keepLines w:val="0"/>
        <w:pageBreakBefore w:val="0"/>
        <w:widowControl w:val="0"/>
        <w:kinsoku/>
        <w:wordWrap/>
        <w:overflowPunct/>
        <w:topLinePunct w:val="0"/>
        <w:bidi w:val="0"/>
        <w:spacing w:line="576"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auto"/>
          <w:sz w:val="32"/>
          <w:szCs w:val="32"/>
          <w:lang w:eastAsia="zh-CN"/>
        </w:rPr>
        <w:t>广东省医保局</w:t>
      </w:r>
      <w:r>
        <w:rPr>
          <w:rFonts w:hint="eastAsia" w:ascii="仿宋_GB2312" w:hAnsi="仿宋_GB2312" w:eastAsia="仿宋_GB2312" w:cs="仿宋_GB2312"/>
          <w:color w:val="auto"/>
          <w:sz w:val="32"/>
          <w:szCs w:val="32"/>
          <w:lang w:val="en-US" w:eastAsia="zh-CN"/>
        </w:rPr>
        <w:t>根据</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国家医保局</w:t>
      </w:r>
      <w:r>
        <w:rPr>
          <w:rFonts w:hint="default" w:ascii="Times New Roman" w:hAnsi="Times New Roman" w:eastAsia="仿宋_GB2312" w:cs="Times New Roman"/>
          <w:color w:val="auto"/>
          <w:sz w:val="32"/>
          <w:szCs w:val="32"/>
          <w:lang w:eastAsia="zh-CN"/>
        </w:rPr>
        <w:t>关于印发〈临床量表评估类医疗服务价格项目立项指南（试行）〉的通知》（</w:t>
      </w:r>
      <w:r>
        <w:rPr>
          <w:rFonts w:hint="default" w:ascii="Times New Roman" w:hAnsi="Times New Roman" w:eastAsia="仿宋_GB2312" w:cs="Times New Roman"/>
          <w:color w:val="auto"/>
          <w:sz w:val="32"/>
          <w:szCs w:val="32"/>
        </w:rPr>
        <w:t>医保价采中心函〔2021〕33号</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000000"/>
          <w:kern w:val="0"/>
          <w:sz w:val="32"/>
          <w:szCs w:val="32"/>
          <w:u w:val="none"/>
          <w:lang w:val="en-US" w:eastAsia="zh-CN" w:bidi="ar-SA"/>
        </w:rPr>
        <w:t>精神，发布了</w:t>
      </w:r>
      <w:r>
        <w:rPr>
          <w:rFonts w:hint="eastAsia" w:ascii="Times New Roman" w:hAnsi="仿宋_GB2312" w:eastAsia="仿宋_GB2312" w:cs="Times New Roman"/>
          <w:color w:val="auto"/>
          <w:sz w:val="32"/>
          <w:szCs w:val="32"/>
          <w:lang w:eastAsia="zh-CN"/>
        </w:rPr>
        <w:t>《广东省医疗保障局关于公布临床量表评估类医疗服务价格项目的通知》（粤医保发〔202</w:t>
      </w:r>
      <w:r>
        <w:rPr>
          <w:rFonts w:hint="eastAsia" w:ascii="Times New Roman" w:hAnsi="仿宋_GB2312" w:eastAsia="仿宋_GB2312" w:cs="Times New Roman"/>
          <w:color w:val="auto"/>
          <w:sz w:val="32"/>
          <w:szCs w:val="32"/>
          <w:lang w:val="en-US" w:eastAsia="zh-CN"/>
        </w:rPr>
        <w:t>5</w:t>
      </w:r>
      <w:r>
        <w:rPr>
          <w:rFonts w:hint="eastAsia" w:ascii="Times New Roman" w:hAnsi="仿宋_GB2312" w:eastAsia="仿宋_GB2312" w:cs="Times New Roman"/>
          <w:color w:val="auto"/>
          <w:sz w:val="32"/>
          <w:szCs w:val="32"/>
          <w:lang w:eastAsia="zh-CN"/>
        </w:rPr>
        <w:t>〕</w:t>
      </w:r>
      <w:r>
        <w:rPr>
          <w:rFonts w:hint="eastAsia" w:ascii="Times New Roman" w:hAnsi="仿宋_GB2312" w:eastAsia="仿宋_GB2312" w:cs="Times New Roman"/>
          <w:color w:val="auto"/>
          <w:sz w:val="32"/>
          <w:szCs w:val="32"/>
          <w:lang w:val="en-US" w:eastAsia="zh-CN"/>
        </w:rPr>
        <w:t>4</w:t>
      </w:r>
      <w:r>
        <w:rPr>
          <w:rFonts w:hint="eastAsia" w:ascii="Times New Roman" w:hAnsi="仿宋_GB2312" w:eastAsia="仿宋_GB2312" w:cs="Times New Roman"/>
          <w:color w:val="auto"/>
          <w:sz w:val="32"/>
          <w:szCs w:val="32"/>
          <w:lang w:eastAsia="zh-CN"/>
        </w:rPr>
        <w:t>号）</w:t>
      </w:r>
      <w:r>
        <w:rPr>
          <w:rFonts w:hint="eastAsia" w:ascii="Times New Roman" w:hAnsi="Times New Roman" w:eastAsia="仿宋_GB2312" w:cs="Times New Roman"/>
          <w:color w:val="000000"/>
          <w:kern w:val="0"/>
          <w:sz w:val="32"/>
          <w:szCs w:val="32"/>
          <w:u w:val="none"/>
          <w:lang w:val="en-US" w:eastAsia="zh-CN" w:bidi="ar-SA"/>
        </w:rPr>
        <w:t>，</w:t>
      </w:r>
      <w:r>
        <w:rPr>
          <w:rFonts w:hint="eastAsia" w:ascii="仿宋_GB2312" w:hAnsi="仿宋_GB2312" w:eastAsia="仿宋_GB2312" w:cs="仿宋_GB2312"/>
          <w:color w:val="auto"/>
          <w:sz w:val="32"/>
          <w:szCs w:val="32"/>
          <w:lang w:val="en-US" w:eastAsia="zh-CN"/>
        </w:rPr>
        <w:t>制定了我省</w:t>
      </w:r>
      <w:r>
        <w:rPr>
          <w:rFonts w:hint="eastAsia" w:ascii="仿宋_GB2312" w:hAnsi="仿宋_GB2312" w:eastAsia="仿宋_GB2312" w:cs="仿宋_GB2312"/>
          <w:color w:val="auto"/>
          <w:sz w:val="32"/>
          <w:szCs w:val="32"/>
          <w:lang w:val="en" w:eastAsia="zh-CN"/>
        </w:rPr>
        <w:t>最高限价</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w:t>
      </w:r>
      <w:r>
        <w:rPr>
          <w:rFonts w:hint="eastAsia" w:ascii="仿宋_GB2312" w:hAnsi="仿宋_GB2312" w:eastAsia="仿宋_GB2312" w:cs="仿宋_GB2312"/>
          <w:color w:val="auto"/>
          <w:sz w:val="32"/>
          <w:szCs w:val="32"/>
          <w:lang w:val="en" w:eastAsia="zh-CN"/>
        </w:rPr>
        <w:t>要求</w:t>
      </w:r>
      <w:r>
        <w:rPr>
          <w:rFonts w:hint="eastAsia" w:ascii="仿宋_GB2312" w:hAnsi="仿宋_GB2312" w:eastAsia="仿宋_GB2312" w:cs="仿宋_GB2312"/>
          <w:color w:val="auto"/>
          <w:sz w:val="32"/>
          <w:szCs w:val="32"/>
          <w:lang w:val="en-US" w:eastAsia="zh-CN"/>
        </w:rPr>
        <w:t>各地级以上市按照省最高限价，结合各地市实际情况，确定</w:t>
      </w:r>
      <w:r>
        <w:rPr>
          <w:rFonts w:hint="default" w:ascii="Times New Roman" w:hAnsi="Times New Roman" w:eastAsia="仿宋_GB2312" w:cs="Times New Roman"/>
          <w:color w:val="auto"/>
          <w:sz w:val="32"/>
          <w:szCs w:val="32"/>
          <w:lang w:val="en-US" w:eastAsia="zh-CN"/>
        </w:rPr>
        <w:t>辖区内公立医疗机构的政府指导价</w:t>
      </w:r>
      <w:r>
        <w:rPr>
          <w:rFonts w:hint="eastAsia" w:ascii="仿宋_GB2312" w:hAnsi="仿宋_GB2312" w:eastAsia="仿宋_GB2312" w:cs="仿宋_GB2312"/>
          <w:color w:val="auto"/>
          <w:sz w:val="32"/>
          <w:szCs w:val="32"/>
          <w:lang w:val="en-US" w:eastAsia="zh-CN"/>
        </w:rPr>
        <w:t>，自2025年</w:t>
      </w:r>
      <w:r>
        <w:rPr>
          <w:rFonts w:hint="eastAsia" w:ascii="仿宋_GB2312" w:hAnsi="仿宋_GB2312" w:eastAsia="仿宋_GB2312" w:cs="仿宋_GB2312"/>
          <w:color w:val="auto"/>
          <w:sz w:val="32"/>
          <w:szCs w:val="32"/>
          <w:lang w:val="en" w:eastAsia="zh-CN"/>
        </w:rPr>
        <w:t>4</w:t>
      </w:r>
      <w:r>
        <w:rPr>
          <w:rFonts w:hint="eastAsia" w:ascii="仿宋_GB2312" w:hAnsi="仿宋_GB2312" w:eastAsia="仿宋_GB2312" w:cs="仿宋_GB2312"/>
          <w:color w:val="auto"/>
          <w:sz w:val="32"/>
          <w:szCs w:val="32"/>
          <w:lang w:val="en-US" w:eastAsia="zh-CN"/>
        </w:rPr>
        <w:t>月1日起实施</w:t>
      </w:r>
      <w:r>
        <w:rPr>
          <w:rFonts w:hint="eastAsia" w:ascii="仿宋_GB2312" w:hAnsi="仿宋_GB2312" w:eastAsia="仿宋_GB2312" w:cs="仿宋_GB2312"/>
          <w:color w:val="auto"/>
          <w:sz w:val="32"/>
          <w:szCs w:val="32"/>
          <w:lang w:eastAsia="zh-CN"/>
        </w:rPr>
        <w:t>。</w:t>
      </w:r>
    </w:p>
    <w:p w14:paraId="504784C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二、政策依据</w:t>
      </w:r>
    </w:p>
    <w:p w14:paraId="50D154B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w:t>
      </w:r>
      <w:r>
        <w:rPr>
          <w:rFonts w:hint="eastAsia" w:ascii="仿宋_GB2312" w:hAnsi="仿宋_GB2312" w:eastAsia="仿宋_GB2312" w:cs="仿宋_GB2312"/>
          <w:color w:val="000000" w:themeColor="text1"/>
          <w:sz w:val="32"/>
          <w:szCs w:val="32"/>
          <w14:textFill>
            <w14:solidFill>
              <w14:schemeClr w14:val="tx1"/>
            </w14:solidFill>
          </w14:textFill>
        </w:rPr>
        <w:t>广东省人民政府办公厅关于印发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广东省定价目</w:t>
      </w:r>
      <w:r>
        <w:rPr>
          <w:rFonts w:hint="eastAsia" w:ascii="Times New Roman" w:hAnsi="Times New Roman" w:eastAsia="仿宋_GB2312" w:cs="Times New Roman"/>
          <w:color w:val="000000"/>
          <w:kern w:val="0"/>
          <w:sz w:val="32"/>
          <w:szCs w:val="32"/>
          <w:u w:val="none"/>
          <w:lang w:val="en-US" w:eastAsia="zh-CN" w:bidi="ar-SA"/>
        </w:rPr>
        <w:t>录（2022年版）〉的通知》（粤府办〔2022〕5号）</w:t>
      </w:r>
    </w:p>
    <w:p w14:paraId="787D33FA">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left"/>
        <w:textAlignment w:val="auto"/>
        <w:rPr>
          <w:rFonts w:hint="eastAsia" w:ascii="Times New Roman" w:hAnsi="Times New Roman" w:eastAsia="仿宋_GB2312" w:cs="Times New Roman"/>
          <w:color w:val="000000"/>
          <w:kern w:val="0"/>
          <w:sz w:val="32"/>
          <w:szCs w:val="32"/>
          <w:u w:val="none"/>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（二）《广东省发展改革委关于印发&lt;关于政府制定价格行为</w:t>
      </w:r>
      <w:r>
        <w:rPr>
          <w:rFonts w:hint="eastAsia" w:ascii="Times New Roman" w:hAnsi="Times New Roman" w:eastAsia="仿宋_GB2312" w:cs="Times New Roman"/>
          <w:color w:val="000000"/>
          <w:kern w:val="0"/>
          <w:sz w:val="32"/>
          <w:szCs w:val="32"/>
          <w:u w:val="none"/>
          <w:lang w:val="en-US" w:eastAsia="zh-CN" w:bidi="ar-SA"/>
        </w:rPr>
        <w:t>规则的实施细则（2024年修订）&gt;的通知》（粤发改规〔2024〕3号）</w:t>
      </w:r>
    </w:p>
    <w:p w14:paraId="0CE568E7">
      <w:pPr>
        <w:keepNext w:val="0"/>
        <w:keepLines w:val="0"/>
        <w:pageBreakBefore w:val="0"/>
        <w:widowControl w:val="0"/>
        <w:kinsoku/>
        <w:wordWrap/>
        <w:overflowPunct/>
        <w:topLinePunct w:val="0"/>
        <w:bidi w:val="0"/>
        <w:spacing w:line="576" w:lineRule="exact"/>
        <w:ind w:firstLine="640" w:firstLineChars="200"/>
        <w:textAlignment w:val="auto"/>
        <w:rPr>
          <w:rFonts w:hint="default" w:ascii="Times New Roman" w:hAnsi="Times New Roman" w:eastAsia="仿宋_GB2312" w:cs="Times New Roman"/>
          <w:color w:val="000000"/>
          <w:kern w:val="0"/>
          <w:sz w:val="32"/>
          <w:szCs w:val="32"/>
          <w:u w:val="none"/>
          <w:lang w:val="en-US" w:eastAsia="zh-CN" w:bidi="ar-SA"/>
        </w:rPr>
      </w:pPr>
      <w:r>
        <w:rPr>
          <w:rFonts w:hint="eastAsia" w:ascii="Times New Roman" w:hAnsi="Times New Roman" w:eastAsia="仿宋_GB2312" w:cs="Times New Roman"/>
          <w:color w:val="000000"/>
          <w:kern w:val="0"/>
          <w:sz w:val="32"/>
          <w:szCs w:val="32"/>
          <w:u w:val="none"/>
          <w:lang w:val="en-US" w:eastAsia="zh-CN" w:bidi="ar-SA"/>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广</w:t>
      </w:r>
      <w:r>
        <w:rPr>
          <w:rFonts w:hint="default" w:ascii="Times New Roman" w:hAnsi="Times New Roman" w:eastAsia="仿宋_GB2312" w:cs="Times New Roman"/>
          <w:sz w:val="32"/>
          <w:szCs w:val="32"/>
          <w:lang w:eastAsia="zh-CN"/>
        </w:rPr>
        <w:t>东省医疗保障局关于</w:t>
      </w:r>
      <w:r>
        <w:rPr>
          <w:rFonts w:hint="eastAsia" w:ascii="Times New Roman" w:hAnsi="Times New Roman" w:eastAsia="仿宋_GB2312" w:cs="Times New Roman"/>
          <w:sz w:val="32"/>
          <w:szCs w:val="32"/>
          <w:lang w:eastAsia="zh-CN"/>
        </w:rPr>
        <w:t>公布</w:t>
      </w:r>
      <w:r>
        <w:rPr>
          <w:rFonts w:hint="default" w:ascii="Times New Roman" w:hAnsi="Times New Roman" w:eastAsia="仿宋_GB2312" w:cs="Times New Roman"/>
          <w:sz w:val="32"/>
          <w:szCs w:val="32"/>
          <w:lang w:eastAsia="zh-CN"/>
        </w:rPr>
        <w:t>临床量表评估类医疗服务价格项目的通知》（</w:t>
      </w:r>
      <w:r>
        <w:rPr>
          <w:rFonts w:hint="default" w:ascii="Times New Roman" w:hAnsi="Times New Roman" w:eastAsia="仿宋_GB2312" w:cs="Times New Roman"/>
          <w:color w:val="000000"/>
          <w:sz w:val="32"/>
          <w:szCs w:val="32"/>
          <w:lang w:val="en-US" w:eastAsia="zh-CN"/>
        </w:rPr>
        <w:t>粤医保发〔2025〕4号</w:t>
      </w:r>
      <w:r>
        <w:rPr>
          <w:rFonts w:hint="default" w:ascii="Times New Roman" w:hAnsi="Times New Roman" w:eastAsia="仿宋_GB2312" w:cs="Times New Roman"/>
          <w:sz w:val="32"/>
          <w:szCs w:val="32"/>
          <w:lang w:eastAsia="zh-CN"/>
        </w:rPr>
        <w:t>）</w:t>
      </w:r>
    </w:p>
    <w:p w14:paraId="35B070DC">
      <w:pPr>
        <w:keepNext w:val="0"/>
        <w:keepLines w:val="0"/>
        <w:pageBreakBefore w:val="0"/>
        <w:widowControl w:val="0"/>
        <w:numPr>
          <w:ilvl w:val="0"/>
          <w:numId w:val="0"/>
        </w:numPr>
        <w:kinsoku/>
        <w:wordWrap/>
        <w:overflowPunct/>
        <w:topLinePunct w:val="0"/>
        <w:autoSpaceDE/>
        <w:autoSpaceDN/>
        <w:bidi w:val="0"/>
        <w:adjustRightInd w:val="0"/>
        <w:snapToGrid w:val="0"/>
        <w:spacing w:line="576" w:lineRule="exact"/>
        <w:ind w:firstLine="640" w:firstLineChars="200"/>
        <w:jc w:val="left"/>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lang w:eastAsia="zh-CN"/>
        </w:rPr>
        <w:t>定价</w:t>
      </w:r>
      <w:r>
        <w:rPr>
          <w:rFonts w:hint="eastAsia" w:ascii="黑体" w:hAnsi="黑体" w:eastAsia="黑体" w:cs="黑体"/>
          <w:color w:val="auto"/>
          <w:sz w:val="32"/>
          <w:szCs w:val="32"/>
          <w:lang w:val="en-US" w:eastAsia="zh-CN"/>
        </w:rPr>
        <w:t>情况</w:t>
      </w:r>
    </w:p>
    <w:p w14:paraId="11781D72">
      <w:pPr>
        <w:spacing w:line="560" w:lineRule="exact"/>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我局</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按照定价要求开展项目成本调查，</w:t>
      </w:r>
      <w:bookmarkStart w:id="0" w:name="_GoBack"/>
      <w:bookmarkEnd w:id="0"/>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选取具有行业代表性，服务量较大的梅州市人民医院、梅州市第三人民医院等</w:t>
      </w:r>
      <w:r>
        <w:rPr>
          <w:rFonts w:hint="eastAsia" w:ascii="仿宋_GB2312" w:hAnsi="仿宋_GB2312" w:eastAsia="仿宋_GB2312" w:cs="仿宋_GB2312"/>
          <w:color w:val="auto"/>
          <w:sz w:val="32"/>
          <w:szCs w:val="32"/>
          <w:lang w:val="en-US" w:eastAsia="zh-CN"/>
        </w:rPr>
        <w:t>4</w:t>
      </w:r>
      <w:r>
        <w:rPr>
          <w:rFonts w:hint="default" w:ascii="仿宋_GB2312" w:hAnsi="仿宋_GB2312" w:eastAsia="仿宋_GB2312" w:cs="仿宋_GB2312"/>
          <w:color w:val="auto"/>
          <w:sz w:val="32"/>
          <w:szCs w:val="32"/>
          <w:lang w:val="en" w:eastAsia="zh-CN"/>
        </w:rPr>
        <w:t>家</w:t>
      </w:r>
      <w:r>
        <w:rPr>
          <w:rFonts w:hint="eastAsia" w:ascii="仿宋_GB2312" w:hAnsi="仿宋_GB2312" w:eastAsia="仿宋_GB2312" w:cs="仿宋_GB2312"/>
          <w:color w:val="auto"/>
          <w:kern w:val="0"/>
          <w:sz w:val="32"/>
          <w:szCs w:val="32"/>
          <w:lang w:val="en-US" w:eastAsia="zh-CN"/>
        </w:rPr>
        <w:t>医疗机构作为样本医院，开展</w:t>
      </w:r>
      <w:r>
        <w:rPr>
          <w:rStyle w:val="11"/>
          <w:rFonts w:hint="eastAsia" w:ascii="仿宋_GB2312" w:hAnsi="仿宋_GB2312" w:eastAsia="仿宋_GB2312" w:cs="仿宋_GB2312"/>
          <w:color w:val="auto"/>
          <w:kern w:val="0"/>
          <w:sz w:val="32"/>
          <w:szCs w:val="32"/>
          <w:lang w:val="en-US" w:eastAsia="zh-CN" w:bidi="ar-SA"/>
        </w:rPr>
        <w:t>临床量表评估类医疗服务项目</w:t>
      </w:r>
      <w:r>
        <w:rPr>
          <w:rFonts w:hint="eastAsia" w:ascii="仿宋_GB2312" w:hAnsi="仿宋_GB2312" w:eastAsia="仿宋_GB2312" w:cs="仿宋_GB2312"/>
          <w:color w:val="auto"/>
          <w:kern w:val="0"/>
          <w:sz w:val="32"/>
          <w:szCs w:val="32"/>
          <w:lang w:val="en-US" w:eastAsia="zh-CN"/>
        </w:rPr>
        <w:t>成本调查工作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在省医保局制定的全省最高限</w:t>
      </w:r>
      <w:r>
        <w:rPr>
          <w:rFonts w:hint="eastAsia" w:ascii="仿宋_GB2312" w:hAnsi="仿宋_GB2312" w:eastAsia="仿宋_GB2312" w:cs="仿宋_GB2312"/>
          <w:color w:val="000000" w:themeColor="text1"/>
          <w:sz w:val="32"/>
          <w:szCs w:val="32"/>
          <w14:textFill>
            <w14:solidFill>
              <w14:schemeClr w14:val="tx1"/>
            </w14:solidFill>
          </w14:textFill>
        </w:rPr>
        <w:t>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的基础上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综合考虑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我市经济社会发展水平、群众医疗服务需求、患者基本医疗费用总体负担、医保基金承受能力、地市间比价关系等因素，</w:t>
      </w:r>
      <w:r>
        <w:rPr>
          <w:rFonts w:hint="eastAsia" w:ascii="仿宋_GB2312" w:hAnsi="仿宋_GB2312" w:eastAsia="仿宋_GB2312" w:cs="仿宋_GB2312"/>
          <w:sz w:val="32"/>
          <w:szCs w:val="32"/>
          <w:highlight w:val="none"/>
          <w:lang w:val="en-US" w:eastAsia="zh-CN"/>
        </w:rPr>
        <w:t>拟</w:t>
      </w:r>
      <w:r>
        <w:rPr>
          <w:rFonts w:hint="eastAsia" w:ascii="仿宋_GB2312" w:hAnsi="仿宋_GB2312" w:eastAsia="仿宋_GB2312" w:cs="仿宋_GB2312"/>
          <w:color w:val="auto"/>
          <w:sz w:val="32"/>
          <w:szCs w:val="32"/>
          <w:lang w:val="en-US" w:eastAsia="zh-CN"/>
        </w:rPr>
        <w:t>确定我市</w:t>
      </w:r>
      <w:r>
        <w:rPr>
          <w:rFonts w:hint="default" w:ascii="仿宋_GB2312" w:hAnsi="仿宋_GB2312" w:eastAsia="仿宋_GB2312" w:cs="仿宋_GB2312"/>
          <w:color w:val="000000" w:themeColor="text1"/>
          <w:sz w:val="32"/>
          <w:szCs w:val="32"/>
          <w:lang w:val="en" w:eastAsia="zh-CN"/>
          <w14:textFill>
            <w14:solidFill>
              <w14:schemeClr w14:val="tx1"/>
            </w14:solidFill>
          </w14:textFill>
        </w:rPr>
        <w:t>三级公立医疗机构</w:t>
      </w:r>
      <w:r>
        <w:rPr>
          <w:rFonts w:hint="eastAsia" w:ascii="仿宋_GB2312" w:hAnsi="仿宋_GB2312" w:eastAsia="仿宋_GB2312" w:cs="仿宋_GB2312"/>
          <w:sz w:val="32"/>
          <w:szCs w:val="32"/>
          <w:lang w:val="en-US" w:eastAsia="zh-CN"/>
        </w:rPr>
        <w:t>临床量表评估类医疗服务项目</w:t>
      </w:r>
      <w:r>
        <w:rPr>
          <w:rFonts w:hint="eastAsia" w:ascii="仿宋_GB2312" w:hAnsi="仿宋_GB2312" w:eastAsia="仿宋_GB2312" w:cs="仿宋_GB2312"/>
          <w:color w:val="auto"/>
          <w:sz w:val="32"/>
          <w:szCs w:val="32"/>
          <w:lang w:val="en-US" w:eastAsia="zh-CN"/>
        </w:rPr>
        <w:t>价格</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按省最高限价下浮</w:t>
      </w:r>
      <w:r>
        <w:rPr>
          <w:rFonts w:hint="eastAsia" w:ascii="仿宋_GB2312" w:hAnsi="仿宋_GB2312" w:eastAsia="仿宋_GB2312" w:cs="仿宋_GB2312"/>
          <w:color w:val="auto"/>
          <w:sz w:val="32"/>
          <w:szCs w:val="32"/>
          <w:lang w:val="en-US" w:eastAsia="zh-CN"/>
        </w:rPr>
        <w:t>10</w:t>
      </w:r>
      <w:r>
        <w:rPr>
          <w:rFonts w:hint="default"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，二级、一级</w:t>
      </w:r>
      <w:r>
        <w:rPr>
          <w:rFonts w:hint="eastAsia" w:ascii="仿宋_GB2312" w:hAnsi="仿宋_GB2312" w:eastAsia="仿宋_GB2312" w:cs="仿宋_GB2312"/>
          <w:color w:val="auto"/>
          <w:sz w:val="32"/>
          <w:szCs w:val="32"/>
          <w:lang w:val="en-US" w:eastAsia="zh-CN"/>
        </w:rPr>
        <w:t>公立医疗机构价格分别按三级公立医疗机构价格的8.2%</w:t>
      </w:r>
      <w:r>
        <w:rPr>
          <w:rFonts w:hint="eastAsia" w:ascii="仿宋_GB2312" w:hAnsi="仿宋_GB2312" w:eastAsia="仿宋_GB2312" w:cs="仿宋_GB2312"/>
          <w:color w:val="000000" w:themeColor="text1"/>
          <w:sz w:val="32"/>
          <w:szCs w:val="32"/>
          <w:lang w:val="en" w:eastAsia="zh-CN"/>
          <w14:textFill>
            <w14:solidFill>
              <w14:schemeClr w14:val="tx1"/>
            </w14:solidFill>
          </w14:textFill>
        </w:rPr>
        <w:t>、</w:t>
      </w:r>
      <w:r>
        <w:rPr>
          <w:rFonts w:hint="eastAsia" w:ascii="仿宋_GB2312" w:hAnsi="仿宋_GB2312" w:eastAsia="仿宋_GB2312" w:cs="仿宋_GB2312"/>
          <w:color w:val="auto"/>
          <w:sz w:val="32"/>
          <w:szCs w:val="32"/>
          <w:lang w:val="en-US" w:eastAsia="zh-CN"/>
        </w:rPr>
        <w:t>16.2%下浮。</w:t>
      </w:r>
    </w:p>
    <w:p w14:paraId="5928C825">
      <w:pPr>
        <w:spacing w:line="560" w:lineRule="exact"/>
        <w:ind w:firstLine="640" w:firstLineChars="200"/>
        <w:rPr>
          <w:rFonts w:hint="eastAsia" w:ascii="仿宋_GB2312" w:hAnsi="仿宋_GB2312" w:eastAsia="仿宋_GB2312" w:cs="仿宋_GB2312"/>
          <w:color w:val="auto"/>
          <w:sz w:val="32"/>
          <w:szCs w:val="32"/>
          <w:lang w:val="en-US" w:eastAsia="zh-CN"/>
        </w:rPr>
      </w:pPr>
    </w:p>
    <w:p w14:paraId="199335F3">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14:paraId="4692F8C2">
      <w:pPr>
        <w:adjustRightInd w:val="0"/>
        <w:snapToGrid w:val="0"/>
        <w:spacing w:line="560" w:lineRule="exact"/>
        <w:ind w:firstLine="640" w:firstLineChars="200"/>
        <w:rPr>
          <w:rFonts w:hint="eastAsia" w:ascii="仿宋_GB2312" w:hAnsi="仿宋_GB2312" w:eastAsia="仿宋_GB2312" w:cs="仿宋_GB2312"/>
          <w:sz w:val="32"/>
          <w:szCs w:val="32"/>
          <w:lang w:val="en-US" w:eastAsia="zh-CN"/>
        </w:rPr>
      </w:pPr>
    </w:p>
    <w:p w14:paraId="4851E97B">
      <w:pPr>
        <w:keepNext w:val="0"/>
        <w:keepLines w:val="0"/>
        <w:pageBreakBefore w:val="0"/>
        <w:numPr>
          <w:ilvl w:val="0"/>
          <w:numId w:val="0"/>
        </w:numPr>
        <w:kinsoku/>
        <w:wordWrap/>
        <w:overflowPunct/>
        <w:topLinePunct w:val="0"/>
        <w:autoSpaceDE/>
        <w:autoSpaceDN/>
        <w:bidi w:val="0"/>
        <w:spacing w:line="560" w:lineRule="exact"/>
        <w:jc w:val="left"/>
        <w:textAlignment w:val="auto"/>
        <w:rPr>
          <w:rFonts w:hint="default" w:ascii="仿宋_GB2312" w:hAnsi="仿宋_GB2312" w:eastAsia="仿宋_GB2312" w:cs="Calibri"/>
          <w:color w:val="000000"/>
          <w:sz w:val="32"/>
          <w:szCs w:val="21"/>
          <w:lang w:val="en-US" w:eastAsia="zh-CN"/>
        </w:rPr>
      </w:pPr>
      <w:r>
        <w:rPr>
          <w:rFonts w:hint="eastAsia" w:ascii="仿宋_GB2312" w:hAnsi="仿宋_GB2312" w:eastAsia="仿宋_GB2312" w:cs="仿宋_GB2312"/>
          <w:kern w:val="2"/>
          <w:sz w:val="32"/>
          <w:szCs w:val="32"/>
          <w:lang w:val="en-US" w:eastAsia="zh-CN" w:bidi="ar-SA"/>
        </w:rPr>
        <w:t xml:space="preserve">  </w:t>
      </w:r>
      <w:r>
        <w:rPr>
          <w:rFonts w:hint="eastAsia" w:ascii="仿宋_GB2312" w:hAnsi="仿宋_GB2312" w:eastAsia="仿宋_GB2312" w:cs="Calibri"/>
          <w:color w:val="000000"/>
          <w:sz w:val="32"/>
          <w:szCs w:val="21"/>
          <w:lang w:val="en-US" w:eastAsia="zh-CN"/>
        </w:rPr>
        <w:t xml:space="preserve">              </w:t>
      </w:r>
    </w:p>
    <w:sectPr>
      <w:footerReference r:id="rId4" w:type="first"/>
      <w:footerReference r:id="rId3" w:type="default"/>
      <w:pgSz w:w="11906" w:h="16838"/>
      <w:pgMar w:top="2098" w:right="1587" w:bottom="1984" w:left="1587" w:header="1701" w:footer="567" w:gutter="0"/>
      <w:pgNumType w:fmt="numberInDash"/>
      <w:cols w:space="0" w:num="1"/>
      <w:titlePg/>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76CA0">
    <w:pPr>
      <w:pStyle w:val="5"/>
    </w:pPr>
    <w: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-77470</wp:posOffset>
              </wp:positionV>
              <wp:extent cx="446405" cy="248285"/>
              <wp:effectExtent l="0" t="0" r="0" b="0"/>
              <wp:wrapNone/>
              <wp:docPr id="6" name="Text Box 1025"/>
              <wp:cNvGraphicFramePr/>
              <a:graphic xmlns:a="http://schemas.openxmlformats.org/drawingml/2006/main">
                <a:graphicData uri="http://schemas.microsoft.com/office/word/2010/wordprocessingShape">
                  <wps:wsp>
                    <wps:cNvSpPr/>
                    <wps:spPr>
                      <a:xfrm>
                        <a:off x="0" y="0"/>
                        <a:ext cx="446405" cy="248285"/>
                      </a:xfrm>
                      <a:prstGeom prst="rect">
                        <a:avLst/>
                      </a:prstGeom>
                      <a:noFill/>
                      <a:ln w="9525">
                        <a:noFill/>
                      </a:ln>
                    </wps:spPr>
                    <wps:txbx>
                      <w:txbxContent>
                        <w:p w14:paraId="5E59C1F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wps:txbx>
                    <wps:bodyPr wrap="square" lIns="0" tIns="0" rIns="0" bIns="0" upright="1">
                      <a:noAutofit/>
                    </wps:bodyPr>
                  </wps:wsp>
                </a:graphicData>
              </a:graphic>
            </wp:anchor>
          </w:drawing>
        </mc:Choice>
        <mc:Fallback>
          <w:pict>
            <v:rect id="Text Box 1025" o:spid="_x0000_s1026" o:spt="1" style="position:absolute;left:0pt;margin-left:401.45pt;margin-top:-6.1pt;height:19.55pt;width:35.15pt;mso-position-horizontal-relative:margin;z-index:251659264;mso-width-relative:page;mso-height-relative:page;" filled="f" stroked="f" coordsize="21600,21600" o:gfxdata="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ylOE9oAAAAKAQAADwAAAAAAAAABACAAAAAiAAAAZHJzL2Rvd25y&#10;ZXYueG1sUEsBAhQAFAAAAAgAh07iQPBpKAjDAQAAmgMAAA4AAAAAAAAAAQAgAAAAKQEAAGRycy9l&#10;Mm9Eb2MueG1sUEsFBgAAAAAGAAYAWQEAAF4FAAAAAA==&#10;">
              <v:fill on="f" focussize="0,0"/>
              <v:stroke on="f"/>
              <v:imagedata o:title=""/>
              <o:lock v:ext="edit" aspectratio="f"/>
              <v:textbox inset="0mm,0mm,0mm,0mm">
                <w:txbxContent>
                  <w:p w14:paraId="5E59C1F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12</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FCF540">
    <w:pPr>
      <w:pStyle w:val="5"/>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21590</wp:posOffset>
              </wp:positionV>
              <wp:extent cx="1828800" cy="1828800"/>
              <wp:effectExtent l="0" t="0" r="0" b="0"/>
              <wp:wrapNone/>
              <wp:docPr id="4" name="文本框12"/>
              <wp:cNvGraphicFramePr/>
              <a:graphic xmlns:a="http://schemas.openxmlformats.org/drawingml/2006/main">
                <a:graphicData uri="http://schemas.microsoft.com/office/word/2010/wordprocessingShape">
                  <wps:wsp>
                    <wps:cNvSpPr/>
                    <wps:spPr>
                      <a:xfrm>
                        <a:off x="0" y="0"/>
                        <a:ext cx="1828800" cy="1828800"/>
                      </a:xfrm>
                      <a:prstGeom prst="rect">
                        <a:avLst/>
                      </a:prstGeom>
                      <a:noFill/>
                      <a:ln w="15875">
                        <a:noFill/>
                      </a:ln>
                    </wps:spPr>
                    <wps:txbx>
                      <w:txbxContent>
                        <w:p w14:paraId="2F7AA4EF">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a:spAutoFit/>
                    </wps:bodyPr>
                  </wps:wsp>
                </a:graphicData>
              </a:graphic>
            </wp:anchor>
          </w:drawing>
        </mc:Choice>
        <mc:Fallback>
          <w:pict>
            <v:rect id="文本框12" o:spid="_x0000_s1026" o:spt="1" style="position:absolute;left:0pt;margin-top:1.7pt;height:144pt;width:144pt;mso-position-horizontal:right;mso-position-horizontal-relative:margin;mso-wrap-style:none;z-index:251660288;mso-width-relative:page;mso-height-relative:page;" filled="f" stroked="f" coordsize="21600,21600" o:gfxdata="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xSaL3tQAAAAGAQAADwAAAAAAAAABACAAAAAiAAAAZHJzL2Rvd25yZXYu&#10;eG1sUEsBAhQAFAAAAAgAh07iQCktGJXGAQAAjQMAAA4AAAAAAAAAAQAgAAAAIwEAAGRycy9lMm9E&#10;b2MueG1sUEsFBgAAAAAGAAYAWQEAAFsFAAAAAA==&#10;">
              <v:fill on="f" focussize="0,0"/>
              <v:stroke on="f" weight="1.25pt"/>
              <v:imagedata o:title=""/>
              <o:lock v:ext="edit" aspectratio="f"/>
              <v:textbox inset="0mm,0mm,0mm,0mm" style="mso-fit-shape-to-text:t;">
                <w:txbxContent>
                  <w:p w14:paraId="2F7AA4EF">
                    <w:pPr>
                      <w:snapToGrid w:val="0"/>
                      <w:rPr>
                        <w:rFonts w:eastAsia="宋体"/>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Thousand"/>
      <w:pStyle w:val="3"/>
      <w:lvlText w:val="(%1)"/>
      <w:lvlJc w:val="left"/>
      <w:pPr>
        <w:ind w:left="845" w:hanging="420"/>
      </w:pPr>
      <w:rPr>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dit="readOnly"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kMTE3YjA2OGIxOGNhZWQxMTk5NTBlODk2NzBlYzgifQ=="/>
  </w:docVars>
  <w:rsids>
    <w:rsidRoot w:val="73524D52"/>
    <w:rsid w:val="0012417E"/>
    <w:rsid w:val="004846CF"/>
    <w:rsid w:val="005C27C9"/>
    <w:rsid w:val="006E13A9"/>
    <w:rsid w:val="00B223D6"/>
    <w:rsid w:val="00B26B3E"/>
    <w:rsid w:val="00B73F7C"/>
    <w:rsid w:val="00CF1751"/>
    <w:rsid w:val="00D6210E"/>
    <w:rsid w:val="010E09BE"/>
    <w:rsid w:val="01F73AF3"/>
    <w:rsid w:val="020B1C7D"/>
    <w:rsid w:val="02547E78"/>
    <w:rsid w:val="03A45265"/>
    <w:rsid w:val="04065667"/>
    <w:rsid w:val="04167A26"/>
    <w:rsid w:val="053425F8"/>
    <w:rsid w:val="05BE04E3"/>
    <w:rsid w:val="062278DE"/>
    <w:rsid w:val="069A46FA"/>
    <w:rsid w:val="06A84E2A"/>
    <w:rsid w:val="0732376F"/>
    <w:rsid w:val="077834E1"/>
    <w:rsid w:val="079C2807"/>
    <w:rsid w:val="07CE060F"/>
    <w:rsid w:val="08027465"/>
    <w:rsid w:val="08184262"/>
    <w:rsid w:val="08574378"/>
    <w:rsid w:val="087C0E70"/>
    <w:rsid w:val="09351792"/>
    <w:rsid w:val="09502DB2"/>
    <w:rsid w:val="096C10E7"/>
    <w:rsid w:val="098E4775"/>
    <w:rsid w:val="09B54F1F"/>
    <w:rsid w:val="09F809DB"/>
    <w:rsid w:val="0A7B416A"/>
    <w:rsid w:val="0AC54116"/>
    <w:rsid w:val="0B5E77E0"/>
    <w:rsid w:val="0BC00D9F"/>
    <w:rsid w:val="0BDB231C"/>
    <w:rsid w:val="0BE81630"/>
    <w:rsid w:val="0C160336"/>
    <w:rsid w:val="0CC94EEC"/>
    <w:rsid w:val="0D1148B9"/>
    <w:rsid w:val="0DB73378"/>
    <w:rsid w:val="0DC9299A"/>
    <w:rsid w:val="0E002C63"/>
    <w:rsid w:val="0FA54F12"/>
    <w:rsid w:val="0FB34607"/>
    <w:rsid w:val="101F3798"/>
    <w:rsid w:val="10C711D1"/>
    <w:rsid w:val="11323B0C"/>
    <w:rsid w:val="113A677C"/>
    <w:rsid w:val="11903010"/>
    <w:rsid w:val="124F0DC9"/>
    <w:rsid w:val="129D4E74"/>
    <w:rsid w:val="13C03A04"/>
    <w:rsid w:val="14987A67"/>
    <w:rsid w:val="16316407"/>
    <w:rsid w:val="16FE52AB"/>
    <w:rsid w:val="17AB6E08"/>
    <w:rsid w:val="17C7673B"/>
    <w:rsid w:val="18F35778"/>
    <w:rsid w:val="18FE2F81"/>
    <w:rsid w:val="196900E3"/>
    <w:rsid w:val="1A644DE7"/>
    <w:rsid w:val="1AA126BD"/>
    <w:rsid w:val="1AF03F17"/>
    <w:rsid w:val="1AF43B53"/>
    <w:rsid w:val="1B3B49EA"/>
    <w:rsid w:val="1B5C3795"/>
    <w:rsid w:val="1B754BF6"/>
    <w:rsid w:val="1BEC6B0F"/>
    <w:rsid w:val="1C46252C"/>
    <w:rsid w:val="1C5E338A"/>
    <w:rsid w:val="1CBD3F2A"/>
    <w:rsid w:val="1D5B654D"/>
    <w:rsid w:val="1E0A5D64"/>
    <w:rsid w:val="1EEF3743"/>
    <w:rsid w:val="1F6E6BB5"/>
    <w:rsid w:val="203552DC"/>
    <w:rsid w:val="20916BF5"/>
    <w:rsid w:val="20A336B4"/>
    <w:rsid w:val="20A82385"/>
    <w:rsid w:val="2125250F"/>
    <w:rsid w:val="2154376E"/>
    <w:rsid w:val="215E7F52"/>
    <w:rsid w:val="21981533"/>
    <w:rsid w:val="22677FC7"/>
    <w:rsid w:val="22C862F3"/>
    <w:rsid w:val="234E282A"/>
    <w:rsid w:val="241F551F"/>
    <w:rsid w:val="25861247"/>
    <w:rsid w:val="264B4D6F"/>
    <w:rsid w:val="266768F0"/>
    <w:rsid w:val="26B56DAA"/>
    <w:rsid w:val="275D2BE9"/>
    <w:rsid w:val="276A0AEA"/>
    <w:rsid w:val="27C4633B"/>
    <w:rsid w:val="28061D38"/>
    <w:rsid w:val="280C499B"/>
    <w:rsid w:val="282D2DD3"/>
    <w:rsid w:val="286972FA"/>
    <w:rsid w:val="28B271CE"/>
    <w:rsid w:val="28C013D7"/>
    <w:rsid w:val="29847868"/>
    <w:rsid w:val="2A1E51F4"/>
    <w:rsid w:val="2AEB5A10"/>
    <w:rsid w:val="2B0C3640"/>
    <w:rsid w:val="2B287F72"/>
    <w:rsid w:val="2B5003A6"/>
    <w:rsid w:val="2BC96298"/>
    <w:rsid w:val="2C0D1AB0"/>
    <w:rsid w:val="2C2A4AA2"/>
    <w:rsid w:val="2CAF4D8A"/>
    <w:rsid w:val="2CC43EBC"/>
    <w:rsid w:val="2D937208"/>
    <w:rsid w:val="2DA56A34"/>
    <w:rsid w:val="2DD70A10"/>
    <w:rsid w:val="2F0E2F5C"/>
    <w:rsid w:val="2F2E4B1A"/>
    <w:rsid w:val="2FA1283A"/>
    <w:rsid w:val="2FB655E4"/>
    <w:rsid w:val="3055103A"/>
    <w:rsid w:val="30690E01"/>
    <w:rsid w:val="306F6904"/>
    <w:rsid w:val="307A120E"/>
    <w:rsid w:val="30F04EFB"/>
    <w:rsid w:val="30F2726E"/>
    <w:rsid w:val="31BA7AEA"/>
    <w:rsid w:val="3229531A"/>
    <w:rsid w:val="322F0DE9"/>
    <w:rsid w:val="32B227A8"/>
    <w:rsid w:val="32E31DDC"/>
    <w:rsid w:val="344276F6"/>
    <w:rsid w:val="344B2F73"/>
    <w:rsid w:val="344F6F06"/>
    <w:rsid w:val="346A6D70"/>
    <w:rsid w:val="34C56651"/>
    <w:rsid w:val="35587EA2"/>
    <w:rsid w:val="355C65FE"/>
    <w:rsid w:val="35965989"/>
    <w:rsid w:val="35DD70CF"/>
    <w:rsid w:val="360716D0"/>
    <w:rsid w:val="36235A1D"/>
    <w:rsid w:val="370538C7"/>
    <w:rsid w:val="3711102F"/>
    <w:rsid w:val="37925B2D"/>
    <w:rsid w:val="37A837DB"/>
    <w:rsid w:val="38035D96"/>
    <w:rsid w:val="381A4DAB"/>
    <w:rsid w:val="388A4874"/>
    <w:rsid w:val="3A731C29"/>
    <w:rsid w:val="3A8C7FE6"/>
    <w:rsid w:val="3BCC614D"/>
    <w:rsid w:val="3BD6339A"/>
    <w:rsid w:val="3C4C4A01"/>
    <w:rsid w:val="3C6C06D7"/>
    <w:rsid w:val="3D137F9C"/>
    <w:rsid w:val="3D7A215F"/>
    <w:rsid w:val="3D9753C3"/>
    <w:rsid w:val="3DE013A8"/>
    <w:rsid w:val="3DFE1AD1"/>
    <w:rsid w:val="3E2C741E"/>
    <w:rsid w:val="3E4312DA"/>
    <w:rsid w:val="3EC53852"/>
    <w:rsid w:val="3FF8394C"/>
    <w:rsid w:val="400931C8"/>
    <w:rsid w:val="40926F4B"/>
    <w:rsid w:val="40AD519C"/>
    <w:rsid w:val="40ED244C"/>
    <w:rsid w:val="410E305F"/>
    <w:rsid w:val="413800EF"/>
    <w:rsid w:val="416F7D32"/>
    <w:rsid w:val="42CA2079"/>
    <w:rsid w:val="42CE5B17"/>
    <w:rsid w:val="43833DB6"/>
    <w:rsid w:val="43B07129"/>
    <w:rsid w:val="43B648EC"/>
    <w:rsid w:val="43FD65A5"/>
    <w:rsid w:val="44ED2674"/>
    <w:rsid w:val="44F95A69"/>
    <w:rsid w:val="45A31D12"/>
    <w:rsid w:val="45E77C69"/>
    <w:rsid w:val="465E0297"/>
    <w:rsid w:val="46633417"/>
    <w:rsid w:val="46DD4C00"/>
    <w:rsid w:val="48084969"/>
    <w:rsid w:val="48B671E7"/>
    <w:rsid w:val="48D11B48"/>
    <w:rsid w:val="496A4F8C"/>
    <w:rsid w:val="4A0D0C5C"/>
    <w:rsid w:val="4A337558"/>
    <w:rsid w:val="4AB70D90"/>
    <w:rsid w:val="4B6317B1"/>
    <w:rsid w:val="4C370189"/>
    <w:rsid w:val="4D92460B"/>
    <w:rsid w:val="4DE56730"/>
    <w:rsid w:val="4E8E0877"/>
    <w:rsid w:val="4E911993"/>
    <w:rsid w:val="4EB22587"/>
    <w:rsid w:val="4EC82191"/>
    <w:rsid w:val="4F0678E4"/>
    <w:rsid w:val="4F8110C6"/>
    <w:rsid w:val="4FFE4D21"/>
    <w:rsid w:val="50060363"/>
    <w:rsid w:val="506856A8"/>
    <w:rsid w:val="50963287"/>
    <w:rsid w:val="50C904A1"/>
    <w:rsid w:val="50F63AD1"/>
    <w:rsid w:val="51896F3E"/>
    <w:rsid w:val="52B43FF6"/>
    <w:rsid w:val="52D3214C"/>
    <w:rsid w:val="532A37A3"/>
    <w:rsid w:val="542B6C60"/>
    <w:rsid w:val="545C2156"/>
    <w:rsid w:val="54DB5397"/>
    <w:rsid w:val="54E20674"/>
    <w:rsid w:val="551036CB"/>
    <w:rsid w:val="55653F28"/>
    <w:rsid w:val="567E2235"/>
    <w:rsid w:val="568F48A2"/>
    <w:rsid w:val="5778319D"/>
    <w:rsid w:val="578861DD"/>
    <w:rsid w:val="584B636E"/>
    <w:rsid w:val="58B63E7C"/>
    <w:rsid w:val="5952032D"/>
    <w:rsid w:val="59765BD5"/>
    <w:rsid w:val="5A5963E2"/>
    <w:rsid w:val="5AB60511"/>
    <w:rsid w:val="5AE57234"/>
    <w:rsid w:val="5B206EED"/>
    <w:rsid w:val="5B456093"/>
    <w:rsid w:val="5B4568D2"/>
    <w:rsid w:val="5BE26A56"/>
    <w:rsid w:val="5BE80AF1"/>
    <w:rsid w:val="5BFBDC51"/>
    <w:rsid w:val="5C59122E"/>
    <w:rsid w:val="5C83281D"/>
    <w:rsid w:val="5CFB5C87"/>
    <w:rsid w:val="5D144A17"/>
    <w:rsid w:val="5D5F01EA"/>
    <w:rsid w:val="5DA43497"/>
    <w:rsid w:val="5DFF2E21"/>
    <w:rsid w:val="5E284309"/>
    <w:rsid w:val="5E850D87"/>
    <w:rsid w:val="5E9031B9"/>
    <w:rsid w:val="5EBF5D4A"/>
    <w:rsid w:val="607645E2"/>
    <w:rsid w:val="61460DB2"/>
    <w:rsid w:val="61655BCE"/>
    <w:rsid w:val="617125D8"/>
    <w:rsid w:val="61D23B37"/>
    <w:rsid w:val="62141564"/>
    <w:rsid w:val="631E29A8"/>
    <w:rsid w:val="6414115C"/>
    <w:rsid w:val="644E7CE1"/>
    <w:rsid w:val="64F91C3F"/>
    <w:rsid w:val="650C68FC"/>
    <w:rsid w:val="65214173"/>
    <w:rsid w:val="65344A43"/>
    <w:rsid w:val="660C3543"/>
    <w:rsid w:val="66485118"/>
    <w:rsid w:val="66654A09"/>
    <w:rsid w:val="66670C93"/>
    <w:rsid w:val="67F85348"/>
    <w:rsid w:val="687C0E18"/>
    <w:rsid w:val="68AF0715"/>
    <w:rsid w:val="69251138"/>
    <w:rsid w:val="694803F7"/>
    <w:rsid w:val="696A7177"/>
    <w:rsid w:val="698B76BE"/>
    <w:rsid w:val="69F63438"/>
    <w:rsid w:val="69F8733B"/>
    <w:rsid w:val="6AC61D44"/>
    <w:rsid w:val="6B3428E3"/>
    <w:rsid w:val="6BA47F15"/>
    <w:rsid w:val="6BB6151D"/>
    <w:rsid w:val="6BFF3389"/>
    <w:rsid w:val="6C367B94"/>
    <w:rsid w:val="6DB94528"/>
    <w:rsid w:val="6DFD310C"/>
    <w:rsid w:val="6E1C36E7"/>
    <w:rsid w:val="6E9B7A22"/>
    <w:rsid w:val="6EE675AE"/>
    <w:rsid w:val="701702B4"/>
    <w:rsid w:val="70200323"/>
    <w:rsid w:val="708F37B3"/>
    <w:rsid w:val="70C301B0"/>
    <w:rsid w:val="70D455FA"/>
    <w:rsid w:val="70E20E03"/>
    <w:rsid w:val="70F532B9"/>
    <w:rsid w:val="70F66267"/>
    <w:rsid w:val="719C5A56"/>
    <w:rsid w:val="72177BE3"/>
    <w:rsid w:val="72203B73"/>
    <w:rsid w:val="7273091E"/>
    <w:rsid w:val="72F262D6"/>
    <w:rsid w:val="72F57B0C"/>
    <w:rsid w:val="73524D52"/>
    <w:rsid w:val="74022A1D"/>
    <w:rsid w:val="740E16FA"/>
    <w:rsid w:val="7473523A"/>
    <w:rsid w:val="749B22D1"/>
    <w:rsid w:val="749E08ED"/>
    <w:rsid w:val="74A15A8E"/>
    <w:rsid w:val="74C777AC"/>
    <w:rsid w:val="75EE17C1"/>
    <w:rsid w:val="764D5C4F"/>
    <w:rsid w:val="76E22A7B"/>
    <w:rsid w:val="77B66EA7"/>
    <w:rsid w:val="78F5637E"/>
    <w:rsid w:val="79104A98"/>
    <w:rsid w:val="794144F3"/>
    <w:rsid w:val="79AF32DE"/>
    <w:rsid w:val="79E367C1"/>
    <w:rsid w:val="79F5D942"/>
    <w:rsid w:val="7ABD67AB"/>
    <w:rsid w:val="7B49300B"/>
    <w:rsid w:val="7B6D0642"/>
    <w:rsid w:val="7BB43943"/>
    <w:rsid w:val="7C5467B1"/>
    <w:rsid w:val="7C8C4FFD"/>
    <w:rsid w:val="7D359E14"/>
    <w:rsid w:val="7D440EBB"/>
    <w:rsid w:val="7D8F07AD"/>
    <w:rsid w:val="7DDB016B"/>
    <w:rsid w:val="7E0418EC"/>
    <w:rsid w:val="7E196511"/>
    <w:rsid w:val="7E4B20AF"/>
    <w:rsid w:val="7F6F296B"/>
    <w:rsid w:val="7F985794"/>
    <w:rsid w:val="BBF7405A"/>
    <w:rsid w:val="BBFEFE15"/>
    <w:rsid w:val="E3FD0D51"/>
    <w:rsid w:val="FBDF1595"/>
    <w:rsid w:val="FDFD2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unhideWhenUsed/>
    <w:qFormat/>
    <w:uiPriority w:val="0"/>
    <w:pPr>
      <w:keepNext/>
      <w:keepLines/>
      <w:numPr>
        <w:ilvl w:val="0"/>
        <w:numId w:val="1"/>
      </w:numPr>
      <w:spacing w:before="260" w:after="260" w:line="416" w:lineRule="auto"/>
      <w:ind w:right="100" w:rightChars="100"/>
      <w:outlineLvl w:val="2"/>
    </w:pPr>
    <w:rPr>
      <w:rFonts w:ascii="Calibri" w:hAnsi="Calibri" w:eastAsia="宋体" w:cs="Times New Roman"/>
      <w:b/>
      <w:bCs/>
      <w:sz w:val="24"/>
      <w:szCs w:val="32"/>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4">
    <w:name w:val="Balloon Text"/>
    <w:basedOn w:val="1"/>
    <w:link w:val="17"/>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7">
    <w:name w:val="toc 2"/>
    <w:basedOn w:val="1"/>
    <w:next w:val="1"/>
    <w:qFormat/>
    <w:uiPriority w:val="0"/>
    <w:rPr>
      <w:rFonts w:hint="default"/>
      <w:sz w:val="21"/>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paragraph" w:customStyle="1" w:styleId="13">
    <w:name w:val="正文 New New New New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4">
    <w:name w:val="正文 New New"/>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15">
    <w:name w:val="普通(网站)1"/>
    <w:basedOn w:val="1"/>
    <w:qFormat/>
    <w:uiPriority w:val="0"/>
    <w:rPr>
      <w:sz w:val="24"/>
    </w:rPr>
  </w:style>
  <w:style w:type="character" w:customStyle="1" w:styleId="16">
    <w:name w:val="页眉 字符"/>
    <w:basedOn w:val="11"/>
    <w:link w:val="6"/>
    <w:qFormat/>
    <w:uiPriority w:val="0"/>
    <w:rPr>
      <w:kern w:val="2"/>
      <w:sz w:val="18"/>
      <w:szCs w:val="18"/>
    </w:rPr>
  </w:style>
  <w:style w:type="character" w:customStyle="1" w:styleId="17">
    <w:name w:val="批注框文本 字符"/>
    <w:basedOn w:val="11"/>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市社会保险基金管理局</Company>
  <Pages>2</Pages>
  <Words>968</Words>
  <Characters>1026</Characters>
  <Lines>83</Lines>
  <Paragraphs>23</Paragraphs>
  <TotalTime>0</TotalTime>
  <ScaleCrop>false</ScaleCrop>
  <LinksUpToDate>false</LinksUpToDate>
  <CharactersWithSpaces>1071</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2020-06-24T10:05:00Z</dcterms:created>
  <dc:creator>廖翥</dc:creator>
  <cp:lastModifiedBy>医药价格和采购管理科02</cp:lastModifiedBy>
  <cp:lastPrinted>2025-02-27T09:28:00Z</cp:lastPrinted>
  <dcterms:modified xsi:type="dcterms:W3CDTF">2025-03-12T03:32:44Z</dcterms:modified>
  <dc:title>  </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149158BCC01745308E75914FFF131615</vt:lpwstr>
  </property>
</Properties>
</file>