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E95A7">
      <w:pPr>
        <w:keepNext w:val="0"/>
        <w:keepLines w:val="0"/>
        <w:pageBreakBefore w:val="0"/>
        <w:numPr>
          <w:ilvl w:val="0"/>
          <w:numId w:val="0"/>
        </w:numPr>
        <w:kinsoku/>
        <w:wordWrap/>
        <w:overflowPunct/>
        <w:topLinePunct w:val="0"/>
        <w:bidi w:val="0"/>
        <w:spacing w:line="54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0EB5A9C7">
      <w:pPr>
        <w:pStyle w:val="15"/>
        <w:keepNext w:val="0"/>
        <w:keepLines w:val="0"/>
        <w:pageBreakBefore w:val="0"/>
        <w:widowControl/>
        <w:shd w:val="clear" w:color="070000" w:fill="FFFFFF"/>
        <w:kinsoku/>
        <w:wordWrap/>
        <w:overflowPunct/>
        <w:topLinePunct w:val="0"/>
        <w:bidi w:val="0"/>
        <w:spacing w:line="540" w:lineRule="exact"/>
        <w:jc w:val="left"/>
        <w:textAlignment w:val="auto"/>
        <w:rPr>
          <w:rFonts w:hint="eastAsia" w:ascii="黑体" w:hAnsi="黑体" w:eastAsia="黑体"/>
          <w:sz w:val="32"/>
          <w:szCs w:val="32"/>
        </w:rPr>
      </w:pPr>
    </w:p>
    <w:p w14:paraId="3F89ECA9">
      <w:pPr>
        <w:pStyle w:val="7"/>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梅州市医疗保障局关于公布临床量表评估类医疗服务项目定价方案（征求意见稿）</w:t>
      </w:r>
    </w:p>
    <w:p w14:paraId="522BED66">
      <w:pPr>
        <w:keepNext w:val="0"/>
        <w:keepLines w:val="0"/>
        <w:pageBreakBefore w:val="0"/>
        <w:kinsoku/>
        <w:wordWrap/>
        <w:overflowPunct/>
        <w:topLinePunct w:val="0"/>
        <w:bidi w:val="0"/>
        <w:spacing w:line="540" w:lineRule="exact"/>
        <w:textAlignment w:val="auto"/>
        <w:rPr>
          <w:rFonts w:hint="eastAsia" w:ascii="方正小标宋简体" w:hAnsi="方正小标宋简体" w:eastAsia="方正小标宋简体" w:cs="方正小标宋简体"/>
          <w:sz w:val="36"/>
          <w:szCs w:val="36"/>
          <w:lang w:val="en-US" w:eastAsia="zh-CN"/>
        </w:rPr>
      </w:pPr>
    </w:p>
    <w:p w14:paraId="7B699F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lang w:val="en-US" w:eastAsia="zh-CN"/>
        </w:rPr>
      </w:pPr>
      <w:r>
        <w:rPr>
          <w:rFonts w:hint="eastAsia" w:ascii="Nimbus Roman" w:hAnsi="Nimbus Roman" w:eastAsia="仿宋_GB2312" w:cs="Nimbus Roman"/>
          <w:color w:val="000000"/>
          <w:sz w:val="32"/>
          <w:szCs w:val="32"/>
          <w:lang w:eastAsia="zh-CN"/>
        </w:rPr>
        <w:t>根据</w:t>
      </w:r>
      <w:r>
        <w:rPr>
          <w:rFonts w:hint="eastAsia" w:ascii="Times New Roman" w:hAnsi="仿宋_GB2312" w:eastAsia="仿宋_GB2312" w:cs="Times New Roman"/>
          <w:color w:val="auto"/>
          <w:sz w:val="32"/>
          <w:szCs w:val="32"/>
          <w:lang w:eastAsia="zh-CN"/>
        </w:rPr>
        <w:t>《广东省医疗保障局关于公布临床量表评估类医疗服务价格项目的通知》（粤医保发〔202</w:t>
      </w:r>
      <w:r>
        <w:rPr>
          <w:rFonts w:hint="eastAsia" w:ascii="Times New Roman" w:hAnsi="仿宋_GB2312" w:eastAsia="仿宋_GB2312" w:cs="Times New Roman"/>
          <w:color w:val="auto"/>
          <w:sz w:val="32"/>
          <w:szCs w:val="32"/>
          <w:lang w:val="en-US" w:eastAsia="zh-CN"/>
        </w:rPr>
        <w:t>5</w:t>
      </w:r>
      <w:r>
        <w:rPr>
          <w:rFonts w:hint="eastAsia" w:ascii="Times New Roman" w:hAnsi="仿宋_GB2312" w:eastAsia="仿宋_GB2312" w:cs="Times New Roman"/>
          <w:color w:val="auto"/>
          <w:sz w:val="32"/>
          <w:szCs w:val="32"/>
          <w:lang w:eastAsia="zh-CN"/>
        </w:rPr>
        <w:t>〕</w:t>
      </w:r>
      <w:r>
        <w:rPr>
          <w:rFonts w:hint="eastAsia" w:ascii="Times New Roman" w:hAnsi="仿宋_GB2312" w:eastAsia="仿宋_GB2312" w:cs="Times New Roman"/>
          <w:color w:val="auto"/>
          <w:sz w:val="32"/>
          <w:szCs w:val="32"/>
          <w:lang w:val="en-US" w:eastAsia="zh-CN"/>
        </w:rPr>
        <w:t>4</w:t>
      </w:r>
      <w:r>
        <w:rPr>
          <w:rFonts w:hint="eastAsia" w:ascii="Times New Roman" w:hAnsi="仿宋_GB2312" w:eastAsia="仿宋_GB2312" w:cs="Times New Roman"/>
          <w:color w:val="auto"/>
          <w:sz w:val="32"/>
          <w:szCs w:val="32"/>
          <w:lang w:eastAsia="zh-CN"/>
        </w:rPr>
        <w:t>号）</w:t>
      </w:r>
      <w:r>
        <w:rPr>
          <w:rFonts w:hint="eastAsia" w:eastAsia="仿宋_GB2312" w:cs="Times New Roman"/>
          <w:b w:val="0"/>
          <w:i w:val="0"/>
          <w:snapToGrid/>
          <w:color w:val="000000"/>
          <w:sz w:val="32"/>
          <w:szCs w:val="32"/>
          <w:lang w:val="en-US" w:eastAsia="zh-CN"/>
        </w:rPr>
        <w:t>精神</w:t>
      </w:r>
      <w:r>
        <w:rPr>
          <w:rFonts w:hint="eastAsia" w:ascii="仿宋_GB2312" w:hAnsi="仿宋_GB2312" w:eastAsia="仿宋_GB2312" w:cs="仿宋_GB2312"/>
          <w:sz w:val="32"/>
          <w:szCs w:val="32"/>
          <w:lang w:val="en-US" w:eastAsia="zh-CN"/>
        </w:rPr>
        <w:t>，市医疗保障局拟对临床量表评估类医疗服务项目进行定价，具体方案如下：</w:t>
      </w:r>
    </w:p>
    <w:p w14:paraId="32199722">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定价</w:t>
      </w:r>
      <w:r>
        <w:rPr>
          <w:rFonts w:hint="eastAsia" w:ascii="黑体" w:hAnsi="黑体" w:eastAsia="黑体" w:cs="黑体"/>
          <w:color w:val="auto"/>
          <w:sz w:val="32"/>
          <w:szCs w:val="32"/>
        </w:rPr>
        <w:t>内容</w:t>
      </w:r>
    </w:p>
    <w:p w14:paraId="11781D72">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我局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按照定价要求开展项目成本调查，选取具有行业代表性，服务量较大的梅州市人民医院、梅州市第三人民医院等</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家</w:t>
      </w:r>
      <w:r>
        <w:rPr>
          <w:rFonts w:hint="eastAsia" w:ascii="仿宋_GB2312" w:hAnsi="仿宋_GB2312" w:eastAsia="仿宋_GB2312" w:cs="仿宋_GB2312"/>
          <w:color w:val="auto"/>
          <w:kern w:val="0"/>
          <w:sz w:val="32"/>
          <w:szCs w:val="32"/>
          <w:lang w:val="en-US" w:eastAsia="zh-CN"/>
        </w:rPr>
        <w:t>医疗机构作为样本医院，开展</w:t>
      </w:r>
      <w:r>
        <w:rPr>
          <w:rStyle w:val="11"/>
          <w:rFonts w:hint="eastAsia" w:ascii="仿宋_GB2312" w:hAnsi="仿宋_GB2312" w:eastAsia="仿宋_GB2312" w:cs="仿宋_GB2312"/>
          <w:color w:val="auto"/>
          <w:kern w:val="0"/>
          <w:sz w:val="32"/>
          <w:szCs w:val="32"/>
          <w:lang w:val="en-US" w:eastAsia="zh-CN" w:bidi="ar-SA"/>
        </w:rPr>
        <w:t>临床量表评估类医疗服务项目</w:t>
      </w:r>
      <w:r>
        <w:rPr>
          <w:rFonts w:hint="eastAsia" w:ascii="仿宋_GB2312" w:hAnsi="仿宋_GB2312" w:eastAsia="仿宋_GB2312" w:cs="仿宋_GB2312"/>
          <w:color w:val="auto"/>
          <w:kern w:val="0"/>
          <w:sz w:val="32"/>
          <w:szCs w:val="32"/>
          <w:lang w:val="en-US" w:eastAsia="zh-CN"/>
        </w:rPr>
        <w:t>成本调查工作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在省医保局制定的全省最高限</w:t>
      </w:r>
      <w:r>
        <w:rPr>
          <w:rFonts w:hint="eastAsia" w:ascii="仿宋_GB2312" w:hAnsi="仿宋_GB2312" w:eastAsia="仿宋_GB2312" w:cs="仿宋_GB2312"/>
          <w:color w:val="000000" w:themeColor="text1"/>
          <w:sz w:val="32"/>
          <w:szCs w:val="32"/>
          <w14:textFill>
            <w14:solidFill>
              <w14:schemeClr w14:val="tx1"/>
            </w14:solidFill>
          </w14:textFill>
        </w:rPr>
        <w:t>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的基础上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lang w:val="en-US" w:eastAsia="zh-CN"/>
        </w:rPr>
        <w:t>综合考虑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我市经济社会发展水平、群众医疗服务需求、患者基本医疗费用总体负担、医保基金承受能力、地市间比价关系等因素，</w:t>
      </w:r>
      <w:r>
        <w:rPr>
          <w:rFonts w:hint="eastAsia" w:ascii="仿宋_GB2312" w:hAnsi="仿宋_GB2312" w:eastAsia="仿宋_GB2312" w:cs="仿宋_GB2312"/>
          <w:sz w:val="32"/>
          <w:szCs w:val="32"/>
          <w:highlight w:val="none"/>
          <w:lang w:val="en-US" w:eastAsia="zh-CN"/>
        </w:rPr>
        <w:t>拟</w:t>
      </w:r>
      <w:r>
        <w:rPr>
          <w:rFonts w:hint="eastAsia" w:ascii="仿宋_GB2312" w:hAnsi="仿宋_GB2312" w:eastAsia="仿宋_GB2312" w:cs="仿宋_GB2312"/>
          <w:color w:val="auto"/>
          <w:sz w:val="32"/>
          <w:szCs w:val="32"/>
          <w:lang w:val="en-US" w:eastAsia="zh-CN"/>
        </w:rPr>
        <w:t>确定我市</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三级公立医疗机构</w:t>
      </w:r>
      <w:r>
        <w:rPr>
          <w:rFonts w:hint="eastAsia" w:ascii="仿宋_GB2312" w:hAnsi="仿宋_GB2312" w:eastAsia="仿宋_GB2312" w:cs="仿宋_GB2312"/>
          <w:sz w:val="32"/>
          <w:szCs w:val="32"/>
          <w:lang w:val="en-US" w:eastAsia="zh-CN"/>
        </w:rPr>
        <w:t>临床量表评估类医疗服务项目</w:t>
      </w:r>
      <w:r>
        <w:rPr>
          <w:rFonts w:hint="eastAsia" w:ascii="仿宋_GB2312" w:hAnsi="仿宋_GB2312" w:eastAsia="仿宋_GB2312" w:cs="仿宋_GB2312"/>
          <w:color w:val="auto"/>
          <w:sz w:val="32"/>
          <w:szCs w:val="32"/>
          <w:lang w:val="en-US" w:eastAsia="zh-CN"/>
        </w:rPr>
        <w:t>价格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按省最高限价下浮</w:t>
      </w:r>
      <w:r>
        <w:rPr>
          <w:rFonts w:hint="eastAsia" w:ascii="仿宋_GB2312" w:hAnsi="仿宋_GB2312" w:eastAsia="仿宋_GB2312" w:cs="仿宋_GB2312"/>
          <w:color w:val="auto"/>
          <w:sz w:val="32"/>
          <w:szCs w:val="32"/>
          <w:lang w:val="en-US" w:eastAsia="zh-CN"/>
        </w:rPr>
        <w:t>10</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，二级、一级</w:t>
      </w:r>
      <w:r>
        <w:rPr>
          <w:rFonts w:hint="eastAsia" w:ascii="仿宋_GB2312" w:hAnsi="仿宋_GB2312" w:eastAsia="仿宋_GB2312" w:cs="仿宋_GB2312"/>
          <w:color w:val="auto"/>
          <w:sz w:val="32"/>
          <w:szCs w:val="32"/>
          <w:lang w:val="en-US" w:eastAsia="zh-CN"/>
        </w:rPr>
        <w:t>公立医疗机构价格分别按三级公立医疗机构价格的8.2%</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w:t>
      </w:r>
      <w:r>
        <w:rPr>
          <w:rFonts w:hint="eastAsia" w:ascii="仿宋_GB2312" w:hAnsi="仿宋_GB2312" w:eastAsia="仿宋_GB2312" w:cs="仿宋_GB2312"/>
          <w:color w:val="auto"/>
          <w:sz w:val="32"/>
          <w:szCs w:val="32"/>
          <w:lang w:val="en-US" w:eastAsia="zh-CN"/>
        </w:rPr>
        <w:t>16.2%下浮。</w:t>
      </w:r>
    </w:p>
    <w:p w14:paraId="37515732">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二、其他事项</w:t>
      </w:r>
    </w:p>
    <w:p w14:paraId="646AEAB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本方案拟于2025年4月1日起实施。</w:t>
      </w:r>
      <w:bookmarkStart w:id="0" w:name="_GoBack"/>
      <w:bookmarkEnd w:id="0"/>
    </w:p>
    <w:p w14:paraId="30A2C77E">
      <w:pPr>
        <w:pStyle w:val="2"/>
        <w:keepNext w:val="0"/>
        <w:keepLines w:val="0"/>
        <w:pageBreakBefore w:val="0"/>
        <w:kinsoku/>
        <w:wordWrap/>
        <w:overflowPunct/>
        <w:topLinePunct w:val="0"/>
        <w:bidi w:val="0"/>
        <w:spacing w:line="540" w:lineRule="exact"/>
        <w:textAlignment w:val="auto"/>
        <w:rPr>
          <w:rFonts w:hint="eastAsia"/>
          <w:lang w:val="en-US" w:eastAsia="zh-CN"/>
        </w:rPr>
      </w:pPr>
    </w:p>
    <w:p w14:paraId="634D7BB8">
      <w:pPr>
        <w:keepNext w:val="0"/>
        <w:keepLines w:val="0"/>
        <w:pageBreakBefore w:val="0"/>
        <w:widowControl w:val="0"/>
        <w:kinsoku/>
        <w:wordWrap/>
        <w:overflowPunct/>
        <w:topLinePunct w:val="0"/>
        <w:autoSpaceDE/>
        <w:autoSpaceDN/>
        <w:bidi w:val="0"/>
        <w:adjustRightInd/>
        <w:snapToGrid/>
        <w:spacing w:line="540" w:lineRule="exact"/>
        <w:ind w:left="2238" w:leftChars="304" w:hanging="1600" w:hangingChars="500"/>
        <w:jc w:val="left"/>
        <w:textAlignment w:val="auto"/>
        <w:rPr>
          <w:rFonts w:hint="default" w:ascii="仿宋_GB2312" w:hAnsi="仿宋_GB2312" w:eastAsia="仿宋_GB2312" w:cs="Calibri"/>
          <w:color w:val="000000"/>
          <w:sz w:val="32"/>
          <w:szCs w:val="21"/>
          <w:lang w:val="en-US" w:eastAsia="zh-CN"/>
        </w:rPr>
      </w:pPr>
      <w:r>
        <w:rPr>
          <w:rFonts w:hint="eastAsia" w:ascii="仿宋_GB2312" w:hAnsi="仿宋_GB2312" w:eastAsia="仿宋_GB2312" w:cs="仿宋_GB2312"/>
          <w:color w:val="auto"/>
          <w:kern w:val="2"/>
          <w:sz w:val="32"/>
          <w:szCs w:val="32"/>
          <w:lang w:val="en-US" w:eastAsia="zh-CN" w:bidi="ar-SA"/>
        </w:rPr>
        <w:t>附件：1-1.</w:t>
      </w:r>
      <w:r>
        <w:rPr>
          <w:rFonts w:hint="eastAsia" w:ascii="仿宋_GB2312" w:hAnsi="仿宋_GB2312" w:eastAsia="仿宋_GB2312" w:cs="仿宋_GB2312"/>
          <w:color w:val="auto"/>
          <w:sz w:val="32"/>
          <w:szCs w:val="32"/>
          <w:lang w:val="en-US" w:eastAsia="zh-CN"/>
        </w:rPr>
        <w:t>梅州市</w:t>
      </w:r>
      <w:r>
        <w:rPr>
          <w:rFonts w:hint="eastAsia" w:ascii="仿宋_GB2312" w:hAnsi="仿宋_GB2312" w:eastAsia="仿宋_GB2312" w:cs="仿宋_GB2312"/>
          <w:sz w:val="32"/>
          <w:szCs w:val="32"/>
          <w:lang w:val="en-US" w:eastAsia="zh-CN"/>
        </w:rPr>
        <w:t>临床量表评估类医疗服务项目</w:t>
      </w:r>
      <w:r>
        <w:rPr>
          <w:rFonts w:hint="eastAsia" w:ascii="仿宋_GB2312" w:hAnsi="仿宋_GB2312" w:eastAsia="仿宋_GB2312" w:cs="仿宋_GB2312"/>
          <w:color w:val="auto"/>
          <w:sz w:val="32"/>
          <w:szCs w:val="32"/>
          <w:lang w:val="en-US" w:eastAsia="zh-CN"/>
        </w:rPr>
        <w:t>价格表</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Calibri"/>
          <w:color w:val="000000"/>
          <w:sz w:val="32"/>
          <w:szCs w:val="21"/>
          <w:lang w:val="en-US" w:eastAsia="zh-CN"/>
        </w:rPr>
        <w:t xml:space="preserve">              </w:t>
      </w:r>
    </w:p>
    <w:sectPr>
      <w:footerReference r:id="rId4" w:type="first"/>
      <w:footerReference r:id="rId3" w:type="default"/>
      <w:pgSz w:w="11906" w:h="16838"/>
      <w:pgMar w:top="1984" w:right="1587" w:bottom="1984" w:left="1587" w:header="1701" w:footer="567" w:gutter="0"/>
      <w:pgNumType w:fmt="numberInDash"/>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BDC40">
    <w:pPr>
      <w:pStyle w:val="5"/>
    </w:pPr>
    <w:r>
      <mc:AlternateContent>
        <mc:Choice Requires="wps">
          <w:drawing>
            <wp:anchor distT="0" distB="0" distL="114300" distR="114300" simplePos="0" relativeHeight="251659264" behindDoc="0" locked="0" layoutInCell="1" allowOverlap="1">
              <wp:simplePos x="0" y="0"/>
              <wp:positionH relativeFrom="margin">
                <wp:posOffset>5113020</wp:posOffset>
              </wp:positionH>
              <wp:positionV relativeFrom="paragraph">
                <wp:posOffset>-115570</wp:posOffset>
              </wp:positionV>
              <wp:extent cx="431800" cy="377190"/>
              <wp:effectExtent l="0" t="0" r="0" b="0"/>
              <wp:wrapNone/>
              <wp:docPr id="6" name="Text Box 1025"/>
              <wp:cNvGraphicFramePr/>
              <a:graphic xmlns:a="http://schemas.openxmlformats.org/drawingml/2006/main">
                <a:graphicData uri="http://schemas.microsoft.com/office/word/2010/wordprocessingShape">
                  <wps:wsp>
                    <wps:cNvSpPr/>
                    <wps:spPr>
                      <a:xfrm>
                        <a:off x="0" y="0"/>
                        <a:ext cx="431800" cy="377190"/>
                      </a:xfrm>
                      <a:prstGeom prst="rect">
                        <a:avLst/>
                      </a:prstGeom>
                      <a:noFill/>
                      <a:ln w="9525">
                        <a:noFill/>
                      </a:ln>
                    </wps:spPr>
                    <wps:txbx>
                      <w:txbxContent>
                        <w:p w14:paraId="6296C1E2">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wps:txbx>
                    <wps:bodyPr wrap="square" lIns="0" tIns="0" rIns="0" bIns="0" upright="1">
                      <a:noAutofit/>
                    </wps:bodyPr>
                  </wps:wsp>
                </a:graphicData>
              </a:graphic>
            </wp:anchor>
          </w:drawing>
        </mc:Choice>
        <mc:Fallback>
          <w:pict>
            <v:rect id="Text Box 1025" o:spid="_x0000_s1026" o:spt="1" style="position:absolute;left:0pt;margin-left:402.6pt;margin-top:-9.1pt;height:29.7pt;width:34pt;mso-position-horizontal-relative:margin;z-index:251659264;mso-width-relative:page;mso-height-relative:page;" filled="f" stroked="f" coordsize="21600,21600" o:gfxdata="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X/XL9oAAAAKAQAADwAAAAAAAAABACAAAAAiAAAAZHJzL2Rvd25y&#10;ZXYueG1sUEsBAhQAFAAAAAgAh07iQEgtgDPDAQAAmgMAAA4AAAAAAAAAAQAgAAAAKQEAAGRycy9l&#10;Mm9Eb2MueG1sUEsFBgAAAAAGAAYAWQEAAF4FAAAAAA==&#10;">
              <v:fill on="f" focussize="0,0"/>
              <v:stroke on="f"/>
              <v:imagedata o:title=""/>
              <o:lock v:ext="edit" aspectratio="f"/>
              <v:textbox inset="0mm,0mm,0mm,0mm">
                <w:txbxContent>
                  <w:p w14:paraId="6296C1E2">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0B293">
    <w:pPr>
      <w:pStyle w:val="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21590</wp:posOffset>
              </wp:positionV>
              <wp:extent cx="1828800" cy="1828800"/>
              <wp:effectExtent l="0" t="0" r="0" b="0"/>
              <wp:wrapNone/>
              <wp:docPr id="4" name="文本框12"/>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a:noFill/>
                      </a:ln>
                    </wps:spPr>
                    <wps:txbx>
                      <w:txbxContent>
                        <w:p w14:paraId="55DB30C3">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rect id="文本框12" o:spid="_x0000_s1026" o:spt="1" style="position:absolute;left:0pt;margin-top:1.7pt;height:144pt;width:144pt;mso-position-horizontal:right;mso-position-horizontal-relative:margin;mso-wrap-style:none;z-index:251660288;mso-width-relative:page;mso-height-relative:page;" filled="f" stroked="f" coordsize="21600,21600" o:gfxdata="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SaL3tQAAAAGAQAADwAAAAAAAAABACAAAAAiAAAAZHJzL2Rvd25yZXYu&#10;eG1sUEsBAhQAFAAAAAgAh07iQCktGJXGAQAAjQMAAA4AAAAAAAAAAQAgAAAAIwEAAGRycy9lMm9E&#10;b2MueG1sUEsFBgAAAAAGAAYAWQEAAFsFAAAAAA==&#10;">
              <v:fill on="f" focussize="0,0"/>
              <v:stroke on="f" weight="1.25pt"/>
              <v:imagedata o:title=""/>
              <o:lock v:ext="edit" aspectratio="f"/>
              <v:textbox inset="0mm,0mm,0mm,0mm" style="mso-fit-shape-to-text:t;">
                <w:txbxContent>
                  <w:p w14:paraId="55DB30C3">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3"/>
      <w:lvlText w:val="(%1)"/>
      <w:lvlJc w:val="left"/>
      <w:pPr>
        <w:ind w:left="845"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TE3YjA2OGIxOGNhZWQxMTk5NTBlODk2NzBlYzgifQ=="/>
  </w:docVars>
  <w:rsids>
    <w:rsidRoot w:val="73524D52"/>
    <w:rsid w:val="0012417E"/>
    <w:rsid w:val="004846CF"/>
    <w:rsid w:val="005C27C9"/>
    <w:rsid w:val="006E13A9"/>
    <w:rsid w:val="00B223D6"/>
    <w:rsid w:val="00B26B3E"/>
    <w:rsid w:val="00B73F7C"/>
    <w:rsid w:val="00CF1751"/>
    <w:rsid w:val="00D6210E"/>
    <w:rsid w:val="010E09BE"/>
    <w:rsid w:val="01F73AF3"/>
    <w:rsid w:val="020B1C7D"/>
    <w:rsid w:val="02547E78"/>
    <w:rsid w:val="03A45265"/>
    <w:rsid w:val="04065667"/>
    <w:rsid w:val="04167A26"/>
    <w:rsid w:val="04521626"/>
    <w:rsid w:val="053425F8"/>
    <w:rsid w:val="05BE04E3"/>
    <w:rsid w:val="062278DE"/>
    <w:rsid w:val="069A46FA"/>
    <w:rsid w:val="06A84E2A"/>
    <w:rsid w:val="0732376F"/>
    <w:rsid w:val="077834E1"/>
    <w:rsid w:val="07CE060F"/>
    <w:rsid w:val="08027465"/>
    <w:rsid w:val="08184262"/>
    <w:rsid w:val="08574378"/>
    <w:rsid w:val="087C0E70"/>
    <w:rsid w:val="09351792"/>
    <w:rsid w:val="096C10E7"/>
    <w:rsid w:val="098E4775"/>
    <w:rsid w:val="09B54F1F"/>
    <w:rsid w:val="09F809DB"/>
    <w:rsid w:val="0A7B416A"/>
    <w:rsid w:val="0AC54116"/>
    <w:rsid w:val="0B5E77E0"/>
    <w:rsid w:val="0BC00D9F"/>
    <w:rsid w:val="0BDB231C"/>
    <w:rsid w:val="0BE81630"/>
    <w:rsid w:val="0C160336"/>
    <w:rsid w:val="0C77760C"/>
    <w:rsid w:val="0D075803"/>
    <w:rsid w:val="0D9E2849"/>
    <w:rsid w:val="0DB73378"/>
    <w:rsid w:val="0DC9299A"/>
    <w:rsid w:val="0DF17FC1"/>
    <w:rsid w:val="0E002C63"/>
    <w:rsid w:val="0FA54F12"/>
    <w:rsid w:val="0FB34607"/>
    <w:rsid w:val="101F3798"/>
    <w:rsid w:val="10C711D1"/>
    <w:rsid w:val="11323B0C"/>
    <w:rsid w:val="113A677C"/>
    <w:rsid w:val="11903010"/>
    <w:rsid w:val="123041B9"/>
    <w:rsid w:val="124F0DC9"/>
    <w:rsid w:val="129D4E74"/>
    <w:rsid w:val="13C03A04"/>
    <w:rsid w:val="14353E7C"/>
    <w:rsid w:val="14987A67"/>
    <w:rsid w:val="16BD7A61"/>
    <w:rsid w:val="16FE52AB"/>
    <w:rsid w:val="17AB6E08"/>
    <w:rsid w:val="17C7673B"/>
    <w:rsid w:val="18F35778"/>
    <w:rsid w:val="18F5432D"/>
    <w:rsid w:val="18FE2F81"/>
    <w:rsid w:val="196900E3"/>
    <w:rsid w:val="1A644DE7"/>
    <w:rsid w:val="1AF43B53"/>
    <w:rsid w:val="1B0836BA"/>
    <w:rsid w:val="1B3B49EA"/>
    <w:rsid w:val="1B5C3795"/>
    <w:rsid w:val="1B754BF6"/>
    <w:rsid w:val="1BEC6B0F"/>
    <w:rsid w:val="1C46252C"/>
    <w:rsid w:val="1C5E338A"/>
    <w:rsid w:val="1CBD3F2A"/>
    <w:rsid w:val="1D5B654D"/>
    <w:rsid w:val="1E0A5D64"/>
    <w:rsid w:val="1EEF3743"/>
    <w:rsid w:val="1F6E6BB5"/>
    <w:rsid w:val="203552DC"/>
    <w:rsid w:val="20916BF5"/>
    <w:rsid w:val="20A336B4"/>
    <w:rsid w:val="20A82385"/>
    <w:rsid w:val="2125250F"/>
    <w:rsid w:val="2154376E"/>
    <w:rsid w:val="215E7F52"/>
    <w:rsid w:val="21981533"/>
    <w:rsid w:val="22677FC7"/>
    <w:rsid w:val="22C862F3"/>
    <w:rsid w:val="234E282A"/>
    <w:rsid w:val="241F551F"/>
    <w:rsid w:val="25861247"/>
    <w:rsid w:val="263A58FA"/>
    <w:rsid w:val="264B4D6F"/>
    <w:rsid w:val="266768F0"/>
    <w:rsid w:val="26B56DAA"/>
    <w:rsid w:val="276A0AEA"/>
    <w:rsid w:val="280C499B"/>
    <w:rsid w:val="28B271CE"/>
    <w:rsid w:val="28C013D7"/>
    <w:rsid w:val="29847868"/>
    <w:rsid w:val="2A1E51F4"/>
    <w:rsid w:val="2AEB5A10"/>
    <w:rsid w:val="2B4165C5"/>
    <w:rsid w:val="2B5003A6"/>
    <w:rsid w:val="2BC96298"/>
    <w:rsid w:val="2C0D1AB0"/>
    <w:rsid w:val="2C2A4AA2"/>
    <w:rsid w:val="2CC43EBC"/>
    <w:rsid w:val="2D192D11"/>
    <w:rsid w:val="2D196E35"/>
    <w:rsid w:val="2DA56A34"/>
    <w:rsid w:val="2DD70A10"/>
    <w:rsid w:val="2E65162B"/>
    <w:rsid w:val="2E9848D4"/>
    <w:rsid w:val="2F0E2F5C"/>
    <w:rsid w:val="2FA1283A"/>
    <w:rsid w:val="2FB655E4"/>
    <w:rsid w:val="3055103A"/>
    <w:rsid w:val="30690E01"/>
    <w:rsid w:val="307A120E"/>
    <w:rsid w:val="31BA7AEA"/>
    <w:rsid w:val="3229531A"/>
    <w:rsid w:val="322F0DE9"/>
    <w:rsid w:val="32B227A8"/>
    <w:rsid w:val="32E31DDC"/>
    <w:rsid w:val="344276F6"/>
    <w:rsid w:val="344B2F73"/>
    <w:rsid w:val="344F6F06"/>
    <w:rsid w:val="346A6D70"/>
    <w:rsid w:val="34C56651"/>
    <w:rsid w:val="35587EA2"/>
    <w:rsid w:val="35965989"/>
    <w:rsid w:val="35DD70CF"/>
    <w:rsid w:val="360716D0"/>
    <w:rsid w:val="36235A1D"/>
    <w:rsid w:val="370538C7"/>
    <w:rsid w:val="3711102F"/>
    <w:rsid w:val="37925B2D"/>
    <w:rsid w:val="37A837DB"/>
    <w:rsid w:val="37B904ED"/>
    <w:rsid w:val="38035D96"/>
    <w:rsid w:val="381A4DAB"/>
    <w:rsid w:val="388A4874"/>
    <w:rsid w:val="3976413E"/>
    <w:rsid w:val="3A731C29"/>
    <w:rsid w:val="3A8C7FE6"/>
    <w:rsid w:val="3AF51276"/>
    <w:rsid w:val="3B4F20AB"/>
    <w:rsid w:val="3BCC614D"/>
    <w:rsid w:val="3BD6339A"/>
    <w:rsid w:val="3C4C4A01"/>
    <w:rsid w:val="3C6C06D7"/>
    <w:rsid w:val="3D137F9C"/>
    <w:rsid w:val="3D7A215F"/>
    <w:rsid w:val="3D9753C3"/>
    <w:rsid w:val="3DE013A8"/>
    <w:rsid w:val="3DED6694"/>
    <w:rsid w:val="3DFE1AD1"/>
    <w:rsid w:val="3E2C741E"/>
    <w:rsid w:val="3E4312DA"/>
    <w:rsid w:val="3EC53852"/>
    <w:rsid w:val="400931C8"/>
    <w:rsid w:val="40926F4B"/>
    <w:rsid w:val="40AD519C"/>
    <w:rsid w:val="40ED244C"/>
    <w:rsid w:val="413800EF"/>
    <w:rsid w:val="416F7D32"/>
    <w:rsid w:val="42CA2079"/>
    <w:rsid w:val="42CE5B17"/>
    <w:rsid w:val="43833DB6"/>
    <w:rsid w:val="43B07129"/>
    <w:rsid w:val="43B648EC"/>
    <w:rsid w:val="43FD65A5"/>
    <w:rsid w:val="44ED2674"/>
    <w:rsid w:val="44F95A69"/>
    <w:rsid w:val="45A31D12"/>
    <w:rsid w:val="45E77C69"/>
    <w:rsid w:val="465E0297"/>
    <w:rsid w:val="46633417"/>
    <w:rsid w:val="46DD4C00"/>
    <w:rsid w:val="48084969"/>
    <w:rsid w:val="48B671E7"/>
    <w:rsid w:val="48D11B48"/>
    <w:rsid w:val="496A4F8C"/>
    <w:rsid w:val="4A0D0C5C"/>
    <w:rsid w:val="4A337558"/>
    <w:rsid w:val="4AB70D90"/>
    <w:rsid w:val="4ACC67DC"/>
    <w:rsid w:val="4B6317B1"/>
    <w:rsid w:val="4C370189"/>
    <w:rsid w:val="4D92460B"/>
    <w:rsid w:val="4DE56730"/>
    <w:rsid w:val="4E8E0877"/>
    <w:rsid w:val="4E911993"/>
    <w:rsid w:val="4EB22587"/>
    <w:rsid w:val="4EC82191"/>
    <w:rsid w:val="4F0678E4"/>
    <w:rsid w:val="4F8110C6"/>
    <w:rsid w:val="4F88205D"/>
    <w:rsid w:val="4FFE4D21"/>
    <w:rsid w:val="50060363"/>
    <w:rsid w:val="506856A8"/>
    <w:rsid w:val="50963287"/>
    <w:rsid w:val="50C904A1"/>
    <w:rsid w:val="50D222C7"/>
    <w:rsid w:val="50F63AD1"/>
    <w:rsid w:val="51896F3E"/>
    <w:rsid w:val="52B43FF6"/>
    <w:rsid w:val="52D3214C"/>
    <w:rsid w:val="532A37A3"/>
    <w:rsid w:val="540A7868"/>
    <w:rsid w:val="545C2156"/>
    <w:rsid w:val="54DB5397"/>
    <w:rsid w:val="54E20674"/>
    <w:rsid w:val="551036CB"/>
    <w:rsid w:val="55653F28"/>
    <w:rsid w:val="567E2235"/>
    <w:rsid w:val="568F48A2"/>
    <w:rsid w:val="5729462A"/>
    <w:rsid w:val="5778319D"/>
    <w:rsid w:val="578861DD"/>
    <w:rsid w:val="584B636E"/>
    <w:rsid w:val="5952032D"/>
    <w:rsid w:val="59765BD5"/>
    <w:rsid w:val="5A5963E2"/>
    <w:rsid w:val="5AB60511"/>
    <w:rsid w:val="5AE57234"/>
    <w:rsid w:val="5B206EED"/>
    <w:rsid w:val="5B456093"/>
    <w:rsid w:val="5B4568D2"/>
    <w:rsid w:val="5BE26A56"/>
    <w:rsid w:val="5BE80AF1"/>
    <w:rsid w:val="5BFBDC51"/>
    <w:rsid w:val="5C59122E"/>
    <w:rsid w:val="5C83281D"/>
    <w:rsid w:val="5CFB5C87"/>
    <w:rsid w:val="5D144A17"/>
    <w:rsid w:val="5D5F01EA"/>
    <w:rsid w:val="5DA43497"/>
    <w:rsid w:val="5DFF2E21"/>
    <w:rsid w:val="5E284309"/>
    <w:rsid w:val="5E850D87"/>
    <w:rsid w:val="5EBF5D4A"/>
    <w:rsid w:val="5EE83098"/>
    <w:rsid w:val="607645E2"/>
    <w:rsid w:val="61655BCE"/>
    <w:rsid w:val="61D23B37"/>
    <w:rsid w:val="62141564"/>
    <w:rsid w:val="62E84E2B"/>
    <w:rsid w:val="631E29A8"/>
    <w:rsid w:val="6414115C"/>
    <w:rsid w:val="644E7CE1"/>
    <w:rsid w:val="64F91C3F"/>
    <w:rsid w:val="650C68FC"/>
    <w:rsid w:val="65214173"/>
    <w:rsid w:val="65344A43"/>
    <w:rsid w:val="660C3543"/>
    <w:rsid w:val="66485118"/>
    <w:rsid w:val="66654A09"/>
    <w:rsid w:val="66670C93"/>
    <w:rsid w:val="672740B6"/>
    <w:rsid w:val="67F85348"/>
    <w:rsid w:val="68AF0715"/>
    <w:rsid w:val="68DE46C4"/>
    <w:rsid w:val="69251138"/>
    <w:rsid w:val="694803F7"/>
    <w:rsid w:val="696A7177"/>
    <w:rsid w:val="698B76BE"/>
    <w:rsid w:val="69F63438"/>
    <w:rsid w:val="6AC61D44"/>
    <w:rsid w:val="6B3428E3"/>
    <w:rsid w:val="6BA47F15"/>
    <w:rsid w:val="6BB6151D"/>
    <w:rsid w:val="6BFF3389"/>
    <w:rsid w:val="6C367B94"/>
    <w:rsid w:val="6CEA462C"/>
    <w:rsid w:val="6D086E39"/>
    <w:rsid w:val="6DB94528"/>
    <w:rsid w:val="6DDC4DA1"/>
    <w:rsid w:val="6DFD310C"/>
    <w:rsid w:val="6E1C36E7"/>
    <w:rsid w:val="6E5E1985"/>
    <w:rsid w:val="6EE675AE"/>
    <w:rsid w:val="701702B4"/>
    <w:rsid w:val="70200323"/>
    <w:rsid w:val="708F37B3"/>
    <w:rsid w:val="70AD016D"/>
    <w:rsid w:val="70D455FA"/>
    <w:rsid w:val="70E20E03"/>
    <w:rsid w:val="70F532B9"/>
    <w:rsid w:val="719C5A56"/>
    <w:rsid w:val="72177BE3"/>
    <w:rsid w:val="72203B73"/>
    <w:rsid w:val="72682E0D"/>
    <w:rsid w:val="7273091E"/>
    <w:rsid w:val="72F57B0C"/>
    <w:rsid w:val="73524D52"/>
    <w:rsid w:val="73B85EAF"/>
    <w:rsid w:val="73D01277"/>
    <w:rsid w:val="74022A1D"/>
    <w:rsid w:val="740E16FA"/>
    <w:rsid w:val="7473523A"/>
    <w:rsid w:val="749B22D1"/>
    <w:rsid w:val="749E08ED"/>
    <w:rsid w:val="74A15A8E"/>
    <w:rsid w:val="74C777AC"/>
    <w:rsid w:val="75EE17C1"/>
    <w:rsid w:val="764D5C4F"/>
    <w:rsid w:val="76E22A7B"/>
    <w:rsid w:val="77B66EA7"/>
    <w:rsid w:val="78F5637E"/>
    <w:rsid w:val="79104A98"/>
    <w:rsid w:val="794144F3"/>
    <w:rsid w:val="79AF32DE"/>
    <w:rsid w:val="79F5D942"/>
    <w:rsid w:val="7ABD67AB"/>
    <w:rsid w:val="7AF54B17"/>
    <w:rsid w:val="7B49300B"/>
    <w:rsid w:val="7B6D0642"/>
    <w:rsid w:val="7BB43943"/>
    <w:rsid w:val="7C2355AC"/>
    <w:rsid w:val="7C5467B1"/>
    <w:rsid w:val="7C8C4FFD"/>
    <w:rsid w:val="7D359E14"/>
    <w:rsid w:val="7D440EBB"/>
    <w:rsid w:val="7D8F07AD"/>
    <w:rsid w:val="7DDB016B"/>
    <w:rsid w:val="7E0418EC"/>
    <w:rsid w:val="7E4B20AF"/>
    <w:rsid w:val="7F6F296B"/>
    <w:rsid w:val="7F985794"/>
    <w:rsid w:val="7FCB55E1"/>
    <w:rsid w:val="BBF7405A"/>
    <w:rsid w:val="BBFEFE15"/>
    <w:rsid w:val="E3FD0D51"/>
    <w:rsid w:val="FBDF1595"/>
    <w:rsid w:val="FDFD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numPr>
        <w:ilvl w:val="0"/>
        <w:numId w:val="1"/>
      </w:numPr>
      <w:spacing w:before="260" w:after="260" w:line="416" w:lineRule="auto"/>
      <w:ind w:right="100" w:rightChars="100"/>
      <w:outlineLvl w:val="2"/>
    </w:pPr>
    <w:rPr>
      <w:rFonts w:ascii="Calibri" w:hAnsi="Calibri" w:eastAsia="宋体" w:cs="Times New Roman"/>
      <w:b/>
      <w:bCs/>
      <w:sz w:val="24"/>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rPr>
      <w:rFonts w:hint="default"/>
      <w:sz w:val="21"/>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正文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
    <w:name w:val="正文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5">
    <w:name w:val="普通(网站)1"/>
    <w:basedOn w:val="1"/>
    <w:qFormat/>
    <w:uiPriority w:val="0"/>
    <w:rPr>
      <w:sz w:val="24"/>
    </w:rPr>
  </w:style>
  <w:style w:type="character" w:customStyle="1" w:styleId="16">
    <w:name w:val="页眉 字符"/>
    <w:basedOn w:val="11"/>
    <w:link w:val="6"/>
    <w:qFormat/>
    <w:uiPriority w:val="0"/>
    <w:rPr>
      <w:kern w:val="2"/>
      <w:sz w:val="18"/>
      <w:szCs w:val="18"/>
    </w:rPr>
  </w:style>
  <w:style w:type="character" w:customStyle="1" w:styleId="17">
    <w:name w:val="批注框文本 字符"/>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市社会保险基金管理局</Company>
  <Pages>1</Pages>
  <Words>814</Words>
  <Characters>868</Characters>
  <Lines>83</Lines>
  <Paragraphs>23</Paragraphs>
  <TotalTime>0</TotalTime>
  <ScaleCrop>false</ScaleCrop>
  <LinksUpToDate>false</LinksUpToDate>
  <CharactersWithSpaces>891</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2020-06-24T10:05:00Z</dcterms:created>
  <dc:creator>廖翥</dc:creator>
  <cp:lastModifiedBy>医药价格和采购管理科02</cp:lastModifiedBy>
  <cp:lastPrinted>2025-02-27T07:19:00Z</cp:lastPrinted>
  <dcterms:modified xsi:type="dcterms:W3CDTF">2025-03-12T03:36:47Z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A5D2A7D095094C1C829C29EA374EB6B2_13</vt:lpwstr>
  </property>
</Properties>
</file>