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1C289">
      <w:pPr>
        <w:overflowPunct w:val="0"/>
        <w:spacing w:line="480" w:lineRule="exact"/>
        <w:rPr>
          <w:color w:val="000000"/>
        </w:rPr>
      </w:pPr>
    </w:p>
    <w:p w14:paraId="342C4F15">
      <w:pPr>
        <w:overflowPunct w:val="0"/>
        <w:spacing w:line="480" w:lineRule="exact"/>
        <w:rPr>
          <w:color w:val="000000"/>
        </w:rPr>
      </w:pPr>
    </w:p>
    <w:p w14:paraId="56A74087">
      <w:pPr>
        <w:overflowPunct w:val="0"/>
        <w:spacing w:line="480" w:lineRule="exact"/>
        <w:rPr>
          <w:color w:val="000000"/>
        </w:rPr>
      </w:pPr>
    </w:p>
    <w:p w14:paraId="29F8E760">
      <w:pPr>
        <w:overflowPunct w:val="0"/>
        <w:spacing w:line="480" w:lineRule="exact"/>
        <w:rPr>
          <w:color w:val="000000"/>
        </w:rPr>
      </w:pPr>
    </w:p>
    <w:tbl>
      <w:tblPr>
        <w:tblStyle w:val="24"/>
        <w:tblpPr w:leftFromText="180" w:rightFromText="180" w:vertAnchor="text" w:horzAnchor="margin" w:tblpXSpec="center" w:tblpY="197"/>
        <w:tblW w:w="0" w:type="auto"/>
        <w:tblInd w:w="0" w:type="dxa"/>
        <w:tblLayout w:type="fixed"/>
        <w:tblCellMar>
          <w:top w:w="0" w:type="dxa"/>
          <w:left w:w="108" w:type="dxa"/>
          <w:bottom w:w="0" w:type="dxa"/>
          <w:right w:w="108" w:type="dxa"/>
        </w:tblCellMar>
      </w:tblPr>
      <w:tblGrid>
        <w:gridCol w:w="7429"/>
        <w:gridCol w:w="1328"/>
      </w:tblGrid>
      <w:tr w14:paraId="506F6696">
        <w:tblPrEx>
          <w:tblCellMar>
            <w:top w:w="0" w:type="dxa"/>
            <w:left w:w="108" w:type="dxa"/>
            <w:bottom w:w="0" w:type="dxa"/>
            <w:right w:w="108" w:type="dxa"/>
          </w:tblCellMar>
        </w:tblPrEx>
        <w:trPr>
          <w:trHeight w:val="1865" w:hRule="atLeast"/>
        </w:trPr>
        <w:tc>
          <w:tcPr>
            <w:tcW w:w="7429" w:type="dxa"/>
            <w:vAlign w:val="center"/>
          </w:tcPr>
          <w:p w14:paraId="558D00D8">
            <w:pPr>
              <w:overflowPunct w:val="0"/>
              <w:spacing w:line="1100" w:lineRule="exact"/>
              <w:jc w:val="distribute"/>
              <w:rPr>
                <w:rFonts w:eastAsia="方正小标宋简体"/>
                <w:color w:val="FF0000"/>
                <w:w w:val="72"/>
                <w:sz w:val="100"/>
                <w:szCs w:val="100"/>
              </w:rPr>
            </w:pPr>
          </w:p>
          <w:p w14:paraId="32379012">
            <w:pPr>
              <w:overflowPunct w:val="0"/>
              <w:spacing w:line="1100" w:lineRule="exact"/>
              <w:jc w:val="distribute"/>
              <w:rPr>
                <w:rFonts w:eastAsia="方正小标宋简体"/>
                <w:color w:val="FF0000"/>
                <w:w w:val="72"/>
                <w:sz w:val="100"/>
                <w:szCs w:val="100"/>
              </w:rPr>
            </w:pPr>
          </w:p>
          <w:p w14:paraId="525EA519">
            <w:pPr>
              <w:overflowPunct w:val="0"/>
              <w:spacing w:line="1100" w:lineRule="exact"/>
              <w:jc w:val="distribute"/>
              <w:rPr>
                <w:rFonts w:eastAsia="方正小标宋简体"/>
                <w:color w:val="FF0000"/>
                <w:w w:val="72"/>
                <w:sz w:val="100"/>
                <w:szCs w:val="100"/>
              </w:rPr>
            </w:pPr>
          </w:p>
        </w:tc>
        <w:tc>
          <w:tcPr>
            <w:tcW w:w="1328" w:type="dxa"/>
            <w:vAlign w:val="center"/>
          </w:tcPr>
          <w:p w14:paraId="0F3475B3">
            <w:pPr>
              <w:overflowPunct w:val="0"/>
              <w:ind w:right="-278" w:rightChars="-87"/>
              <w:rPr>
                <w:color w:val="FF0000"/>
                <w:w w:val="35"/>
                <w:sz w:val="160"/>
                <w:szCs w:val="160"/>
              </w:rPr>
            </w:pPr>
          </w:p>
        </w:tc>
      </w:tr>
    </w:tbl>
    <w:p w14:paraId="77C2524D">
      <w:pPr>
        <w:overflowPunct w:val="0"/>
        <w:spacing w:line="520" w:lineRule="exact"/>
        <w:rPr>
          <w:color w:val="000000"/>
        </w:rPr>
      </w:pPr>
    </w:p>
    <w:p w14:paraId="6A65197E">
      <w:pPr>
        <w:overflowPunct w:val="0"/>
        <w:spacing w:line="520" w:lineRule="exact"/>
        <w:rPr>
          <w:color w:val="000000"/>
        </w:rPr>
      </w:pPr>
    </w:p>
    <w:p w14:paraId="6F39D12A">
      <w:pPr>
        <w:overflowPunct w:val="0"/>
        <w:jc w:val="center"/>
        <w:rPr>
          <w:color w:val="000000"/>
          <w:kern w:val="0"/>
          <w:szCs w:val="32"/>
        </w:rPr>
      </w:pPr>
      <w:bookmarkStart w:id="33" w:name="_GoBack"/>
      <w:bookmarkEnd w:id="33"/>
      <w:r>
        <w:rPr>
          <w:color w:val="000000"/>
          <w:kern w:val="0"/>
          <w:szCs w:val="32"/>
        </w:rPr>
        <w:t>合医保发〔202</w:t>
      </w:r>
      <w:r>
        <w:rPr>
          <w:rFonts w:hint="eastAsia"/>
          <w:color w:val="000000"/>
          <w:kern w:val="0"/>
          <w:szCs w:val="32"/>
        </w:rPr>
        <w:t>5</w:t>
      </w:r>
      <w:r>
        <w:rPr>
          <w:color w:val="000000"/>
          <w:kern w:val="0"/>
          <w:szCs w:val="32"/>
        </w:rPr>
        <w:t>〕</w:t>
      </w:r>
      <w:r>
        <w:rPr>
          <w:rFonts w:hint="eastAsia"/>
          <w:color w:val="000000"/>
          <w:kern w:val="0"/>
          <w:szCs w:val="32"/>
        </w:rPr>
        <w:t>1</w:t>
      </w:r>
      <w:r>
        <w:rPr>
          <w:color w:val="000000"/>
          <w:kern w:val="0"/>
          <w:szCs w:val="32"/>
        </w:rPr>
        <w:t>号</w:t>
      </w:r>
    </w:p>
    <w:p w14:paraId="5467D87A">
      <w:pPr>
        <w:overflowPunct w:val="0"/>
        <w:spacing w:line="592" w:lineRule="exact"/>
        <w:ind w:firstLine="640" w:firstLineChars="200"/>
        <w:rPr>
          <w:color w:val="000000"/>
          <w:szCs w:val="32"/>
        </w:rPr>
      </w:pPr>
    </w:p>
    <w:p w14:paraId="521B7BAA">
      <w:pPr>
        <w:overflowPunct w:val="0"/>
        <w:spacing w:line="592" w:lineRule="exact"/>
        <w:ind w:firstLine="643" w:firstLineChars="200"/>
        <w:rPr>
          <w:b/>
          <w:color w:val="000000"/>
          <w:szCs w:val="32"/>
        </w:rPr>
      </w:pPr>
    </w:p>
    <w:p w14:paraId="42CA63CE">
      <w:pPr>
        <w:overflowPunct w:val="0"/>
        <w:spacing w:line="592" w:lineRule="exact"/>
        <w:jc w:val="center"/>
        <w:rPr>
          <w:rFonts w:ascii="方正小标宋简体" w:eastAsia="方正小标宋简体"/>
          <w:sz w:val="44"/>
          <w:szCs w:val="44"/>
        </w:rPr>
      </w:pPr>
      <w:r>
        <w:rPr>
          <w:rFonts w:hint="eastAsia" w:ascii="方正小标宋简体" w:eastAsia="方正小标宋简体"/>
          <w:sz w:val="44"/>
          <w:szCs w:val="44"/>
        </w:rPr>
        <w:t>关于印发《合肥市2025年度住院医保基金</w:t>
      </w:r>
    </w:p>
    <w:p w14:paraId="1CE49400">
      <w:pPr>
        <w:overflowPunct w:val="0"/>
        <w:spacing w:line="592" w:lineRule="exact"/>
        <w:jc w:val="center"/>
        <w:rPr>
          <w:rFonts w:ascii="方正小标宋简体" w:eastAsia="方正小标宋简体"/>
          <w:sz w:val="44"/>
          <w:szCs w:val="44"/>
        </w:rPr>
      </w:pPr>
      <w:r>
        <w:rPr>
          <w:rFonts w:hint="eastAsia" w:ascii="方正小标宋简体" w:eastAsia="方正小标宋简体"/>
          <w:sz w:val="44"/>
          <w:szCs w:val="44"/>
        </w:rPr>
        <w:t>按疾病诊断相关分组（DRG）付费</w:t>
      </w:r>
    </w:p>
    <w:p w14:paraId="6286E35A">
      <w:pPr>
        <w:overflowPunct w:val="0"/>
        <w:spacing w:line="592" w:lineRule="exact"/>
        <w:jc w:val="center"/>
        <w:rPr>
          <w:rFonts w:ascii="方正小标宋简体" w:eastAsia="方正小标宋简体"/>
          <w:sz w:val="44"/>
          <w:szCs w:val="44"/>
        </w:rPr>
      </w:pPr>
      <w:r>
        <w:rPr>
          <w:rFonts w:hint="eastAsia" w:ascii="方正小标宋简体" w:eastAsia="方正小标宋简体"/>
          <w:sz w:val="44"/>
          <w:szCs w:val="44"/>
        </w:rPr>
        <w:t>实施方案》的通知</w:t>
      </w:r>
    </w:p>
    <w:p w14:paraId="69E923C7">
      <w:pPr>
        <w:overflowPunct w:val="0"/>
        <w:spacing w:line="592" w:lineRule="exact"/>
        <w:ind w:firstLine="640" w:firstLineChars="200"/>
        <w:rPr>
          <w:szCs w:val="32"/>
        </w:rPr>
      </w:pPr>
    </w:p>
    <w:p w14:paraId="15B7CB55">
      <w:pPr>
        <w:overflowPunct w:val="0"/>
        <w:spacing w:line="592" w:lineRule="exact"/>
        <w:rPr>
          <w:szCs w:val="32"/>
        </w:rPr>
      </w:pPr>
      <w:r>
        <w:rPr>
          <w:szCs w:val="32"/>
        </w:rPr>
        <w:t>各县（市）区医疗保障局、财政局、卫生健康委，开发区社会发展局，各相关医疗机构：</w:t>
      </w:r>
    </w:p>
    <w:p w14:paraId="62693B9F">
      <w:pPr>
        <w:overflowPunct w:val="0"/>
        <w:spacing w:line="592" w:lineRule="exact"/>
        <w:ind w:firstLine="640" w:firstLineChars="200"/>
        <w:rPr>
          <w:szCs w:val="32"/>
        </w:rPr>
      </w:pPr>
      <w:r>
        <w:rPr>
          <w:szCs w:val="32"/>
        </w:rPr>
        <w:t>现将《合肥市202</w:t>
      </w:r>
      <w:r>
        <w:rPr>
          <w:rFonts w:hint="eastAsia"/>
          <w:szCs w:val="32"/>
        </w:rPr>
        <w:t>5</w:t>
      </w:r>
      <w:r>
        <w:rPr>
          <w:szCs w:val="32"/>
        </w:rPr>
        <w:t>年度住院医保基金按疾病诊断相关分组（DRG）付费实施方案》印发给你们，请认真组织实施。实施过程中遇到的重大问题应及时向市医保局报告。</w:t>
      </w:r>
    </w:p>
    <w:p w14:paraId="76772239">
      <w:pPr>
        <w:overflowPunct w:val="0"/>
        <w:spacing w:line="592" w:lineRule="exact"/>
        <w:ind w:firstLine="640" w:firstLineChars="200"/>
        <w:rPr>
          <w:szCs w:val="32"/>
        </w:rPr>
      </w:pPr>
    </w:p>
    <w:p w14:paraId="233A8579">
      <w:pPr>
        <w:overflowPunct w:val="0"/>
        <w:spacing w:line="592" w:lineRule="exact"/>
        <w:ind w:firstLine="640" w:firstLineChars="200"/>
        <w:rPr>
          <w:szCs w:val="32"/>
        </w:rPr>
      </w:pPr>
    </w:p>
    <w:p w14:paraId="05BB6662">
      <w:pPr>
        <w:overflowPunct w:val="0"/>
        <w:spacing w:line="592" w:lineRule="exact"/>
        <w:ind w:firstLine="640" w:firstLineChars="200"/>
        <w:rPr>
          <w:szCs w:val="32"/>
        </w:rPr>
      </w:pPr>
    </w:p>
    <w:p w14:paraId="36AC81AA">
      <w:pPr>
        <w:wordWrap w:val="0"/>
        <w:overflowPunct w:val="0"/>
        <w:spacing w:line="592" w:lineRule="exact"/>
        <w:ind w:firstLine="640" w:firstLineChars="200"/>
        <w:jc w:val="right"/>
        <w:rPr>
          <w:szCs w:val="32"/>
        </w:rPr>
      </w:pPr>
      <w:r>
        <w:rPr>
          <w:szCs w:val="32"/>
        </w:rPr>
        <w:t>合肥市医疗保障局            合肥市财政局</w:t>
      </w:r>
      <w:r>
        <w:rPr>
          <w:rFonts w:hint="eastAsia"/>
          <w:szCs w:val="32"/>
        </w:rPr>
        <w:t xml:space="preserve">          </w:t>
      </w:r>
    </w:p>
    <w:p w14:paraId="16552E36">
      <w:pPr>
        <w:overflowPunct w:val="0"/>
        <w:spacing w:line="592" w:lineRule="exact"/>
        <w:ind w:firstLine="640" w:firstLineChars="200"/>
        <w:rPr>
          <w:szCs w:val="32"/>
        </w:rPr>
      </w:pPr>
    </w:p>
    <w:p w14:paraId="74A92D23">
      <w:pPr>
        <w:overflowPunct w:val="0"/>
        <w:spacing w:line="592" w:lineRule="exact"/>
        <w:ind w:firstLine="640" w:firstLineChars="200"/>
        <w:rPr>
          <w:szCs w:val="32"/>
        </w:rPr>
      </w:pPr>
    </w:p>
    <w:p w14:paraId="54DACC8D">
      <w:pPr>
        <w:overflowPunct w:val="0"/>
        <w:spacing w:line="592" w:lineRule="exact"/>
        <w:ind w:firstLine="640" w:firstLineChars="200"/>
        <w:rPr>
          <w:szCs w:val="32"/>
        </w:rPr>
      </w:pPr>
    </w:p>
    <w:p w14:paraId="036CAF35">
      <w:pPr>
        <w:wordWrap w:val="0"/>
        <w:overflowPunct w:val="0"/>
        <w:spacing w:line="592" w:lineRule="exact"/>
        <w:ind w:firstLine="640" w:firstLineChars="200"/>
        <w:jc w:val="right"/>
        <w:rPr>
          <w:szCs w:val="32"/>
        </w:rPr>
      </w:pPr>
      <w:r>
        <w:rPr>
          <w:szCs w:val="32"/>
        </w:rPr>
        <w:t>合肥市卫生健康委员会</w:t>
      </w:r>
      <w:r>
        <w:rPr>
          <w:rFonts w:hint="eastAsia"/>
          <w:szCs w:val="32"/>
        </w:rPr>
        <w:t xml:space="preserve">      </w:t>
      </w:r>
    </w:p>
    <w:p w14:paraId="7BDFE76B">
      <w:pPr>
        <w:wordWrap w:val="0"/>
        <w:overflowPunct w:val="0"/>
        <w:spacing w:line="592" w:lineRule="exact"/>
        <w:ind w:firstLine="640" w:firstLineChars="200"/>
        <w:jc w:val="right"/>
        <w:rPr>
          <w:szCs w:val="32"/>
        </w:rPr>
      </w:pPr>
      <w:r>
        <w:rPr>
          <w:szCs w:val="32"/>
        </w:rPr>
        <w:t>202</w:t>
      </w:r>
      <w:r>
        <w:rPr>
          <w:rFonts w:hint="eastAsia"/>
          <w:szCs w:val="32"/>
        </w:rPr>
        <w:t>5</w:t>
      </w:r>
      <w:r>
        <w:rPr>
          <w:szCs w:val="32"/>
        </w:rPr>
        <w:t>年</w:t>
      </w:r>
      <w:r>
        <w:rPr>
          <w:rFonts w:hint="eastAsia"/>
          <w:szCs w:val="32"/>
        </w:rPr>
        <w:t>3</w:t>
      </w:r>
      <w:r>
        <w:rPr>
          <w:szCs w:val="32"/>
        </w:rPr>
        <w:t>月</w:t>
      </w:r>
      <w:r>
        <w:rPr>
          <w:rFonts w:hint="eastAsia"/>
          <w:szCs w:val="32"/>
        </w:rPr>
        <w:t>5</w:t>
      </w:r>
      <w:r>
        <w:rPr>
          <w:szCs w:val="32"/>
        </w:rPr>
        <w:t>日</w:t>
      </w:r>
      <w:r>
        <w:rPr>
          <w:rFonts w:hint="eastAsia"/>
          <w:szCs w:val="32"/>
        </w:rPr>
        <w:t xml:space="preserve">        </w:t>
      </w:r>
    </w:p>
    <w:p w14:paraId="6B9E9F55">
      <w:pPr>
        <w:overflowPunct w:val="0"/>
        <w:spacing w:line="592" w:lineRule="exact"/>
        <w:ind w:firstLine="880" w:firstLineChars="200"/>
        <w:textAlignment w:val="center"/>
        <w:rPr>
          <w:rFonts w:ascii="方正小标宋简体" w:eastAsia="方正小标宋简体" w:cs="黑体"/>
          <w:sz w:val="44"/>
          <w:szCs w:val="44"/>
        </w:rPr>
      </w:pPr>
      <w:r>
        <w:rPr>
          <w:rFonts w:eastAsia="方正小标宋简体"/>
          <w:sz w:val="44"/>
          <w:szCs w:val="44"/>
        </w:rPr>
        <w:br w:type="page"/>
      </w:r>
    </w:p>
    <w:p w14:paraId="6A274318">
      <w:pPr>
        <w:overflowPunct w:val="0"/>
        <w:spacing w:line="592" w:lineRule="exact"/>
        <w:jc w:val="center"/>
        <w:textAlignment w:val="center"/>
        <w:rPr>
          <w:rFonts w:ascii="方正小标宋简体" w:eastAsia="方正小标宋简体" w:cs="黑体"/>
          <w:sz w:val="44"/>
          <w:szCs w:val="44"/>
        </w:rPr>
      </w:pPr>
      <w:r>
        <w:rPr>
          <w:rFonts w:hint="eastAsia" w:ascii="方正小标宋简体" w:eastAsia="方正小标宋简体" w:cs="黑体"/>
          <w:sz w:val="44"/>
          <w:szCs w:val="44"/>
        </w:rPr>
        <w:t>合肥市2025年住院医保基金按疾病诊断</w:t>
      </w:r>
    </w:p>
    <w:p w14:paraId="25CF852D">
      <w:pPr>
        <w:overflowPunct w:val="0"/>
        <w:spacing w:line="592" w:lineRule="exact"/>
        <w:jc w:val="center"/>
        <w:textAlignment w:val="center"/>
        <w:rPr>
          <w:rFonts w:ascii="方正小标宋简体" w:eastAsia="方正小标宋简体" w:cs="黑体"/>
          <w:sz w:val="44"/>
          <w:szCs w:val="44"/>
        </w:rPr>
      </w:pPr>
      <w:r>
        <w:rPr>
          <w:rFonts w:hint="eastAsia" w:ascii="方正小标宋简体" w:eastAsia="方正小标宋简体" w:cs="黑体"/>
          <w:sz w:val="44"/>
          <w:szCs w:val="44"/>
        </w:rPr>
        <w:t>相关分组（DRG）付费实施方案</w:t>
      </w:r>
    </w:p>
    <w:p w14:paraId="4FE20780">
      <w:pPr>
        <w:overflowPunct w:val="0"/>
        <w:spacing w:line="592" w:lineRule="exact"/>
        <w:ind w:firstLine="640" w:firstLineChars="200"/>
        <w:textAlignment w:val="center"/>
        <w:rPr>
          <w:rFonts w:cs="黑体"/>
          <w:szCs w:val="22"/>
        </w:rPr>
      </w:pPr>
    </w:p>
    <w:p w14:paraId="6F7DC9B0">
      <w:pPr>
        <w:overflowPunct w:val="0"/>
        <w:spacing w:line="592" w:lineRule="exact"/>
        <w:ind w:firstLine="640" w:firstLineChars="200"/>
        <w:textAlignment w:val="center"/>
        <w:rPr>
          <w:rFonts w:cs="黑体"/>
          <w:szCs w:val="22"/>
        </w:rPr>
      </w:pPr>
      <w:r>
        <w:rPr>
          <w:rFonts w:hint="eastAsia" w:cs="黑体"/>
          <w:szCs w:val="22"/>
        </w:rPr>
        <w:t>为持续推进医保支付方式改革，做好2025年度住院医保基金按疾病诊断相关分组（DRG）付费工作，根据</w:t>
      </w:r>
      <w:bookmarkStart w:id="0" w:name="OLE_LINK27"/>
      <w:bookmarkStart w:id="1" w:name="OLE_LINK28"/>
      <w:r>
        <w:rPr>
          <w:rFonts w:hint="eastAsia" w:cs="黑体"/>
          <w:szCs w:val="22"/>
        </w:rPr>
        <w:t>《国家医疗保障局办公室关于印发按病组和病种分值付费2.0版分组方案并深入推进相关工作的通知》</w:t>
      </w:r>
      <w:bookmarkEnd w:id="0"/>
      <w:bookmarkEnd w:id="1"/>
      <w:r>
        <w:rPr>
          <w:rFonts w:hint="eastAsia" w:cs="黑体"/>
          <w:szCs w:val="22"/>
        </w:rPr>
        <w:t>（医保办发〔2024〕9号）、《安徽省省内异地就医按病组和病种分值付费改革实施方案》（皖医保办发〔2024〕11号）等文件精神，结合我市实际制定本方案。</w:t>
      </w:r>
    </w:p>
    <w:p w14:paraId="4E7514A3">
      <w:pPr>
        <w:overflowPunct w:val="0"/>
        <w:spacing w:line="592" w:lineRule="exact"/>
        <w:ind w:firstLine="640" w:firstLineChars="200"/>
        <w:textAlignment w:val="center"/>
        <w:rPr>
          <w:rFonts w:ascii="黑体" w:hAnsi="黑体" w:eastAsia="黑体" w:cs="黑体"/>
          <w:szCs w:val="22"/>
        </w:rPr>
      </w:pPr>
      <w:r>
        <w:rPr>
          <w:rFonts w:hint="eastAsia" w:ascii="黑体" w:hAnsi="黑体" w:eastAsia="黑体" w:cs="黑体"/>
          <w:szCs w:val="22"/>
        </w:rPr>
        <w:t>一、实施范围</w:t>
      </w:r>
    </w:p>
    <w:p w14:paraId="698F32D1">
      <w:pPr>
        <w:overflowPunct w:val="0"/>
        <w:spacing w:line="592" w:lineRule="exact"/>
        <w:ind w:firstLine="640" w:firstLineChars="200"/>
        <w:textAlignment w:val="center"/>
        <w:rPr>
          <w:rFonts w:cs="黑体"/>
          <w:szCs w:val="22"/>
        </w:rPr>
      </w:pPr>
      <w:bookmarkStart w:id="2" w:name="OLE_LINK7"/>
      <w:bookmarkStart w:id="3" w:name="OLE_LINK8"/>
      <w:r>
        <w:rPr>
          <w:rFonts w:hint="eastAsia" w:cs="黑体"/>
          <w:szCs w:val="22"/>
        </w:rPr>
        <w:t>符合条件的定点医疗机构（不含床日付费）全部纳入DRG付费范围</w:t>
      </w:r>
      <w:bookmarkEnd w:id="2"/>
      <w:bookmarkEnd w:id="3"/>
      <w:r>
        <w:rPr>
          <w:rFonts w:hint="eastAsia" w:cs="黑体"/>
          <w:szCs w:val="22"/>
        </w:rPr>
        <w:t>（见附件）</w:t>
      </w:r>
      <w:bookmarkStart w:id="4" w:name="OLE_LINK10"/>
      <w:bookmarkStart w:id="5" w:name="OLE_LINK9"/>
      <w:r>
        <w:rPr>
          <w:rFonts w:hint="eastAsia" w:cs="黑体"/>
          <w:szCs w:val="22"/>
        </w:rPr>
        <w:t>。</w:t>
      </w:r>
      <w:bookmarkEnd w:id="4"/>
      <w:bookmarkEnd w:id="5"/>
      <w:r>
        <w:rPr>
          <w:rFonts w:hint="eastAsia" w:cs="黑体"/>
          <w:szCs w:val="22"/>
        </w:rPr>
        <w:t>未纳入DRG付费的医疗机构住院病例按规定实施医保基金总额预算下的总额控制、人次定额等付费管理；精神病专科医院和综合医院精神病专科住院病例，实行总额预算下按床日付费管理。实行总额控制的医疗机构控制指标由各级医保经办机构参照同级DRG付费医疗机构基金使用平均水平设定，报市医疗保障基金管理中心备案。</w:t>
      </w:r>
    </w:p>
    <w:p w14:paraId="24301DCA">
      <w:pPr>
        <w:overflowPunct w:val="0"/>
        <w:spacing w:line="592" w:lineRule="exact"/>
        <w:ind w:firstLine="640" w:firstLineChars="200"/>
        <w:textAlignment w:val="center"/>
        <w:rPr>
          <w:rFonts w:ascii="黑体" w:hAnsi="黑体" w:eastAsia="黑体" w:cs="黑体"/>
          <w:szCs w:val="22"/>
        </w:rPr>
      </w:pPr>
      <w:r>
        <w:rPr>
          <w:rFonts w:hint="eastAsia" w:ascii="黑体" w:hAnsi="黑体" w:eastAsia="黑体" w:cs="黑体"/>
          <w:szCs w:val="22"/>
        </w:rPr>
        <w:t>二、基本原则</w:t>
      </w:r>
    </w:p>
    <w:p w14:paraId="4B46FD10">
      <w:pPr>
        <w:overflowPunct w:val="0"/>
        <w:spacing w:line="592" w:lineRule="exact"/>
        <w:ind w:firstLine="640" w:firstLineChars="200"/>
        <w:textAlignment w:val="center"/>
        <w:rPr>
          <w:rFonts w:cs="黑体"/>
          <w:szCs w:val="22"/>
        </w:rPr>
      </w:pPr>
      <w:r>
        <w:rPr>
          <w:rFonts w:hint="eastAsia" w:eastAsia="楷体_GB2312" w:cs="黑体"/>
          <w:szCs w:val="22"/>
        </w:rPr>
        <w:t>（一）坚持国家标准下本地化分组。</w:t>
      </w:r>
      <w:r>
        <w:rPr>
          <w:rFonts w:hint="eastAsia" w:cs="黑体"/>
          <w:szCs w:val="22"/>
        </w:rPr>
        <w:t>以国家医保局CHS-DRG分组方案2.0版为基础，结合本地实际和临床专家意见对DRG分组适当细化，形成符合我市实际的本地化分组。</w:t>
      </w:r>
    </w:p>
    <w:p w14:paraId="668815E7">
      <w:pPr>
        <w:overflowPunct w:val="0"/>
        <w:spacing w:line="592" w:lineRule="exact"/>
        <w:ind w:firstLine="640" w:firstLineChars="200"/>
        <w:textAlignment w:val="center"/>
        <w:rPr>
          <w:rFonts w:cs="黑体"/>
          <w:szCs w:val="22"/>
        </w:rPr>
      </w:pPr>
      <w:r>
        <w:rPr>
          <w:rFonts w:hint="eastAsia" w:eastAsia="楷体_GB2312" w:cs="黑体"/>
          <w:szCs w:val="22"/>
        </w:rPr>
        <w:t>（二）坚持市级区域总额预算。</w:t>
      </w:r>
      <w:r>
        <w:rPr>
          <w:rFonts w:hint="eastAsia" w:cs="黑体"/>
          <w:szCs w:val="22"/>
        </w:rPr>
        <w:t>完善与医保统筹层次相适应的DRG付费总额预算管理，合理确定职工、居民医保基金预算，DRG付费总额预算涵盖基本医保和大病保险基金，实行“总额预算、点数计算、按月预结、年度清算”。</w:t>
      </w:r>
    </w:p>
    <w:p w14:paraId="4736822E">
      <w:pPr>
        <w:overflowPunct w:val="0"/>
        <w:spacing w:line="592" w:lineRule="exact"/>
        <w:ind w:firstLine="640" w:firstLineChars="200"/>
        <w:textAlignment w:val="center"/>
        <w:rPr>
          <w:rFonts w:cs="黑体"/>
          <w:szCs w:val="22"/>
        </w:rPr>
      </w:pPr>
      <w:r>
        <w:rPr>
          <w:rFonts w:hint="eastAsia" w:eastAsia="楷体_GB2312" w:cs="黑体"/>
          <w:szCs w:val="22"/>
        </w:rPr>
        <w:t>（三）探索分类预算管理</w:t>
      </w:r>
      <w:r>
        <w:rPr>
          <w:rFonts w:hint="eastAsia" w:cs="黑体"/>
          <w:szCs w:val="22"/>
        </w:rPr>
        <w:t>。根据医疗机构功能定位和收治能力，探索DRG付费总额预算下分设不同预算类别医疗机构，分别确定DRG付费年度预算，进一步提高医保基金预算管理的合理性、精准性。</w:t>
      </w:r>
    </w:p>
    <w:p w14:paraId="1ADC2B21">
      <w:pPr>
        <w:overflowPunct w:val="0"/>
        <w:spacing w:line="592" w:lineRule="exact"/>
        <w:ind w:firstLine="640" w:firstLineChars="200"/>
        <w:textAlignment w:val="center"/>
        <w:rPr>
          <w:rFonts w:cs="黑体"/>
          <w:szCs w:val="22"/>
        </w:rPr>
      </w:pPr>
      <w:r>
        <w:rPr>
          <w:rFonts w:hint="eastAsia" w:eastAsia="楷体_GB2312" w:cs="黑体"/>
          <w:szCs w:val="22"/>
        </w:rPr>
        <w:t>（四）坚持协商评议原则。DRG</w:t>
      </w:r>
      <w:r>
        <w:rPr>
          <w:rFonts w:hint="eastAsia" w:cs="黑体"/>
          <w:szCs w:val="22"/>
        </w:rPr>
        <w:t>付费方案、分组方案按照“专家评审、协商评议、公开公平”原则制定并组织实施，通过协商谈判，引导医疗机构不断强化内部管理、注重成本核算，主动控制医疗费用不合理增长，切实减轻参保人员负担，合理使用医保基金。</w:t>
      </w:r>
    </w:p>
    <w:p w14:paraId="7C408BA2">
      <w:pPr>
        <w:overflowPunct w:val="0"/>
        <w:spacing w:line="592" w:lineRule="exact"/>
        <w:ind w:firstLine="640" w:firstLineChars="200"/>
        <w:textAlignment w:val="center"/>
        <w:rPr>
          <w:rFonts w:cs="黑体"/>
          <w:szCs w:val="22"/>
        </w:rPr>
      </w:pPr>
      <w:r>
        <w:rPr>
          <w:rFonts w:hint="eastAsia" w:eastAsia="楷体_GB2312" w:cs="黑体"/>
          <w:szCs w:val="22"/>
        </w:rPr>
        <w:t>（五）坚持</w:t>
      </w:r>
      <w:r>
        <w:rPr>
          <w:rFonts w:hint="eastAsia" w:eastAsia="楷体_GB2312" w:cs="黑体"/>
          <w:bCs/>
          <w:szCs w:val="22"/>
        </w:rPr>
        <w:t>激励约束并重</w:t>
      </w:r>
      <w:r>
        <w:rPr>
          <w:rFonts w:hint="eastAsia" w:eastAsia="楷体_GB2312" w:cs="黑体"/>
          <w:szCs w:val="22"/>
        </w:rPr>
        <w:t>原则。</w:t>
      </w:r>
      <w:r>
        <w:rPr>
          <w:rFonts w:hint="eastAsia" w:cs="黑体"/>
          <w:szCs w:val="22"/>
        </w:rPr>
        <w:t>对医疗服务质量高、成本控制好的医疗机构给予适当奖励；鼓励医疗机构控制病例数和医疗费用的不合理增长，对存在违规行为及异常指标的医疗机构进行严格约束，促进医疗机构规范诊疗行为</w:t>
      </w:r>
      <w:bookmarkStart w:id="6" w:name="OLE_LINK2"/>
      <w:bookmarkStart w:id="7" w:name="OLE_LINK1"/>
      <w:r>
        <w:rPr>
          <w:rFonts w:hint="eastAsia" w:cs="黑体"/>
          <w:szCs w:val="22"/>
        </w:rPr>
        <w:t>，</w:t>
      </w:r>
      <w:bookmarkEnd w:id="6"/>
      <w:bookmarkEnd w:id="7"/>
      <w:r>
        <w:rPr>
          <w:rFonts w:hint="eastAsia" w:cs="黑体"/>
          <w:szCs w:val="22"/>
        </w:rPr>
        <w:t>提高医保基金使用绩效。</w:t>
      </w:r>
    </w:p>
    <w:p w14:paraId="738AD177">
      <w:pPr>
        <w:overflowPunct w:val="0"/>
        <w:spacing w:line="592" w:lineRule="exact"/>
        <w:ind w:firstLine="640" w:firstLineChars="200"/>
        <w:textAlignment w:val="center"/>
        <w:rPr>
          <w:rFonts w:ascii="黑体" w:hAnsi="黑体" w:eastAsia="黑体" w:cs="黑体"/>
          <w:szCs w:val="22"/>
        </w:rPr>
      </w:pPr>
      <w:r>
        <w:rPr>
          <w:rFonts w:hint="eastAsia" w:ascii="黑体" w:hAnsi="黑体" w:eastAsia="黑体" w:cs="黑体"/>
          <w:szCs w:val="22"/>
        </w:rPr>
        <w:t>三、预算管理</w:t>
      </w:r>
    </w:p>
    <w:p w14:paraId="532D0859">
      <w:pPr>
        <w:overflowPunct w:val="0"/>
        <w:spacing w:line="592" w:lineRule="exact"/>
        <w:ind w:firstLine="640" w:firstLineChars="200"/>
        <w:textAlignment w:val="center"/>
        <w:rPr>
          <w:rFonts w:cs="黑体"/>
          <w:strike/>
          <w:szCs w:val="22"/>
        </w:rPr>
      </w:pPr>
      <w:r>
        <w:rPr>
          <w:rFonts w:hint="eastAsia" w:cs="黑体"/>
          <w:szCs w:val="22"/>
        </w:rPr>
        <w:t>2025年，DRG付费区域总额预算确定基金总体可用规模，分类预算确定各预算类别医疗机构可使用的基金量。</w:t>
      </w:r>
    </w:p>
    <w:p w14:paraId="6C7AC207">
      <w:pPr>
        <w:overflowPunct w:val="0"/>
        <w:spacing w:line="592" w:lineRule="exact"/>
        <w:ind w:firstLine="640" w:firstLineChars="200"/>
        <w:textAlignment w:val="center"/>
        <w:rPr>
          <w:rFonts w:eastAsia="楷体_GB2312" w:cs="黑体"/>
          <w:szCs w:val="22"/>
        </w:rPr>
      </w:pPr>
      <w:r>
        <w:rPr>
          <w:rFonts w:hint="eastAsia" w:eastAsia="楷体_GB2312" w:cs="黑体"/>
          <w:szCs w:val="22"/>
        </w:rPr>
        <w:t>（一）总额预算。</w:t>
      </w:r>
      <w:r>
        <w:rPr>
          <w:rFonts w:hint="eastAsia" w:cs="黑体"/>
          <w:szCs w:val="22"/>
        </w:rPr>
        <w:t>全市职工、居民医保基金分别制定年度总额预算，实行职工、居民医保DRG付费统一点值、统一拨付、统一清算管理。</w:t>
      </w:r>
    </w:p>
    <w:p w14:paraId="09290068">
      <w:pPr>
        <w:overflowPunct w:val="0"/>
        <w:spacing w:line="592" w:lineRule="exact"/>
        <w:ind w:firstLine="640" w:firstLineChars="200"/>
        <w:textAlignment w:val="center"/>
        <w:rPr>
          <w:rFonts w:cs="黑体"/>
          <w:szCs w:val="22"/>
        </w:rPr>
      </w:pPr>
      <w:bookmarkStart w:id="8" w:name="OLE_LINK12"/>
      <w:bookmarkStart w:id="9" w:name="OLE_LINK11"/>
      <w:r>
        <w:rPr>
          <w:rFonts w:hint="eastAsia" w:cs="黑体"/>
          <w:szCs w:val="22"/>
        </w:rPr>
        <w:t>1.职工医保基金总额预算。以医疗机构上年度DRG付费病例医保基金支出为基数，综合考虑参保人数、医疗服务价格、住院率、医保政策调整以及地方经济和基金收入增长等因素，参考省直职工医保预算增幅确定。</w:t>
      </w:r>
    </w:p>
    <w:p w14:paraId="75C9CD4B">
      <w:pPr>
        <w:overflowPunct w:val="0"/>
        <w:spacing w:line="592" w:lineRule="exact"/>
        <w:ind w:firstLine="640" w:firstLineChars="200"/>
        <w:textAlignment w:val="center"/>
        <w:rPr>
          <w:rFonts w:cs="黑体"/>
          <w:szCs w:val="22"/>
        </w:rPr>
      </w:pPr>
      <w:r>
        <w:rPr>
          <w:rFonts w:hint="eastAsia" w:cs="黑体"/>
          <w:szCs w:val="22"/>
        </w:rPr>
        <w:t>2.居民医保基金总额预算。以2025年度全市居民医保基金收入预算为基数，扣除风险金、门诊和异地就医等基金支出预算，按上年DRG付费医疗机构居民住院医保基金支出占全市居民住院医保基金支出的比例确定。</w:t>
      </w:r>
      <w:bookmarkEnd w:id="8"/>
      <w:bookmarkEnd w:id="9"/>
    </w:p>
    <w:p w14:paraId="2F58D5E0">
      <w:pPr>
        <w:overflowPunct w:val="0"/>
        <w:spacing w:line="592" w:lineRule="exact"/>
        <w:ind w:firstLine="640" w:firstLineChars="200"/>
        <w:textAlignment w:val="center"/>
        <w:rPr>
          <w:rFonts w:cs="黑体"/>
          <w:szCs w:val="22"/>
        </w:rPr>
      </w:pPr>
      <w:r>
        <w:rPr>
          <w:rFonts w:hint="eastAsia" w:cs="黑体"/>
          <w:szCs w:val="22"/>
        </w:rPr>
        <w:t>3.统一点值管理。按职工、居民医保基金预算之和计算确定DRG点值，实现同预算类别医疗机构的职工、居民医保DRG相同点值付费。</w:t>
      </w:r>
    </w:p>
    <w:p w14:paraId="65C3C104">
      <w:pPr>
        <w:overflowPunct w:val="0"/>
        <w:spacing w:line="592" w:lineRule="exact"/>
        <w:ind w:firstLine="640" w:firstLineChars="200"/>
        <w:textAlignment w:val="center"/>
        <w:rPr>
          <w:rFonts w:cs="黑体"/>
          <w:szCs w:val="22"/>
        </w:rPr>
      </w:pPr>
      <w:r>
        <w:rPr>
          <w:rFonts w:hint="eastAsia" w:eastAsia="楷体_GB2312" w:cs="黑体"/>
          <w:szCs w:val="22"/>
        </w:rPr>
        <w:t>（二）分类预算。</w:t>
      </w:r>
      <w:r>
        <w:rPr>
          <w:rFonts w:hint="eastAsia" w:cs="黑体"/>
          <w:bCs/>
          <w:szCs w:val="22"/>
        </w:rPr>
        <w:t>按</w:t>
      </w:r>
      <w:bookmarkStart w:id="10" w:name="_Hlk188627290"/>
      <w:r>
        <w:rPr>
          <w:rFonts w:hint="eastAsia" w:cs="黑体"/>
          <w:bCs/>
          <w:szCs w:val="22"/>
        </w:rPr>
        <w:t>省市三级医疗机构、县级及二级医疗机构、一级及以下医疗机构、中医医疗机构四类</w:t>
      </w:r>
      <w:bookmarkEnd w:id="10"/>
      <w:r>
        <w:rPr>
          <w:rFonts w:hint="eastAsia" w:cs="黑体"/>
          <w:bCs/>
          <w:szCs w:val="22"/>
        </w:rPr>
        <w:t>分别设置预算额，先期以</w:t>
      </w:r>
      <w:r>
        <w:rPr>
          <w:rFonts w:hint="eastAsia" w:cs="黑体"/>
          <w:b/>
          <w:szCs w:val="22"/>
        </w:rPr>
        <w:t>2023年</w:t>
      </w:r>
      <w:r>
        <w:rPr>
          <w:rFonts w:hint="eastAsia" w:cs="黑体"/>
          <w:bCs/>
          <w:szCs w:val="22"/>
        </w:rPr>
        <w:t>各类医疗机构DRG付费病例按项目付费基金发生额、DRG实际付费金额分别按50%的权重占比（新纳入的医疗机构按项目付费基金发生额），对总额预算切块确定各分类预算额，2024年清算完成后给予校正。</w:t>
      </w:r>
    </w:p>
    <w:p w14:paraId="31CDB344">
      <w:pPr>
        <w:overflowPunct w:val="0"/>
        <w:spacing w:line="592" w:lineRule="exact"/>
        <w:ind w:firstLine="640" w:firstLineChars="200"/>
        <w:textAlignment w:val="center"/>
        <w:rPr>
          <w:rFonts w:cs="黑体"/>
          <w:strike/>
          <w:szCs w:val="22"/>
        </w:rPr>
      </w:pPr>
      <w:r>
        <w:rPr>
          <w:rFonts w:hint="eastAsia" w:eastAsia="楷体_GB2312" w:cs="黑体"/>
          <w:szCs w:val="22"/>
        </w:rPr>
        <w:t>（三）设置调剂金。</w:t>
      </w:r>
      <w:r>
        <w:rPr>
          <w:rFonts w:hint="eastAsia" w:cs="黑体"/>
          <w:bCs/>
          <w:szCs w:val="22"/>
        </w:rPr>
        <w:t>DRG预算总额按</w:t>
      </w:r>
      <w:r>
        <w:rPr>
          <w:rFonts w:hint="eastAsia" w:cs="黑体"/>
          <w:szCs w:val="22"/>
        </w:rPr>
        <w:t>7%</w:t>
      </w:r>
      <w:r>
        <w:rPr>
          <w:rFonts w:hint="eastAsia" w:cs="黑体"/>
          <w:bCs/>
          <w:szCs w:val="22"/>
        </w:rPr>
        <w:t>预留调剂金，其中</w:t>
      </w:r>
      <w:r>
        <w:rPr>
          <w:rFonts w:hint="eastAsia" w:cs="黑体"/>
          <w:szCs w:val="22"/>
        </w:rPr>
        <w:t>2%用于调剂不同预算类别医疗机构的病例数和基金支出的不合理增长；</w:t>
      </w:r>
      <w:r>
        <w:rPr>
          <w:rFonts w:hint="eastAsia" w:cs="黑体"/>
          <w:bCs/>
          <w:szCs w:val="22"/>
        </w:rPr>
        <w:t>5%</w:t>
      </w:r>
      <w:r>
        <w:rPr>
          <w:rFonts w:hint="eastAsia" w:cs="黑体"/>
          <w:szCs w:val="22"/>
        </w:rPr>
        <w:t>用于调剂门诊和异地就医基金支出的不合理增长，</w:t>
      </w:r>
      <w:bookmarkStart w:id="11" w:name="OLE_LINK17"/>
      <w:bookmarkStart w:id="12" w:name="OLE_LINK18"/>
      <w:r>
        <w:rPr>
          <w:rFonts w:hint="eastAsia" w:cs="黑体"/>
          <w:bCs/>
          <w:szCs w:val="22"/>
        </w:rPr>
        <w:t>异地就医基金支出主要根据</w:t>
      </w:r>
      <w:r>
        <w:rPr>
          <w:rFonts w:hint="eastAsia" w:cs="黑体"/>
          <w:szCs w:val="22"/>
        </w:rPr>
        <w:t>高质量发展医</w:t>
      </w:r>
      <w:r>
        <w:rPr>
          <w:rFonts w:hint="eastAsia" w:cs="黑体"/>
          <w:bCs/>
          <w:szCs w:val="22"/>
        </w:rPr>
        <w:t>疗机构收治300点以上病例</w:t>
      </w:r>
      <w:bookmarkEnd w:id="11"/>
      <w:bookmarkEnd w:id="12"/>
      <w:r>
        <w:rPr>
          <w:rFonts w:hint="eastAsia" w:cs="黑体"/>
          <w:bCs/>
          <w:szCs w:val="22"/>
        </w:rPr>
        <w:t>和本地住院病例外转情况进行调剂</w:t>
      </w:r>
      <w:r>
        <w:rPr>
          <w:rFonts w:hint="eastAsia" w:cs="黑体"/>
          <w:szCs w:val="22"/>
        </w:rPr>
        <w:t>。门诊和异地就医基金预算支出结余的，纳入</w:t>
      </w:r>
      <w:r>
        <w:rPr>
          <w:rFonts w:hint="eastAsia" w:cs="黑体"/>
          <w:bCs/>
          <w:szCs w:val="22"/>
        </w:rPr>
        <w:t>年度清算分配。</w:t>
      </w:r>
    </w:p>
    <w:p w14:paraId="789FFF78">
      <w:pPr>
        <w:overflowPunct w:val="0"/>
        <w:spacing w:line="592" w:lineRule="exact"/>
        <w:ind w:firstLine="640" w:firstLineChars="200"/>
        <w:textAlignment w:val="center"/>
        <w:rPr>
          <w:rFonts w:cs="黑体"/>
          <w:bCs/>
          <w:szCs w:val="22"/>
        </w:rPr>
      </w:pPr>
      <w:r>
        <w:rPr>
          <w:rFonts w:hint="eastAsia" w:eastAsia="楷体_GB2312" w:cs="黑体"/>
          <w:szCs w:val="22"/>
        </w:rPr>
        <w:t>（四）“双通道”药品管理。</w:t>
      </w:r>
      <w:r>
        <w:rPr>
          <w:rFonts w:hint="eastAsia" w:cs="黑体"/>
          <w:szCs w:val="22"/>
        </w:rPr>
        <w:t>参保患者</w:t>
      </w:r>
      <w:r>
        <w:rPr>
          <w:rFonts w:hint="eastAsia" w:cs="黑体"/>
          <w:bCs/>
          <w:szCs w:val="22"/>
        </w:rPr>
        <w:t>住院期间在“双通道”药店发生的纳入“双通道”管理的药品费用纳入DRG付费范围，其医保结算额度纳入预算总额管理。</w:t>
      </w:r>
    </w:p>
    <w:p w14:paraId="012B614E">
      <w:pPr>
        <w:overflowPunct w:val="0"/>
        <w:spacing w:line="592" w:lineRule="exact"/>
        <w:ind w:firstLine="640" w:firstLineChars="200"/>
        <w:textAlignment w:val="center"/>
        <w:rPr>
          <w:rFonts w:ascii="黑体" w:hAnsi="黑体" w:eastAsia="黑体" w:cs="黑体"/>
          <w:szCs w:val="22"/>
        </w:rPr>
      </w:pPr>
      <w:r>
        <w:rPr>
          <w:rFonts w:hint="eastAsia" w:ascii="黑体" w:hAnsi="黑体" w:eastAsia="黑体" w:cs="黑体"/>
          <w:szCs w:val="22"/>
        </w:rPr>
        <w:t>四、病组管理</w:t>
      </w:r>
    </w:p>
    <w:p w14:paraId="6A1BFAE0">
      <w:pPr>
        <w:overflowPunct w:val="0"/>
        <w:spacing w:line="592" w:lineRule="exact"/>
        <w:ind w:firstLine="640" w:firstLineChars="200"/>
        <w:textAlignment w:val="center"/>
        <w:rPr>
          <w:rFonts w:cs="黑体"/>
          <w:szCs w:val="22"/>
        </w:rPr>
      </w:pPr>
      <w:r>
        <w:rPr>
          <w:rFonts w:hint="eastAsia" w:eastAsia="楷体_GB2312" w:cs="黑体"/>
          <w:szCs w:val="22"/>
        </w:rPr>
        <w:t>（一）裁剪及分组。</w:t>
      </w:r>
      <w:r>
        <w:rPr>
          <w:rFonts w:hint="eastAsia" w:cs="黑体"/>
          <w:szCs w:val="22"/>
        </w:rPr>
        <w:t>以近三年医保结算、病案首页数据，用中间区段法裁剪，按组内变异系数CV≤1、总体方差减小系数RIV≥70%原则，制定全市统一的分组方案。2025年DRG分组方案在国家分组方案2.0版基础上，结合临床实际和专家意见，经集体研究后另行确定。</w:t>
      </w:r>
    </w:p>
    <w:p w14:paraId="2BA5D467">
      <w:pPr>
        <w:overflowPunct w:val="0"/>
        <w:spacing w:line="592" w:lineRule="exact"/>
        <w:ind w:firstLine="640" w:firstLineChars="200"/>
        <w:textAlignment w:val="center"/>
        <w:rPr>
          <w:rFonts w:cs="黑体"/>
          <w:szCs w:val="22"/>
        </w:rPr>
      </w:pPr>
      <w:r>
        <w:rPr>
          <w:rFonts w:hint="eastAsia" w:eastAsia="楷体_GB2312" w:cs="黑体"/>
          <w:szCs w:val="22"/>
        </w:rPr>
        <w:t>（二）病组类型。</w:t>
      </w:r>
      <w:r>
        <w:rPr>
          <w:rFonts w:hint="eastAsia" w:cs="黑体"/>
          <w:szCs w:val="22"/>
        </w:rPr>
        <w:t>根据组内变异系数CV值，DRG病组分为稳定病组和非稳定病组。稳定病组指组内病例数&gt;5且CV≤1的病组，非稳定病组指组内病例数≤5或CV&gt;1的病组。</w:t>
      </w:r>
    </w:p>
    <w:p w14:paraId="5EBE6B43">
      <w:pPr>
        <w:overflowPunct w:val="0"/>
        <w:spacing w:line="592" w:lineRule="exact"/>
        <w:ind w:firstLine="640" w:firstLineChars="200"/>
        <w:textAlignment w:val="center"/>
        <w:rPr>
          <w:rFonts w:cs="黑体"/>
          <w:szCs w:val="22"/>
        </w:rPr>
      </w:pPr>
      <w:r>
        <w:rPr>
          <w:rFonts w:hint="eastAsia" w:eastAsia="楷体_GB2312" w:cs="黑体"/>
          <w:szCs w:val="22"/>
        </w:rPr>
        <w:t>（三）病例入组。</w:t>
      </w:r>
      <w:r>
        <w:rPr>
          <w:rFonts w:hint="eastAsia" w:cs="黑体"/>
          <w:szCs w:val="22"/>
        </w:rPr>
        <w:t>按照分组规则，实际病例分别进入稳定病组、非稳定病组。根据病例住院费用与该病组次均住院费用的倍率关系，稳定病组病例分为高倍率、低倍率和正常倍率病例，非稳定病组不作区分。</w:t>
      </w:r>
    </w:p>
    <w:p w14:paraId="6EF720AA">
      <w:pPr>
        <w:overflowPunct w:val="0"/>
        <w:spacing w:line="592" w:lineRule="exact"/>
        <w:ind w:firstLine="640" w:firstLineChars="200"/>
        <w:textAlignment w:val="center"/>
        <w:rPr>
          <w:rFonts w:cs="黑体"/>
          <w:szCs w:val="22"/>
        </w:rPr>
      </w:pPr>
      <w:r>
        <w:rPr>
          <w:rFonts w:hint="eastAsia" w:cs="黑体"/>
          <w:szCs w:val="22"/>
        </w:rPr>
        <w:t>1.高倍率病例。指病例住院费用高于该DRG病组次均住院费用一定倍数的病例。根据基准点数不同，按下列规则确定高倍率病例：基准点数≤100点的，高倍率界值为3；100点＜基准点数≤200点的，高倍率界值为2.5；200点＜基准点数≤1000点的，高倍率界值为2；基准点数&gt;1000点的，高倍率界值为1.5。</w:t>
      </w:r>
    </w:p>
    <w:p w14:paraId="71D24AE6">
      <w:pPr>
        <w:overflowPunct w:val="0"/>
        <w:spacing w:line="592" w:lineRule="exact"/>
        <w:ind w:firstLine="640" w:firstLineChars="200"/>
        <w:textAlignment w:val="center"/>
        <w:rPr>
          <w:rFonts w:cs="黑体"/>
          <w:szCs w:val="22"/>
        </w:rPr>
      </w:pPr>
      <w:r>
        <w:rPr>
          <w:rFonts w:hint="eastAsia" w:cs="黑体"/>
          <w:szCs w:val="22"/>
        </w:rPr>
        <w:t>2.低倍率病例。指病例住院费用低于该DRG病组次均住院费用一定比例的病例。根据基准点数不同，按下列规则判断低倍率病例：基准点数≤40点的，低倍率界值为0.8；40点＜基准点数≤50点的，低倍率界值为0.6；基准点数＞50点的，低倍率界值为0.4</w:t>
      </w:r>
      <w:bookmarkStart w:id="13" w:name="OLE_LINK14"/>
      <w:bookmarkStart w:id="14" w:name="OLE_LINK13"/>
      <w:r>
        <w:rPr>
          <w:rFonts w:hint="eastAsia" w:cs="黑体"/>
          <w:szCs w:val="22"/>
        </w:rPr>
        <w:t>。小于17岁病组低倍率界值为0.4。</w:t>
      </w:r>
      <w:bookmarkEnd w:id="13"/>
      <w:bookmarkEnd w:id="14"/>
    </w:p>
    <w:p w14:paraId="69A5C311">
      <w:pPr>
        <w:overflowPunct w:val="0"/>
        <w:spacing w:line="592" w:lineRule="exact"/>
        <w:ind w:firstLine="640" w:firstLineChars="200"/>
        <w:textAlignment w:val="center"/>
        <w:rPr>
          <w:rFonts w:cs="黑体"/>
          <w:szCs w:val="22"/>
        </w:rPr>
      </w:pPr>
      <w:r>
        <w:rPr>
          <w:rFonts w:hint="eastAsia" w:cs="黑体"/>
          <w:szCs w:val="22"/>
        </w:rPr>
        <w:t>3.正常倍率病例。指高倍率、低倍率以外的病例。</w:t>
      </w:r>
    </w:p>
    <w:p w14:paraId="7423490F">
      <w:pPr>
        <w:overflowPunct w:val="0"/>
        <w:spacing w:line="592" w:lineRule="exact"/>
        <w:ind w:firstLine="640" w:firstLineChars="200"/>
        <w:textAlignment w:val="center"/>
        <w:rPr>
          <w:rFonts w:cs="黑体"/>
          <w:szCs w:val="22"/>
        </w:rPr>
      </w:pPr>
      <w:r>
        <w:rPr>
          <w:rFonts w:hint="eastAsia" w:eastAsia="楷体_GB2312" w:cs="黑体"/>
          <w:szCs w:val="22"/>
        </w:rPr>
        <w:t>（四）入组流程。</w:t>
      </w:r>
      <w:r>
        <w:rPr>
          <w:rFonts w:hint="eastAsia" w:cs="黑体"/>
          <w:szCs w:val="22"/>
        </w:rPr>
        <w:t>医疗机构、医保经办机构按照下列流程协同完成病例入组、分组审核确认工作：</w:t>
      </w:r>
    </w:p>
    <w:p w14:paraId="5DB50269">
      <w:pPr>
        <w:overflowPunct w:val="0"/>
        <w:spacing w:line="592" w:lineRule="exact"/>
        <w:ind w:firstLine="640" w:firstLineChars="200"/>
        <w:textAlignment w:val="center"/>
        <w:rPr>
          <w:rFonts w:cs="黑体"/>
          <w:szCs w:val="22"/>
        </w:rPr>
      </w:pPr>
      <w:r>
        <w:rPr>
          <w:rFonts w:hint="eastAsia" w:cs="黑体"/>
          <w:szCs w:val="22"/>
        </w:rPr>
        <w:t>1.结算清单上传。每月12日前，医疗机构应完成上月住院病例的结算清单上传工作。</w:t>
      </w:r>
    </w:p>
    <w:p w14:paraId="25EA31B0">
      <w:pPr>
        <w:overflowPunct w:val="0"/>
        <w:spacing w:line="592" w:lineRule="exact"/>
        <w:ind w:firstLine="640" w:firstLineChars="200"/>
        <w:textAlignment w:val="center"/>
        <w:rPr>
          <w:rFonts w:cs="黑体"/>
          <w:szCs w:val="22"/>
        </w:rPr>
      </w:pPr>
      <w:r>
        <w:rPr>
          <w:rFonts w:hint="eastAsia" w:cs="黑体"/>
          <w:szCs w:val="22"/>
        </w:rPr>
        <w:t>2.病例入组。结算清单上传后3日内，医保经办机构应完成病例入组及结果分发。</w:t>
      </w:r>
    </w:p>
    <w:p w14:paraId="13AF52EE">
      <w:pPr>
        <w:overflowPunct w:val="0"/>
        <w:spacing w:line="592" w:lineRule="exact"/>
        <w:ind w:firstLine="640" w:firstLineChars="200"/>
        <w:textAlignment w:val="center"/>
        <w:rPr>
          <w:rFonts w:cs="黑体"/>
          <w:szCs w:val="22"/>
        </w:rPr>
      </w:pPr>
      <w:r>
        <w:rPr>
          <w:rFonts w:hint="eastAsia" w:cs="黑体"/>
          <w:szCs w:val="22"/>
        </w:rPr>
        <w:t>3.结果反馈。收到入组结果后7个工作日内，医疗机构应完成入组结果确认和问题的申诉反馈。逾期未反馈的视为无意见。</w:t>
      </w:r>
    </w:p>
    <w:p w14:paraId="007180C0">
      <w:pPr>
        <w:overflowPunct w:val="0"/>
        <w:spacing w:line="592" w:lineRule="exact"/>
        <w:ind w:firstLine="640" w:firstLineChars="200"/>
        <w:textAlignment w:val="center"/>
        <w:rPr>
          <w:rFonts w:cs="黑体"/>
          <w:szCs w:val="22"/>
        </w:rPr>
      </w:pPr>
      <w:r>
        <w:rPr>
          <w:rFonts w:hint="eastAsia" w:cs="黑体"/>
          <w:szCs w:val="22"/>
        </w:rPr>
        <w:t>4.分组审核。结果反馈后7个工作日内，医保经办机构应完成申诉反馈情况的审核，并根据实际进行入组调整、组织特例单议等工作。</w:t>
      </w:r>
    </w:p>
    <w:p w14:paraId="798DD113">
      <w:pPr>
        <w:overflowPunct w:val="0"/>
        <w:spacing w:line="592" w:lineRule="exact"/>
        <w:ind w:firstLine="640" w:firstLineChars="200"/>
        <w:textAlignment w:val="center"/>
        <w:rPr>
          <w:rFonts w:ascii="黑体" w:hAnsi="黑体" w:eastAsia="黑体" w:cs="黑体"/>
          <w:szCs w:val="22"/>
        </w:rPr>
      </w:pPr>
      <w:r>
        <w:rPr>
          <w:rFonts w:hint="eastAsia" w:ascii="黑体" w:hAnsi="黑体" w:eastAsia="黑体" w:cs="黑体"/>
          <w:szCs w:val="22"/>
        </w:rPr>
        <w:t>五、点数及系数管理</w:t>
      </w:r>
    </w:p>
    <w:p w14:paraId="5BE85D21">
      <w:pPr>
        <w:overflowPunct w:val="0"/>
        <w:spacing w:line="592" w:lineRule="exact"/>
        <w:ind w:firstLine="640" w:firstLineChars="200"/>
        <w:textAlignment w:val="center"/>
        <w:rPr>
          <w:rFonts w:cs="黑体"/>
          <w:szCs w:val="22"/>
        </w:rPr>
      </w:pPr>
      <w:r>
        <w:rPr>
          <w:rFonts w:hint="eastAsia" w:eastAsia="楷体_GB2312" w:cs="黑体"/>
          <w:szCs w:val="22"/>
        </w:rPr>
        <w:t>（一）基准点数。</w:t>
      </w:r>
      <w:r>
        <w:rPr>
          <w:rFonts w:hint="eastAsia" w:cs="黑体"/>
          <w:szCs w:val="22"/>
        </w:rPr>
        <w:t>以近三年医保结算数据，由远至近按1：2：7测算病组基准点数（下同），结合病例在不同级别医疗机构分布情况进行适当校正，经专家论证、集体研究确定后公布。其中：</w:t>
      </w:r>
    </w:p>
    <w:p w14:paraId="689A189B">
      <w:pPr>
        <w:overflowPunct w:val="0"/>
        <w:spacing w:line="592" w:lineRule="exact"/>
        <w:ind w:firstLine="640" w:firstLineChars="200"/>
        <w:textAlignment w:val="center"/>
        <w:rPr>
          <w:rFonts w:cs="黑体"/>
          <w:szCs w:val="22"/>
        </w:rPr>
      </w:pPr>
      <w:r>
        <w:rPr>
          <w:rFonts w:hint="eastAsia" w:cs="黑体"/>
          <w:szCs w:val="22"/>
        </w:rPr>
        <w:t>稳定病组基准点数＝该</w:t>
      </w:r>
      <w:bookmarkStart w:id="15" w:name="OLE_LINK31"/>
      <w:bookmarkStart w:id="16" w:name="OLE_LINK32"/>
      <w:r>
        <w:rPr>
          <w:rFonts w:hint="eastAsia" w:cs="黑体"/>
          <w:szCs w:val="22"/>
        </w:rPr>
        <w:t>DRG中病例的例均费用</w:t>
      </w:r>
      <w:bookmarkEnd w:id="15"/>
      <w:bookmarkEnd w:id="16"/>
      <w:r>
        <w:rPr>
          <w:rFonts w:hint="eastAsia" w:cs="黑体"/>
          <w:szCs w:val="22"/>
        </w:rPr>
        <w:t>÷全部</w:t>
      </w:r>
      <w:r>
        <w:rPr>
          <w:rFonts w:cs="黑体"/>
          <w:szCs w:val="22"/>
        </w:rPr>
        <w:t>DRG</w:t>
      </w:r>
      <w:r>
        <w:rPr>
          <w:rFonts w:hint="eastAsia" w:cs="黑体"/>
          <w:szCs w:val="22"/>
        </w:rPr>
        <w:t>病例的例均费用×100。DRG病例的例均费用结合病组CV值、医疗费用结构差异进行校正。</w:t>
      </w:r>
    </w:p>
    <w:p w14:paraId="5A8127F3">
      <w:pPr>
        <w:overflowPunct w:val="0"/>
        <w:spacing w:line="592" w:lineRule="exact"/>
        <w:ind w:firstLine="640" w:firstLineChars="200"/>
        <w:textAlignment w:val="center"/>
        <w:rPr>
          <w:rFonts w:cs="黑体"/>
          <w:szCs w:val="22"/>
        </w:rPr>
      </w:pPr>
      <w:r>
        <w:rPr>
          <w:rFonts w:hint="eastAsia" w:cs="黑体"/>
          <w:szCs w:val="22"/>
        </w:rPr>
        <w:t>康复治疗类病组床日基准点数＝该康复治疗类病组总费用÷该病组总住院天数÷全部</w:t>
      </w:r>
      <w:r>
        <w:rPr>
          <w:rFonts w:cs="黑体"/>
          <w:szCs w:val="22"/>
        </w:rPr>
        <w:t>DRG</w:t>
      </w:r>
      <w:r>
        <w:rPr>
          <w:rFonts w:hint="eastAsia" w:cs="黑体"/>
          <w:szCs w:val="22"/>
        </w:rPr>
        <w:t>病例的例均费用×100。</w:t>
      </w:r>
    </w:p>
    <w:p w14:paraId="2895CBE7">
      <w:pPr>
        <w:overflowPunct w:val="0"/>
        <w:spacing w:line="592" w:lineRule="exact"/>
        <w:ind w:firstLine="640" w:firstLineChars="200"/>
        <w:textAlignment w:val="center"/>
        <w:rPr>
          <w:rFonts w:cs="黑体"/>
          <w:szCs w:val="22"/>
        </w:rPr>
      </w:pPr>
      <w:r>
        <w:rPr>
          <w:rFonts w:hint="eastAsia" w:eastAsia="楷体_GB2312" w:cs="黑体"/>
          <w:szCs w:val="22"/>
        </w:rPr>
        <w:t>（二）基层病组。</w:t>
      </w:r>
      <w:r>
        <w:rPr>
          <w:rFonts w:hint="eastAsia" w:cs="黑体"/>
          <w:szCs w:val="22"/>
        </w:rPr>
        <w:t>将基层医疗机构具备较为成熟诊治能力的部分常见病、多发病、慢性病设为基层病组，基层病组不考虑医疗机构资源消耗差异，不设调节系数。基层病组的基准点数按县级和二级及以下医疗机构费用标准测算确定，医保基金直接按基准点数付费，实行“同病同价”。基层病组在《安徽省按病组和按病种付费基层病种参考目录》中遴选，经专家论证、集体研究后公布。</w:t>
      </w:r>
    </w:p>
    <w:p w14:paraId="77F7DE24">
      <w:pPr>
        <w:overflowPunct w:val="0"/>
        <w:spacing w:line="592" w:lineRule="exact"/>
        <w:ind w:firstLine="640" w:firstLineChars="200"/>
        <w:textAlignment w:val="center"/>
        <w:rPr>
          <w:rFonts w:cs="黑体"/>
          <w:szCs w:val="22"/>
        </w:rPr>
      </w:pPr>
      <w:r>
        <w:rPr>
          <w:rFonts w:hint="eastAsia" w:eastAsia="楷体_GB2312" w:cs="黑体"/>
          <w:szCs w:val="22"/>
        </w:rPr>
        <w:t>（三）调节系数。</w:t>
      </w:r>
      <w:r>
        <w:rPr>
          <w:rFonts w:hint="eastAsia" w:cs="黑体"/>
          <w:szCs w:val="22"/>
        </w:rPr>
        <w:t>除基层病组外，设</w:t>
      </w:r>
      <w:r>
        <w:rPr>
          <w:rFonts w:hint="eastAsia" w:ascii="微软雅黑" w:hAnsi="微软雅黑" w:cs="微软雅黑"/>
          <w:szCs w:val="22"/>
        </w:rPr>
        <w:t>置病组</w:t>
      </w:r>
      <w:r>
        <w:rPr>
          <w:rFonts w:hint="eastAsia" w:ascii="仿宋_GB2312" w:hAnsi="仿宋_GB2312" w:cs="仿宋_GB2312"/>
          <w:szCs w:val="22"/>
        </w:rPr>
        <w:t>调节系数合理补偿不同层级医疗机构的资源消耗。病组调节系数＝病组差异系数</w:t>
      </w:r>
      <w:r>
        <w:rPr>
          <w:rFonts w:hint="eastAsia" w:cs="黑体"/>
          <w:szCs w:val="22"/>
        </w:rPr>
        <w:t>＋倾斜支付系数。</w:t>
      </w:r>
    </w:p>
    <w:p w14:paraId="07EBBDA8">
      <w:pPr>
        <w:overflowPunct w:val="0"/>
        <w:spacing w:line="592" w:lineRule="exact"/>
        <w:ind w:firstLine="640" w:firstLineChars="200"/>
        <w:textAlignment w:val="center"/>
        <w:rPr>
          <w:rFonts w:cs="黑体"/>
          <w:szCs w:val="22"/>
        </w:rPr>
      </w:pPr>
      <w:r>
        <w:rPr>
          <w:rFonts w:hint="eastAsia" w:cs="黑体"/>
          <w:szCs w:val="22"/>
        </w:rPr>
        <w:t>1.病组差异系数。病组差异系数（不含康复治疗类病组）由各医疗机构的级别系数、成本系数、人次人头比系数、个人承担比系数和病例组合指数（CMI）系数按一定比例构成。其中：</w:t>
      </w:r>
    </w:p>
    <w:p w14:paraId="412DB7EC">
      <w:pPr>
        <w:overflowPunct w:val="0"/>
        <w:spacing w:line="592" w:lineRule="exact"/>
        <w:ind w:firstLine="640" w:firstLineChars="200"/>
        <w:textAlignment w:val="center"/>
        <w:rPr>
          <w:rFonts w:cs="黑体"/>
          <w:szCs w:val="22"/>
        </w:rPr>
      </w:pPr>
      <w:r>
        <w:rPr>
          <w:rFonts w:hint="eastAsia" w:cs="黑体"/>
          <w:szCs w:val="22"/>
        </w:rPr>
        <w:t>基准点数&lt;100点的，病组差异系数＝级别系数×80%＋人次人头比系数×10%＋个人承担比系数×8%＋CMI系数×2%。</w:t>
      </w:r>
    </w:p>
    <w:p w14:paraId="616C0A5E">
      <w:pPr>
        <w:overflowPunct w:val="0"/>
        <w:spacing w:line="592" w:lineRule="exact"/>
        <w:ind w:firstLine="640" w:firstLineChars="200"/>
        <w:textAlignment w:val="center"/>
        <w:rPr>
          <w:rFonts w:cs="黑体"/>
          <w:szCs w:val="22"/>
        </w:rPr>
      </w:pPr>
      <w:r>
        <w:rPr>
          <w:rFonts w:hint="eastAsia" w:cs="黑体"/>
          <w:szCs w:val="22"/>
        </w:rPr>
        <w:t>基准点数≥100点的，病组差异系数＝级别系数×70%＋成本系数×8%＋人次人头比系数×10%＋个人承担比系数×7%＋CMI系数×5%。</w:t>
      </w:r>
    </w:p>
    <w:p w14:paraId="23B78604">
      <w:pPr>
        <w:overflowPunct w:val="0"/>
        <w:spacing w:line="592" w:lineRule="exact"/>
        <w:ind w:firstLine="640" w:firstLineChars="200"/>
        <w:textAlignment w:val="center"/>
        <w:rPr>
          <w:rFonts w:cs="黑体"/>
          <w:szCs w:val="22"/>
        </w:rPr>
      </w:pPr>
      <w:r>
        <w:rPr>
          <w:rFonts w:hint="eastAsia" w:cs="黑体"/>
          <w:szCs w:val="22"/>
        </w:rPr>
        <w:t>（1）级别系数。根据卫生健康部门等级评审结果和省相关规定，按照三级乙级及以上、三级未定等级、二级、一级及以下四类医疗机构资源消耗情况测算确定，级别系数＝该级别医疗机构该病组次均住院费用÷全部医疗机构该病组次均住院费用。</w:t>
      </w:r>
      <w:r>
        <w:rPr>
          <w:rFonts w:hint="eastAsia" w:ascii="仿宋_GB2312" w:hAnsi="仿宋_GB2312" w:cs="仿宋_GB2312"/>
          <w:szCs w:val="22"/>
        </w:rPr>
        <w:t>医疗机构评审等级发生变化的，原则上当年分类不作调整。</w:t>
      </w:r>
    </w:p>
    <w:p w14:paraId="7A7D00D0">
      <w:pPr>
        <w:overflowPunct w:val="0"/>
        <w:spacing w:line="592" w:lineRule="exact"/>
        <w:ind w:firstLine="640" w:firstLineChars="200"/>
        <w:textAlignment w:val="center"/>
        <w:rPr>
          <w:rFonts w:cs="黑体"/>
          <w:szCs w:val="22"/>
        </w:rPr>
      </w:pPr>
      <w:r>
        <w:rPr>
          <w:rFonts w:hint="eastAsia" w:cs="黑体"/>
          <w:szCs w:val="22"/>
        </w:rPr>
        <w:t>（2）成本系数。按照各医疗机构历史资源消耗情况测算确定，成本系数＝该医疗机构该病组次均住院费用÷全部医疗机构该病组次均住院费用。</w:t>
      </w:r>
    </w:p>
    <w:p w14:paraId="40631DE2">
      <w:pPr>
        <w:overflowPunct w:val="0"/>
        <w:spacing w:line="592" w:lineRule="exact"/>
        <w:ind w:firstLine="640" w:firstLineChars="200"/>
        <w:textAlignment w:val="center"/>
        <w:rPr>
          <w:rFonts w:cs="黑体"/>
          <w:color w:val="000000" w:themeColor="text1"/>
          <w:szCs w:val="22"/>
          <w:u w:val="double"/>
          <w14:textFill>
            <w14:solidFill>
              <w14:schemeClr w14:val="tx1"/>
            </w14:solidFill>
          </w14:textFill>
        </w:rPr>
      </w:pPr>
      <w:r>
        <w:rPr>
          <w:rFonts w:hint="eastAsia" w:cs="黑体"/>
          <w:szCs w:val="22"/>
        </w:rPr>
        <w:t>（3）人次人头比系数。</w:t>
      </w:r>
      <w:r>
        <w:rPr>
          <w:rFonts w:hint="eastAsia" w:cs="黑体"/>
          <w:color w:val="000000" w:themeColor="text1"/>
          <w:szCs w:val="22"/>
          <w14:textFill>
            <w14:solidFill>
              <w14:schemeClr w14:val="tx1"/>
            </w14:solidFill>
          </w14:textFill>
        </w:rPr>
        <w:t>人次人头比系数</w:t>
      </w:r>
      <w:r>
        <w:rPr>
          <w:rFonts w:hint="eastAsia" w:ascii="仿宋_GB2312" w:hAnsi="仿宋_GB2312" w:cs="仿宋_GB2312"/>
          <w:color w:val="000000" w:themeColor="text1"/>
          <w:szCs w:val="22"/>
          <w14:textFill>
            <w14:solidFill>
              <w14:schemeClr w14:val="tx1"/>
            </w14:solidFill>
          </w14:textFill>
        </w:rPr>
        <w:t>（剔除特殊疾病多疗程住院结算数据，下同）</w:t>
      </w:r>
      <w:r>
        <w:rPr>
          <w:rFonts w:hint="eastAsia" w:cs="黑体"/>
          <w:color w:val="000000" w:themeColor="text1"/>
          <w:szCs w:val="22"/>
          <w14:textFill>
            <w14:solidFill>
              <w14:schemeClr w14:val="tx1"/>
            </w14:solidFill>
          </w14:textFill>
        </w:rPr>
        <w:t>由上年度同级别医疗机构人次人头比增幅与该医院的人次人头比增幅比值、该医院上年度人次人头比与上上年度人次人头比比值两部分构成，各占50%，人次人头比系数＝（1＋同级别医疗机构人次人头比增幅）÷（1＋该医疗机构人次人头比增幅）×50%＋该医疗机构2023年的人次人头比÷该医疗机构2024年人次人头比×50%。</w:t>
      </w:r>
    </w:p>
    <w:p w14:paraId="213AA219">
      <w:pPr>
        <w:overflowPunct w:val="0"/>
        <w:spacing w:line="592" w:lineRule="exact"/>
        <w:ind w:firstLine="640" w:firstLineChars="200"/>
        <w:textAlignment w:val="center"/>
        <w:rPr>
          <w:rFonts w:cs="黑体"/>
          <w:szCs w:val="22"/>
        </w:rPr>
      </w:pPr>
      <w:r>
        <w:rPr>
          <w:rFonts w:hint="eastAsia" w:cs="黑体"/>
          <w:szCs w:val="22"/>
        </w:rPr>
        <w:t>（4）个人承担比系数。以该级别医疗机构个人承担比例与该医疗机构个人承担比例的比值确定，个人承担比系数＝该级别医疗机构个人承担比例÷该医疗机构个人承担比例。</w:t>
      </w:r>
    </w:p>
    <w:p w14:paraId="324A29C8">
      <w:pPr>
        <w:overflowPunct w:val="0"/>
        <w:spacing w:line="592" w:lineRule="exact"/>
        <w:ind w:firstLine="640" w:firstLineChars="200"/>
        <w:textAlignment w:val="center"/>
        <w:rPr>
          <w:rFonts w:cs="黑体"/>
          <w:szCs w:val="22"/>
        </w:rPr>
      </w:pPr>
      <w:r>
        <w:rPr>
          <w:rFonts w:hint="eastAsia" w:cs="黑体"/>
          <w:szCs w:val="22"/>
        </w:rPr>
        <w:t>（5）CMI系数。以该医疗机构CMI值占全部医疗机构CMI值的比值确定，CMI系数＝该医疗机构CMI值÷全部医疗机构CMI值，CMI值＝Σ（各DRG病例次均费用÷全部DRG病例次均费用×该DRG病例数）÷总病例数。</w:t>
      </w:r>
    </w:p>
    <w:p w14:paraId="4D65B89D">
      <w:pPr>
        <w:overflowPunct w:val="0"/>
        <w:spacing w:line="592" w:lineRule="exact"/>
        <w:ind w:firstLine="640" w:firstLineChars="200"/>
        <w:textAlignment w:val="center"/>
        <w:rPr>
          <w:rFonts w:cs="黑体"/>
          <w:szCs w:val="22"/>
        </w:rPr>
      </w:pPr>
      <w:r>
        <w:rPr>
          <w:rFonts w:hint="eastAsia" w:cs="黑体"/>
          <w:szCs w:val="22"/>
        </w:rPr>
        <w:t>（6）相关规定。原则上同一病组下级医疗机构病组差异系数不高于上级医疗机构病组差异系数平均值。稳定病组中病例数少的病组级别系数、成本系数按下列规则处理：某医疗机构本病组病例数≤5例，同级医疗机构本病组病例数＞5例，级别系数、成本系数按本等级系数确定；同级医疗机构该病组病例数≤5例的，级别系数、成本系数以相邻等级按就高原则确定，最大不超过1；其他等级医疗机构该病组病例数均≤5的，级别系数、成本系数设定为1。非稳定病组差异系数设定为1。</w:t>
      </w:r>
    </w:p>
    <w:p w14:paraId="741137BA">
      <w:pPr>
        <w:overflowPunct w:val="0"/>
        <w:spacing w:line="592" w:lineRule="exact"/>
        <w:ind w:firstLine="640" w:firstLineChars="200"/>
        <w:textAlignment w:val="center"/>
        <w:rPr>
          <w:rFonts w:ascii="仿宋_GB2312" w:hAnsi="仿宋_GB2312" w:cs="仿宋_GB2312"/>
          <w:szCs w:val="22"/>
        </w:rPr>
      </w:pPr>
      <w:r>
        <w:rPr>
          <w:rFonts w:hint="eastAsia" w:cs="黑体"/>
          <w:szCs w:val="22"/>
        </w:rPr>
        <w:t>医疗机构当年新发生的病组，病组差异系数按该医疗机构级别系数设</w:t>
      </w:r>
      <w:r>
        <w:rPr>
          <w:rFonts w:hint="eastAsia" w:ascii="微软雅黑" w:hAnsi="微软雅黑" w:cs="微软雅黑"/>
          <w:szCs w:val="22"/>
        </w:rPr>
        <w:t>置</w:t>
      </w:r>
      <w:r>
        <w:rPr>
          <w:rFonts w:hint="eastAsia" w:ascii="仿宋_GB2312" w:hAnsi="仿宋_GB2312" w:cs="仿宋_GB2312"/>
          <w:szCs w:val="22"/>
        </w:rPr>
        <w:t>。医疗机构评审等级发生变化的，原则上当年病组差异系数不作调整。新增医疗机构病组差异系数按同级同类医疗机构病组差异系数平均水平确定。</w:t>
      </w:r>
    </w:p>
    <w:p w14:paraId="5F66AF3D">
      <w:pPr>
        <w:overflowPunct w:val="0"/>
        <w:spacing w:line="592" w:lineRule="exact"/>
        <w:ind w:firstLine="640" w:firstLineChars="200"/>
        <w:textAlignment w:val="center"/>
        <w:rPr>
          <w:rFonts w:cs="黑体"/>
          <w:szCs w:val="22"/>
        </w:rPr>
      </w:pPr>
      <w:r>
        <w:rPr>
          <w:rFonts w:hint="eastAsia" w:cs="黑体"/>
          <w:szCs w:val="22"/>
        </w:rPr>
        <w:t>2.倾斜支付系数。</w:t>
      </w:r>
      <w:r>
        <w:rPr>
          <w:rFonts w:hint="eastAsia" w:cs="黑体"/>
          <w:bCs/>
          <w:szCs w:val="22"/>
        </w:rPr>
        <w:t>支持高质量发展医疗机构收治重症，对其收治基准点数300点以上病组，增加该病组系数0.06；</w:t>
      </w:r>
      <w:r>
        <w:rPr>
          <w:rFonts w:hint="eastAsia" w:cs="黑体"/>
          <w:szCs w:val="22"/>
        </w:rPr>
        <w:t>年终清算时</w:t>
      </w:r>
      <w:bookmarkStart w:id="17" w:name="OLE_LINK26"/>
      <w:bookmarkStart w:id="18" w:name="OLE_LINK25"/>
      <w:r>
        <w:rPr>
          <w:rFonts w:hint="eastAsia" w:cs="黑体"/>
          <w:szCs w:val="22"/>
        </w:rPr>
        <w:t>对应病组病例数占比降低的或收治基层病组病例数占比增加的，取消倾斜支付系数。</w:t>
      </w:r>
      <w:bookmarkEnd w:id="17"/>
      <w:bookmarkEnd w:id="18"/>
      <w:r>
        <w:rPr>
          <w:rFonts w:hint="eastAsia" w:cs="黑体"/>
          <w:szCs w:val="22"/>
        </w:rPr>
        <w:t>支持中医药发展，对以中医诊疗为主的病组（指中治率在20%及以上，且病例数在100例及以上的）设</w:t>
      </w:r>
      <w:r>
        <w:rPr>
          <w:rFonts w:hint="eastAsia" w:ascii="微软雅黑" w:hAnsi="微软雅黑" w:cs="微软雅黑"/>
          <w:szCs w:val="22"/>
        </w:rPr>
        <w:t>置中医</w:t>
      </w:r>
      <w:r>
        <w:rPr>
          <w:rFonts w:hint="eastAsia" w:ascii="仿宋_GB2312" w:hAnsi="仿宋_GB2312" w:cs="仿宋_GB2312"/>
          <w:szCs w:val="22"/>
        </w:rPr>
        <w:t>倾斜支付系数，</w:t>
      </w:r>
      <w:r>
        <w:rPr>
          <w:rFonts w:hint="eastAsia" w:cs="黑体"/>
          <w:bCs/>
          <w:szCs w:val="22"/>
        </w:rPr>
        <w:t>对20%≤病组中治率＜40%的，增加该病组系数0.1；</w:t>
      </w:r>
      <w:r>
        <w:rPr>
          <w:rFonts w:hint="eastAsia" w:ascii="仿宋_GB2312" w:hAnsi="仿宋_GB2312" w:cs="仿宋_GB2312"/>
          <w:bCs/>
          <w:szCs w:val="22"/>
        </w:rPr>
        <w:t>病组</w:t>
      </w:r>
      <w:r>
        <w:rPr>
          <w:rFonts w:hint="eastAsia" w:cs="黑体"/>
          <w:bCs/>
          <w:szCs w:val="22"/>
        </w:rPr>
        <w:t>中治率≥40%的，增加该病组系数0.2</w:t>
      </w:r>
      <w:r>
        <w:rPr>
          <w:rFonts w:hint="eastAsia" w:cs="黑体"/>
          <w:szCs w:val="22"/>
        </w:rPr>
        <w:t>。</w:t>
      </w:r>
    </w:p>
    <w:p w14:paraId="38642799">
      <w:pPr>
        <w:overflowPunct w:val="0"/>
        <w:spacing w:line="592" w:lineRule="exact"/>
        <w:ind w:firstLine="640" w:firstLineChars="200"/>
        <w:textAlignment w:val="center"/>
        <w:rPr>
          <w:rFonts w:cs="黑体"/>
          <w:szCs w:val="22"/>
        </w:rPr>
      </w:pPr>
      <w:r>
        <w:rPr>
          <w:rFonts w:hint="eastAsia" w:cs="黑体"/>
          <w:szCs w:val="22"/>
        </w:rPr>
        <w:t>3.康复治疗类病组差异系数按《关于调整康复类治疗疾病病组差异系数的通知》（合医保秘〔2024〕58号）执行。</w:t>
      </w:r>
    </w:p>
    <w:p w14:paraId="55AD26FC">
      <w:pPr>
        <w:overflowPunct w:val="0"/>
        <w:spacing w:line="592" w:lineRule="exact"/>
        <w:ind w:firstLine="640" w:firstLineChars="200"/>
        <w:textAlignment w:val="center"/>
        <w:rPr>
          <w:rFonts w:cs="黑体"/>
          <w:szCs w:val="22"/>
        </w:rPr>
      </w:pPr>
      <w:r>
        <w:rPr>
          <w:rFonts w:hint="eastAsia" w:cs="黑体"/>
          <w:szCs w:val="22"/>
        </w:rPr>
        <w:t>4.开展中医优势住院病种按疗效价值付费，中医优势病种付费病例纳入我市DRG结算范围，付费标准参照对应DRG付费病组不伴并发症合并症基准点数的60%计算。实施中医优势病种付费的病例，不再纳入DRG付费特例单议。</w:t>
      </w:r>
    </w:p>
    <w:p w14:paraId="2E2D28A3">
      <w:pPr>
        <w:overflowPunct w:val="0"/>
        <w:spacing w:line="592" w:lineRule="exact"/>
        <w:ind w:firstLine="640" w:firstLineChars="200"/>
        <w:textAlignment w:val="center"/>
        <w:rPr>
          <w:rFonts w:cs="黑体"/>
          <w:szCs w:val="22"/>
        </w:rPr>
      </w:pPr>
      <w:r>
        <w:rPr>
          <w:rFonts w:hint="eastAsia" w:eastAsia="楷体_GB2312" w:cs="黑体"/>
          <w:szCs w:val="22"/>
        </w:rPr>
        <w:t>（四）拨付点数。</w:t>
      </w:r>
      <w:r>
        <w:rPr>
          <w:rFonts w:hint="eastAsia" w:cs="黑体"/>
          <w:szCs w:val="22"/>
        </w:rPr>
        <w:t>住院病例按下列规则计算月拨付点数：</w:t>
      </w:r>
    </w:p>
    <w:p w14:paraId="1A33D719">
      <w:pPr>
        <w:overflowPunct w:val="0"/>
        <w:spacing w:line="592" w:lineRule="exact"/>
        <w:ind w:firstLine="640" w:firstLineChars="200"/>
        <w:textAlignment w:val="center"/>
        <w:rPr>
          <w:rFonts w:cs="黑体"/>
          <w:szCs w:val="22"/>
        </w:rPr>
      </w:pPr>
      <w:r>
        <w:rPr>
          <w:rFonts w:hint="eastAsia" w:cs="黑体"/>
          <w:szCs w:val="22"/>
        </w:rPr>
        <w:t>1.稳定病组。正常倍率病例、高倍率病例拨付点数＝病组基准点数×病组调节系数；低倍率病例拨付点数＝病组基准点数×（该病例住院费用÷该病组次均住院费用）。</w:t>
      </w:r>
    </w:p>
    <w:p w14:paraId="6F27AA0B">
      <w:pPr>
        <w:overflowPunct w:val="0"/>
        <w:spacing w:line="592" w:lineRule="exact"/>
        <w:ind w:firstLine="640" w:firstLineChars="200"/>
        <w:textAlignment w:val="center"/>
        <w:rPr>
          <w:rFonts w:cs="黑体"/>
          <w:szCs w:val="22"/>
        </w:rPr>
      </w:pPr>
      <w:r>
        <w:rPr>
          <w:rFonts w:hint="eastAsia" w:cs="黑体"/>
          <w:szCs w:val="22"/>
        </w:rPr>
        <w:t>2.非稳定病组、</w:t>
      </w:r>
      <w:r>
        <w:rPr>
          <w:rFonts w:hint="eastAsia" w:cs="黑体"/>
          <w:bCs/>
          <w:szCs w:val="22"/>
        </w:rPr>
        <w:t>0000病组</w:t>
      </w:r>
      <w:r>
        <w:rPr>
          <w:rFonts w:hint="eastAsia" w:cs="黑体"/>
          <w:szCs w:val="22"/>
        </w:rPr>
        <w:t>（指由于疾病诊断编码不规范等原因导致的不能正常入组的病例进入的组）。</w:t>
      </w:r>
      <w:r>
        <w:rPr>
          <w:rFonts w:hint="eastAsia" w:cs="黑体"/>
          <w:bCs/>
          <w:szCs w:val="22"/>
        </w:rPr>
        <w:t>病例拨付点数</w:t>
      </w:r>
      <w:r>
        <w:rPr>
          <w:rFonts w:hint="eastAsia" w:cs="黑体"/>
          <w:szCs w:val="22"/>
        </w:rPr>
        <w:t>＝</w:t>
      </w:r>
      <w:r>
        <w:rPr>
          <w:rFonts w:hint="eastAsia" w:cs="黑体"/>
          <w:bCs/>
          <w:szCs w:val="22"/>
        </w:rPr>
        <w:t>该病例医疗费用÷全部病例次均住院费用</w:t>
      </w:r>
      <w:bookmarkStart w:id="19" w:name="OLE_LINK30"/>
      <w:bookmarkStart w:id="20" w:name="OLE_LINK29"/>
      <w:r>
        <w:rPr>
          <w:rFonts w:hint="eastAsia" w:cs="黑体"/>
          <w:bCs/>
          <w:szCs w:val="22"/>
        </w:rPr>
        <w:t>×100</w:t>
      </w:r>
      <w:bookmarkEnd w:id="19"/>
      <w:bookmarkEnd w:id="20"/>
      <w:r>
        <w:rPr>
          <w:rFonts w:hint="eastAsia" w:cs="黑体"/>
          <w:bCs/>
          <w:szCs w:val="22"/>
        </w:rPr>
        <w:t>×60%。</w:t>
      </w:r>
    </w:p>
    <w:p w14:paraId="39D2EDB9">
      <w:pPr>
        <w:overflowPunct w:val="0"/>
        <w:spacing w:line="592" w:lineRule="exact"/>
        <w:ind w:firstLine="640" w:firstLineChars="200"/>
        <w:textAlignment w:val="center"/>
        <w:rPr>
          <w:rFonts w:cs="黑体"/>
          <w:szCs w:val="22"/>
        </w:rPr>
      </w:pPr>
      <w:r>
        <w:rPr>
          <w:rFonts w:hint="eastAsia" w:cs="黑体"/>
          <w:szCs w:val="22"/>
        </w:rPr>
        <w:t>3.歧义病组。歧义病组（指与主诊断无关的手术病例，可在多个MDC中出现）。歧义病组病例拨付点数＝该病例医疗费用÷全部DRG病例次均住院费用×</w:t>
      </w:r>
      <w:r>
        <w:rPr>
          <w:rFonts w:cs="黑体"/>
          <w:szCs w:val="22"/>
        </w:rPr>
        <w:t>100</w:t>
      </w:r>
      <w:r>
        <w:rPr>
          <w:rFonts w:hint="eastAsia" w:cs="黑体"/>
          <w:szCs w:val="22"/>
        </w:rPr>
        <w:t>×60%。</w:t>
      </w:r>
    </w:p>
    <w:p w14:paraId="6C6C0DB5">
      <w:pPr>
        <w:overflowPunct w:val="0"/>
        <w:spacing w:line="592" w:lineRule="exact"/>
        <w:ind w:firstLine="640" w:firstLineChars="200"/>
        <w:textAlignment w:val="center"/>
        <w:rPr>
          <w:rFonts w:cs="黑体"/>
          <w:bCs/>
          <w:szCs w:val="22"/>
        </w:rPr>
      </w:pPr>
      <w:r>
        <w:rPr>
          <w:rFonts w:hint="eastAsia" w:cs="黑体"/>
          <w:bCs/>
          <w:szCs w:val="22"/>
        </w:rPr>
        <w:t>4.床日病例拨付点数＝床日基准点数×病例住院天数×康复治疗类病组差异系数。</w:t>
      </w:r>
    </w:p>
    <w:p w14:paraId="117DA023">
      <w:pPr>
        <w:overflowPunct w:val="0"/>
        <w:spacing w:line="592" w:lineRule="exact"/>
        <w:ind w:firstLine="640" w:firstLineChars="200"/>
        <w:textAlignment w:val="center"/>
        <w:rPr>
          <w:rFonts w:ascii="黑体" w:hAnsi="黑体" w:eastAsia="黑体" w:cs="黑体"/>
          <w:szCs w:val="22"/>
        </w:rPr>
      </w:pPr>
      <w:r>
        <w:rPr>
          <w:rFonts w:hint="eastAsia" w:ascii="黑体" w:hAnsi="黑体" w:eastAsia="黑体" w:cs="黑体"/>
          <w:szCs w:val="22"/>
        </w:rPr>
        <w:t>六、特殊支付管理</w:t>
      </w:r>
    </w:p>
    <w:p w14:paraId="0A1BE4AD">
      <w:pPr>
        <w:suppressAutoHyphens/>
        <w:overflowPunct w:val="0"/>
        <w:spacing w:line="592" w:lineRule="exact"/>
        <w:ind w:firstLine="640" w:firstLineChars="200"/>
        <w:rPr>
          <w:rFonts w:cs="仿宋_GB2312"/>
          <w:szCs w:val="32"/>
        </w:rPr>
      </w:pPr>
      <w:r>
        <w:rPr>
          <w:rFonts w:hint="eastAsia" w:cs="仿宋_GB2312"/>
          <w:szCs w:val="32"/>
        </w:rPr>
        <w:t>对医疗机构发生的高费用、特殊疾病、多病同治和使用新技术等病例实行除外支付和特例单议等特殊支付管理，申报特殊支付管理的病例数量原则上不超过DRG付费结算人次的5%，除外支付病例、特例单议折算点数付费的</w:t>
      </w:r>
      <w:bookmarkStart w:id="21" w:name="OLE_LINK24"/>
      <w:bookmarkStart w:id="22" w:name="OLE_LINK23"/>
      <w:r>
        <w:rPr>
          <w:rFonts w:hint="eastAsia" w:cs="仿宋_GB2312"/>
          <w:szCs w:val="32"/>
        </w:rPr>
        <w:t>原则上医保支付额度不低于按项目支付额度的90%</w:t>
      </w:r>
      <w:bookmarkEnd w:id="21"/>
      <w:bookmarkEnd w:id="22"/>
      <w:r>
        <w:rPr>
          <w:rFonts w:hint="eastAsia" w:cs="仿宋_GB2312"/>
          <w:szCs w:val="32"/>
        </w:rPr>
        <w:t>，除外支付、特例单议等特殊支付管理不重复计算。</w:t>
      </w:r>
    </w:p>
    <w:p w14:paraId="2D650640">
      <w:pPr>
        <w:suppressAutoHyphens/>
        <w:overflowPunct w:val="0"/>
        <w:spacing w:line="592" w:lineRule="exact"/>
        <w:ind w:firstLine="640" w:firstLineChars="200"/>
        <w:rPr>
          <w:rFonts w:cs="仿宋_GB2312"/>
          <w:szCs w:val="32"/>
        </w:rPr>
      </w:pPr>
      <w:r>
        <w:rPr>
          <w:rFonts w:hint="eastAsia" w:eastAsia="楷体_GB2312" w:cs="楷体_GB2312"/>
          <w:szCs w:val="32"/>
        </w:rPr>
        <w:t>（一）除外支付。</w:t>
      </w:r>
      <w:r>
        <w:rPr>
          <w:rFonts w:hint="eastAsia" w:cs="仿宋_GB2312"/>
          <w:szCs w:val="32"/>
        </w:rPr>
        <w:t>对下列病例数量少、费用相对高的病例，由医疗机构自主申报，无需审核直接认定为除外支付病例并按医疗费用折算点数付费。</w:t>
      </w:r>
    </w:p>
    <w:p w14:paraId="62E27E75">
      <w:pPr>
        <w:suppressAutoHyphens/>
        <w:overflowPunct w:val="0"/>
        <w:spacing w:line="592" w:lineRule="exact"/>
        <w:ind w:firstLine="640" w:firstLineChars="200"/>
        <w:rPr>
          <w:rFonts w:cs="仿宋_GB2312"/>
          <w:szCs w:val="32"/>
        </w:rPr>
      </w:pPr>
      <w:r>
        <w:rPr>
          <w:rFonts w:cs="仿宋_GB2312"/>
          <w:szCs w:val="32"/>
        </w:rPr>
        <w:t>1</w:t>
      </w:r>
      <w:r>
        <w:rPr>
          <w:rFonts w:hint="eastAsia" w:cs="仿宋_GB2312"/>
          <w:szCs w:val="32"/>
        </w:rPr>
        <w:t>.特殊病例。指病例数较少的器官（肝、肾、肺、心脏等）移植、造血干细胞移植、人工肝、人工心脏、重度烧伤以及病例数少、治疗费用高，现有支付标准无法衡量其资源消耗的</w:t>
      </w:r>
      <w:bookmarkStart w:id="23" w:name="OLE_LINK3"/>
      <w:bookmarkStart w:id="24" w:name="OLE_LINK4"/>
      <w:r>
        <w:rPr>
          <w:rFonts w:hint="eastAsia" w:cs="仿宋_GB2312"/>
          <w:szCs w:val="32"/>
        </w:rPr>
        <w:t>特殊罕见病。</w:t>
      </w:r>
      <w:bookmarkEnd w:id="23"/>
      <w:bookmarkEnd w:id="24"/>
      <w:r>
        <w:rPr>
          <w:rFonts w:hint="eastAsia" w:cs="仿宋_GB2312"/>
          <w:szCs w:val="32"/>
        </w:rPr>
        <w:t>对未列入的特殊罕见病，可由医疗机构提出意见，经办机构审核同意后纳入除外支付范围。</w:t>
      </w:r>
    </w:p>
    <w:p w14:paraId="6D97E28D">
      <w:pPr>
        <w:suppressAutoHyphens/>
        <w:overflowPunct w:val="0"/>
        <w:spacing w:line="592" w:lineRule="exact"/>
        <w:ind w:firstLine="640" w:firstLineChars="200"/>
        <w:rPr>
          <w:rFonts w:cs="仿宋_GB2312"/>
          <w:szCs w:val="32"/>
        </w:rPr>
      </w:pPr>
      <w:r>
        <w:rPr>
          <w:rFonts w:hint="eastAsia" w:cs="仿宋_GB2312"/>
          <w:szCs w:val="32"/>
        </w:rPr>
        <w:t>2.使用新技术、新药品病例。指近三年医疗机构申请获批开展的新医疗技术，且每年病例数小于40</w:t>
      </w:r>
      <w:bookmarkStart w:id="25" w:name="OLE_LINK5"/>
      <w:bookmarkStart w:id="26" w:name="OLE_LINK6"/>
      <w:r>
        <w:rPr>
          <w:rFonts w:hint="eastAsia" w:cs="仿宋_GB2312"/>
          <w:szCs w:val="32"/>
        </w:rPr>
        <w:t>例的病例；</w:t>
      </w:r>
      <w:bookmarkEnd w:id="25"/>
      <w:bookmarkEnd w:id="26"/>
      <w:r>
        <w:rPr>
          <w:rFonts w:hint="eastAsia" w:cs="仿宋_GB2312"/>
          <w:szCs w:val="32"/>
        </w:rPr>
        <w:t>未纳入病组点值调整的国家谈判药品纳入医保支付后首个自然年度内产生费用的病例。使用新技术病例在年终清算中由医疗机构集中申报。</w:t>
      </w:r>
    </w:p>
    <w:p w14:paraId="7B098EA9">
      <w:pPr>
        <w:suppressAutoHyphens/>
        <w:overflowPunct w:val="0"/>
        <w:spacing w:line="592" w:lineRule="exact"/>
        <w:ind w:firstLine="640" w:firstLineChars="200"/>
        <w:rPr>
          <w:rFonts w:cs="仿宋_GB2312"/>
          <w:szCs w:val="32"/>
        </w:rPr>
      </w:pPr>
      <w:r>
        <w:rPr>
          <w:rFonts w:hint="eastAsia" w:eastAsia="楷体_GB2312" w:cs="楷体_GB2312"/>
          <w:szCs w:val="32"/>
        </w:rPr>
        <w:t>（二）特例单议。</w:t>
      </w:r>
      <w:r>
        <w:rPr>
          <w:rFonts w:hint="eastAsia" w:cs="仿宋_GB2312"/>
          <w:szCs w:val="32"/>
        </w:rPr>
        <w:t>对高倍率、非稳定病组以及其他住院时长异常、医疗费用高、复杂危重症和多学科联合诊疗等病例，由医疗机构提出申请，医保经办机构组织专家开展特例单议。通过特例单议的病例，按规定追加点数或折算点数付费。特例单议原则上按季度开展，具体流程按相关规定执行。</w:t>
      </w:r>
    </w:p>
    <w:p w14:paraId="1817DE0E">
      <w:pPr>
        <w:suppressAutoHyphens/>
        <w:overflowPunct w:val="0"/>
        <w:spacing w:line="592" w:lineRule="exact"/>
        <w:ind w:firstLine="640" w:firstLineChars="200"/>
        <w:rPr>
          <w:rFonts w:cs="仿宋_GB2312"/>
          <w:szCs w:val="32"/>
        </w:rPr>
      </w:pPr>
      <w:r>
        <w:rPr>
          <w:rFonts w:hint="eastAsia" w:cs="仿宋_GB2312"/>
          <w:szCs w:val="32"/>
        </w:rPr>
        <w:t>1.追加点数的病例。对通过特例单议的高倍率、</w:t>
      </w:r>
      <w:r>
        <w:rPr>
          <w:rFonts w:hint="eastAsia" w:cs="黑体"/>
          <w:szCs w:val="22"/>
        </w:rPr>
        <w:t>非稳定病组病例</w:t>
      </w:r>
      <w:r>
        <w:rPr>
          <w:rFonts w:hint="eastAsia" w:cs="仿宋_GB2312"/>
          <w:szCs w:val="32"/>
        </w:rPr>
        <w:t>，按规定追加点数。</w:t>
      </w:r>
    </w:p>
    <w:p w14:paraId="11CCF043">
      <w:pPr>
        <w:suppressAutoHyphens/>
        <w:overflowPunct w:val="0"/>
        <w:spacing w:line="592" w:lineRule="exact"/>
        <w:ind w:firstLine="640" w:firstLineChars="200"/>
        <w:rPr>
          <w:rFonts w:cs="黑体"/>
          <w:szCs w:val="22"/>
        </w:rPr>
      </w:pPr>
      <w:r>
        <w:rPr>
          <w:rFonts w:hint="eastAsia" w:cs="仿宋_GB2312"/>
          <w:szCs w:val="32"/>
        </w:rPr>
        <w:t>高倍率病例追加点数＝该病组基准点数×（该病例医疗费用÷该病组次均住院费用－高倍率病例补偿界值），其中</w:t>
      </w:r>
      <w:bookmarkStart w:id="27" w:name="OLE_LINK16"/>
      <w:bookmarkStart w:id="28" w:name="OLE_LINK15"/>
      <w:r>
        <w:rPr>
          <w:rFonts w:hint="eastAsia" w:cs="仿宋_GB2312"/>
          <w:szCs w:val="32"/>
        </w:rPr>
        <w:t>基准点数≥400点、＜400点的病组，高倍率病例补偿界值分别为1.5、2。</w:t>
      </w:r>
      <w:bookmarkEnd w:id="27"/>
      <w:bookmarkEnd w:id="28"/>
      <w:r>
        <w:rPr>
          <w:rFonts w:hint="eastAsia" w:cs="仿宋_GB2312"/>
          <w:szCs w:val="32"/>
        </w:rPr>
        <w:t>非稳定病组病例追加点数＝该病例医疗费用÷全部病例次均住院费用×100×40%。</w:t>
      </w:r>
    </w:p>
    <w:p w14:paraId="7BF7C720">
      <w:pPr>
        <w:suppressAutoHyphens/>
        <w:overflowPunct w:val="0"/>
        <w:spacing w:line="592" w:lineRule="exact"/>
        <w:ind w:firstLine="640" w:firstLineChars="200"/>
        <w:rPr>
          <w:rFonts w:cs="仿宋_GB2312"/>
          <w:szCs w:val="32"/>
        </w:rPr>
      </w:pPr>
      <w:r>
        <w:rPr>
          <w:rFonts w:hint="eastAsia" w:cs="仿宋_GB2312"/>
          <w:szCs w:val="32"/>
        </w:rPr>
        <w:t>2.折算点数的病例。下列病例通过特例单议的，按实际医疗费用折算点数付费。</w:t>
      </w:r>
    </w:p>
    <w:p w14:paraId="76D54C65">
      <w:pPr>
        <w:suppressAutoHyphens/>
        <w:overflowPunct w:val="0"/>
        <w:spacing w:line="592" w:lineRule="exact"/>
        <w:ind w:firstLine="640" w:firstLineChars="200"/>
        <w:rPr>
          <w:rFonts w:cs="仿宋_GB2312"/>
          <w:szCs w:val="32"/>
        </w:rPr>
      </w:pPr>
      <w:r>
        <w:rPr>
          <w:rFonts w:hint="eastAsia" w:cs="仿宋_GB2312"/>
          <w:szCs w:val="32"/>
        </w:rPr>
        <w:t>（1）多学科病例。指多种诊断与以手术为主的多种治疗方法叠加的病例（包括多学科联合治疗、院内转科、双侧手术、恶性肿瘤双靶向治疗等）；</w:t>
      </w:r>
    </w:p>
    <w:p w14:paraId="0CF64E34">
      <w:pPr>
        <w:suppressAutoHyphens/>
        <w:overflowPunct w:val="0"/>
        <w:spacing w:line="592" w:lineRule="exact"/>
        <w:ind w:firstLine="640" w:firstLineChars="200"/>
        <w:rPr>
          <w:rFonts w:cs="仿宋_GB2312"/>
          <w:szCs w:val="32"/>
        </w:rPr>
      </w:pPr>
      <w:r>
        <w:rPr>
          <w:rFonts w:hint="eastAsia" w:cs="仿宋_GB2312"/>
          <w:szCs w:val="32"/>
        </w:rPr>
        <w:t>（2）住院时长异常病例。指住院天数超过60天（不含实行按床日付费的精神类、康复类等特殊病例）或者住院天数达到该病组所在级别系数等级医疗机构平均住院天数2倍的病例；</w:t>
      </w:r>
    </w:p>
    <w:p w14:paraId="030AA4FF">
      <w:pPr>
        <w:suppressAutoHyphens/>
        <w:overflowPunct w:val="0"/>
        <w:spacing w:line="592" w:lineRule="exact"/>
        <w:ind w:firstLine="640" w:firstLineChars="200"/>
        <w:rPr>
          <w:rFonts w:cs="仿宋_GB2312"/>
          <w:szCs w:val="32"/>
        </w:rPr>
      </w:pPr>
      <w:r>
        <w:rPr>
          <w:rFonts w:hint="eastAsia" w:cs="仿宋_GB2312"/>
          <w:szCs w:val="32"/>
        </w:rPr>
        <w:t>（3）急诊抢救病例。急诊入院的危急症抢救病例；</w:t>
      </w:r>
    </w:p>
    <w:p w14:paraId="03DDC028">
      <w:pPr>
        <w:suppressAutoHyphens/>
        <w:overflowPunct w:val="0"/>
        <w:spacing w:line="592" w:lineRule="exact"/>
        <w:ind w:firstLine="640" w:firstLineChars="200"/>
        <w:rPr>
          <w:rFonts w:cs="仿宋_GB2312"/>
          <w:szCs w:val="32"/>
        </w:rPr>
      </w:pPr>
      <w:r>
        <w:rPr>
          <w:rFonts w:hint="eastAsia" w:cs="仿宋_GB2312"/>
          <w:szCs w:val="32"/>
        </w:rPr>
        <w:t>（4）歧义病组。</w:t>
      </w:r>
    </w:p>
    <w:p w14:paraId="25548F40">
      <w:pPr>
        <w:suppressAutoHyphens/>
        <w:overflowPunct w:val="0"/>
        <w:spacing w:line="592" w:lineRule="exact"/>
        <w:ind w:firstLine="640" w:firstLineChars="200"/>
        <w:rPr>
          <w:rFonts w:cs="黑体"/>
          <w:szCs w:val="22"/>
        </w:rPr>
      </w:pPr>
      <w:r>
        <w:rPr>
          <w:rFonts w:hint="eastAsia" w:cs="黑体"/>
          <w:szCs w:val="22"/>
        </w:rPr>
        <w:t>（5）</w:t>
      </w:r>
      <w:r>
        <w:rPr>
          <w:rFonts w:cs="黑体"/>
          <w:szCs w:val="22"/>
        </w:rPr>
        <w:t>使用植（介）入类医用材料价格差异大的病</w:t>
      </w:r>
      <w:r>
        <w:rPr>
          <w:rFonts w:hint="eastAsia" w:cs="黑体"/>
          <w:szCs w:val="22"/>
        </w:rPr>
        <w:t>例；</w:t>
      </w:r>
    </w:p>
    <w:p w14:paraId="5C639DD7">
      <w:pPr>
        <w:suppressAutoHyphens/>
        <w:overflowPunct w:val="0"/>
        <w:spacing w:line="592" w:lineRule="exact"/>
        <w:ind w:firstLine="640" w:firstLineChars="200"/>
        <w:rPr>
          <w:rFonts w:cs="仿宋_GB2312"/>
          <w:szCs w:val="32"/>
        </w:rPr>
      </w:pPr>
      <w:r>
        <w:rPr>
          <w:rFonts w:hint="eastAsia" w:cs="仿宋_GB2312"/>
          <w:szCs w:val="32"/>
        </w:rPr>
        <w:t>（6）其他基准点数1000点以上的病例。</w:t>
      </w:r>
    </w:p>
    <w:p w14:paraId="75FEE3E4">
      <w:pPr>
        <w:overflowPunct w:val="0"/>
        <w:spacing w:line="592" w:lineRule="exact"/>
        <w:ind w:firstLine="640" w:firstLineChars="200"/>
        <w:textAlignment w:val="center"/>
        <w:rPr>
          <w:rFonts w:ascii="黑体" w:hAnsi="黑体" w:eastAsia="黑体" w:cs="黑体"/>
          <w:szCs w:val="22"/>
        </w:rPr>
      </w:pPr>
      <w:r>
        <w:rPr>
          <w:rFonts w:hint="eastAsia" w:ascii="黑体" w:hAnsi="黑体" w:eastAsia="黑体" w:cs="黑体"/>
          <w:szCs w:val="22"/>
        </w:rPr>
        <w:t>七、结算管理</w:t>
      </w:r>
    </w:p>
    <w:p w14:paraId="5570376F">
      <w:pPr>
        <w:overflowPunct w:val="0"/>
        <w:spacing w:line="592" w:lineRule="exact"/>
        <w:ind w:firstLine="640" w:firstLineChars="200"/>
        <w:textAlignment w:val="center"/>
        <w:rPr>
          <w:rFonts w:cs="黑体"/>
          <w:strike/>
          <w:szCs w:val="22"/>
        </w:rPr>
      </w:pPr>
      <w:r>
        <w:rPr>
          <w:rFonts w:hint="eastAsia" w:cs="黑体"/>
          <w:szCs w:val="22"/>
        </w:rPr>
        <w:t>DRG付费实行月度费用预结算，按统一点值计算医保基金支出额度，职工、居民医保基金分别按照总额预算占比拨付。</w:t>
      </w:r>
    </w:p>
    <w:p w14:paraId="43196C4F">
      <w:pPr>
        <w:overflowPunct w:val="0"/>
        <w:spacing w:line="592" w:lineRule="exact"/>
        <w:ind w:firstLine="640" w:firstLineChars="200"/>
        <w:textAlignment w:val="center"/>
        <w:rPr>
          <w:rFonts w:cs="黑体"/>
          <w:szCs w:val="22"/>
        </w:rPr>
      </w:pPr>
      <w:r>
        <w:rPr>
          <w:rFonts w:hint="eastAsia" w:eastAsia="楷体_GB2312" w:cs="楷体_GB2312"/>
          <w:szCs w:val="32"/>
        </w:rPr>
        <w:t>（一）预付周转金。</w:t>
      </w:r>
      <w:r>
        <w:rPr>
          <w:rFonts w:hint="eastAsia" w:cs="黑体"/>
          <w:szCs w:val="22"/>
        </w:rPr>
        <w:t>医疗机构上一年度信用等级评价结果为A、B、C、D等级的，以上年度住院月平均使用统筹基金额为基数，分别按100%、90%、70%、60%的比例预付2个月周转金。为便于基金管理和清算，预付金统一由职工医保统筹基金拨付，在完成2024年度清算工作后，原拨付周转金须收回或抵扣。</w:t>
      </w:r>
    </w:p>
    <w:p w14:paraId="048B42FD">
      <w:pPr>
        <w:overflowPunct w:val="0"/>
        <w:spacing w:line="592" w:lineRule="exact"/>
        <w:ind w:firstLine="640" w:firstLineChars="200"/>
        <w:textAlignment w:val="center"/>
        <w:rPr>
          <w:rFonts w:cs="黑体"/>
          <w:szCs w:val="22"/>
        </w:rPr>
      </w:pPr>
      <w:r>
        <w:rPr>
          <w:rFonts w:hint="eastAsia" w:eastAsia="楷体_GB2312" w:cs="楷体_GB2312"/>
          <w:szCs w:val="32"/>
        </w:rPr>
        <w:t>（二）月度预结算。</w:t>
      </w:r>
      <w:r>
        <w:rPr>
          <w:rFonts w:hint="eastAsia" w:cs="黑体"/>
          <w:szCs w:val="22"/>
        </w:rPr>
        <w:t>根据职工、居民医保基金年度DRG付费预算总额（扣除调剂金）之和，按上年度当月按项目付费基金发生额占比，计算确定DRG付费月度预算额。月度DRG预算额大于当月全部住院病例按项目付费基金发生额时，以按项目付费基金发生额为月度预算额，</w:t>
      </w:r>
      <w:r>
        <w:rPr>
          <w:rFonts w:hint="eastAsia" w:cs="黑体"/>
          <w:bCs/>
          <w:szCs w:val="22"/>
        </w:rPr>
        <w:t>剩余的月度预算额滚存到年终清算</w:t>
      </w:r>
      <w:r>
        <w:rPr>
          <w:rFonts w:hint="eastAsia" w:cs="黑体"/>
          <w:szCs w:val="22"/>
        </w:rPr>
        <w:t>。医保经办机构在病例分组确认后10个工作日内，根据月度点数、点值及医保审核、考核情况确定月预结算金额，扣除即时结算金额后拨付基金。</w:t>
      </w:r>
    </w:p>
    <w:p w14:paraId="3287794C">
      <w:pPr>
        <w:overflowPunct w:val="0"/>
        <w:spacing w:line="592" w:lineRule="exact"/>
        <w:ind w:firstLine="640" w:firstLineChars="200"/>
        <w:textAlignment w:val="center"/>
        <w:rPr>
          <w:rFonts w:cs="黑体"/>
          <w:szCs w:val="22"/>
        </w:rPr>
      </w:pPr>
      <w:r>
        <w:rPr>
          <w:rFonts w:hint="eastAsia" w:eastAsia="楷体_GB2312" w:cs="楷体_GB2312"/>
          <w:szCs w:val="32"/>
        </w:rPr>
        <w:t>1.月度点数和预拨付点值。</w:t>
      </w:r>
      <w:r>
        <w:rPr>
          <w:rFonts w:hint="eastAsia" w:cs="黑体"/>
          <w:szCs w:val="22"/>
        </w:rPr>
        <w:t>根据DRG付费月度预算总额和月度点数计算当月DRG预拨付点值。</w:t>
      </w:r>
    </w:p>
    <w:p w14:paraId="0909CECE">
      <w:pPr>
        <w:overflowPunct w:val="0"/>
        <w:spacing w:line="592" w:lineRule="exact"/>
        <w:ind w:firstLine="640" w:firstLineChars="200"/>
        <w:textAlignment w:val="center"/>
        <w:rPr>
          <w:rFonts w:cs="黑体"/>
          <w:szCs w:val="22"/>
        </w:rPr>
      </w:pPr>
      <w:r>
        <w:rPr>
          <w:rFonts w:hint="eastAsia" w:cs="黑体"/>
          <w:bCs/>
          <w:szCs w:val="22"/>
        </w:rPr>
        <w:t>月度点数＝Σ（月度全部稳定病组病例拨付点数＋月度全部非稳定病组病例拨付点数）＋Σ（可纳入特例单议病例点数＋追加点数）。月度点值＝（月度DRG付费预算总额＋月度DRG住院病例医保段个人负担总费用）÷月度点数，其中月度DRG住院病例医保段个人负担总费用含住院期间在“双通道”药店结算个人承担的费用（下同）。</w:t>
      </w:r>
    </w:p>
    <w:p w14:paraId="31F97078">
      <w:pPr>
        <w:overflowPunct w:val="0"/>
        <w:spacing w:line="592" w:lineRule="exact"/>
        <w:ind w:firstLine="640" w:firstLineChars="200"/>
        <w:textAlignment w:val="center"/>
        <w:rPr>
          <w:rFonts w:cs="黑体"/>
          <w:szCs w:val="22"/>
        </w:rPr>
      </w:pPr>
      <w:r>
        <w:rPr>
          <w:rFonts w:hint="eastAsia" w:eastAsia="楷体_GB2312" w:cs="楷体_GB2312"/>
          <w:szCs w:val="32"/>
        </w:rPr>
        <w:t>2.月度按比例预拨。</w:t>
      </w:r>
      <w:r>
        <w:rPr>
          <w:rFonts w:hint="eastAsia" w:cs="黑体"/>
          <w:szCs w:val="22"/>
        </w:rPr>
        <w:t>根据医疗机构获得的月度点数、预拨付点值和其他相关增减调整因素，确定医疗机构月度DRG预结算拨付额，按职工、居民医保基金预算总额占比分别拨付。医疗机构上一年度信用等级评价结果为A、B、C、D等级的，分别按100%、90%、70%、60%预拨付；医疗机构月度支付率超过100%的，按100%预拨付；</w:t>
      </w:r>
      <w:r>
        <w:rPr>
          <w:rFonts w:hint="eastAsia" w:cs="黑体"/>
          <w:bCs/>
          <w:szCs w:val="22"/>
        </w:rPr>
        <w:t>月度住院人次（剔除多疗程住院）、按项目付费基金发生额增长率超同级平均水平的，同比例下调DRG月度拨付比例</w:t>
      </w:r>
      <w:r>
        <w:rPr>
          <w:rFonts w:hint="eastAsia" w:cs="黑体"/>
          <w:szCs w:val="22"/>
        </w:rPr>
        <w:t>。</w:t>
      </w:r>
    </w:p>
    <w:p w14:paraId="6898A38E">
      <w:pPr>
        <w:overflowPunct w:val="0"/>
        <w:spacing w:line="592" w:lineRule="exact"/>
        <w:ind w:firstLine="640" w:firstLineChars="200"/>
        <w:textAlignment w:val="center"/>
        <w:rPr>
          <w:rFonts w:cs="黑体"/>
          <w:szCs w:val="22"/>
        </w:rPr>
      </w:pPr>
      <w:r>
        <w:rPr>
          <w:rFonts w:hint="eastAsia" w:cs="黑体"/>
          <w:szCs w:val="22"/>
        </w:rPr>
        <w:t>医疗机构月度预拨基金＝月度点值×（医疗机构月度总点数－可纳入月度特例单议病例追加点数）＋月度特例单议核准追加点数×对应点值－医保段个人承担费用总额－住院期间双通道药店医保支付金额－审核扣减费用。</w:t>
      </w:r>
    </w:p>
    <w:p w14:paraId="2FB32703">
      <w:pPr>
        <w:overflowPunct w:val="0"/>
        <w:spacing w:line="592" w:lineRule="exact"/>
        <w:ind w:firstLine="640" w:firstLineChars="200"/>
        <w:textAlignment w:val="center"/>
        <w:rPr>
          <w:rFonts w:cs="黑体"/>
          <w:szCs w:val="22"/>
        </w:rPr>
      </w:pPr>
      <w:r>
        <w:rPr>
          <w:rFonts w:hint="eastAsia" w:eastAsia="楷体_GB2312" w:cs="黑体"/>
          <w:szCs w:val="22"/>
        </w:rPr>
        <w:t>（三）月度核减。</w:t>
      </w:r>
      <w:r>
        <w:rPr>
          <w:rFonts w:hint="eastAsia" w:cs="黑体"/>
          <w:szCs w:val="22"/>
        </w:rPr>
        <w:t>根据审核结果，对分解住院、分解费用、降低入院标准、高套编码等违规费用实施月度核减，同时按相关规定予以处罚。</w:t>
      </w:r>
    </w:p>
    <w:p w14:paraId="046B3E64">
      <w:pPr>
        <w:overflowPunct w:val="0"/>
        <w:spacing w:line="592" w:lineRule="exact"/>
        <w:ind w:firstLine="640" w:firstLineChars="200"/>
        <w:textAlignment w:val="center"/>
        <w:rPr>
          <w:rFonts w:cs="黑体"/>
          <w:szCs w:val="22"/>
        </w:rPr>
      </w:pPr>
      <w:r>
        <w:rPr>
          <w:rFonts w:hint="eastAsia" w:eastAsia="楷体_GB2312" w:cs="黑体"/>
          <w:szCs w:val="22"/>
        </w:rPr>
        <w:t>（四）</w:t>
      </w:r>
      <w:r>
        <w:rPr>
          <w:rFonts w:hint="eastAsia" w:cs="黑体"/>
          <w:szCs w:val="22"/>
        </w:rPr>
        <w:t>对医共（联）体医疗机构按照日常与相关医疗机构的医保支付方式进行拨付，年度结束后按DRG医保支付方式、医共（联）体预算分别进行清算。</w:t>
      </w:r>
    </w:p>
    <w:p w14:paraId="2E2797F9">
      <w:pPr>
        <w:overflowPunct w:val="0"/>
        <w:spacing w:line="592" w:lineRule="exact"/>
        <w:ind w:firstLine="640" w:firstLineChars="200"/>
        <w:textAlignment w:val="center"/>
        <w:rPr>
          <w:rFonts w:ascii="黑体" w:hAnsi="黑体" w:eastAsia="黑体" w:cs="黑体"/>
          <w:szCs w:val="22"/>
        </w:rPr>
      </w:pPr>
      <w:r>
        <w:rPr>
          <w:rFonts w:hint="eastAsia" w:ascii="黑体" w:hAnsi="黑体" w:eastAsia="黑体" w:cs="黑体"/>
          <w:szCs w:val="22"/>
        </w:rPr>
        <w:t>八、年度清算</w:t>
      </w:r>
    </w:p>
    <w:p w14:paraId="6FCCCC25">
      <w:pPr>
        <w:overflowPunct w:val="0"/>
        <w:spacing w:line="592" w:lineRule="exact"/>
        <w:ind w:firstLine="640" w:firstLineChars="200"/>
        <w:textAlignment w:val="center"/>
        <w:rPr>
          <w:rFonts w:cs="黑体"/>
          <w:szCs w:val="22"/>
        </w:rPr>
      </w:pPr>
      <w:r>
        <w:rPr>
          <w:rFonts w:hint="eastAsia" w:eastAsia="楷体_GB2312" w:cs="黑体"/>
          <w:szCs w:val="22"/>
        </w:rPr>
        <w:t>（一）清算方案。</w:t>
      </w:r>
      <w:r>
        <w:rPr>
          <w:rFonts w:hint="eastAsia" w:cs="黑体"/>
          <w:szCs w:val="22"/>
        </w:rPr>
        <w:t>医保经办机构根据本方案规定牵头组织制定年度清算方案，报市医保局审定后开展年度清算工作。清算年度为1月1日至12月31日，具体病例以出院结算时间确定归属清算年度。年度清算工作一般应于次年</w:t>
      </w:r>
      <w:r>
        <w:rPr>
          <w:rFonts w:hint="eastAsia" w:cs="黑体"/>
          <w:bCs/>
          <w:szCs w:val="22"/>
        </w:rPr>
        <w:t>6月上</w:t>
      </w:r>
      <w:r>
        <w:rPr>
          <w:rFonts w:hint="eastAsia" w:cs="黑体"/>
          <w:szCs w:val="22"/>
        </w:rPr>
        <w:t>旬前完成。不能按期完成清算的，应及时报告市医保局、通报医疗机构并说明原因。清算方案主要包括以下内容：</w:t>
      </w:r>
    </w:p>
    <w:p w14:paraId="728AFC83">
      <w:pPr>
        <w:overflowPunct w:val="0"/>
        <w:spacing w:line="592" w:lineRule="exact"/>
        <w:ind w:firstLine="640" w:firstLineChars="200"/>
        <w:textAlignment w:val="center"/>
        <w:rPr>
          <w:rFonts w:cs="黑体"/>
          <w:szCs w:val="22"/>
        </w:rPr>
      </w:pPr>
      <w:r>
        <w:rPr>
          <w:rFonts w:hint="eastAsia" w:cs="黑体"/>
          <w:szCs w:val="22"/>
        </w:rPr>
        <w:t>1.倾斜调整。年度清算时，对下列内容给予支持，进行点数清算倾斜调整。倾斜调整在年终清算前经医疗机构申报、专家论证、集体研究后确定。退出DRG付费的病例不再倾斜调整。</w:t>
      </w:r>
    </w:p>
    <w:p w14:paraId="26365755">
      <w:pPr>
        <w:overflowPunct w:val="0"/>
        <w:spacing w:line="592" w:lineRule="exact"/>
        <w:ind w:firstLine="640" w:firstLineChars="200"/>
        <w:textAlignment w:val="center"/>
        <w:rPr>
          <w:rFonts w:cs="黑体"/>
          <w:szCs w:val="22"/>
        </w:rPr>
      </w:pPr>
      <w:r>
        <w:rPr>
          <w:rFonts w:hint="eastAsia" w:cs="黑体"/>
          <w:szCs w:val="22"/>
        </w:rPr>
        <w:t>（1）校正中医倾斜支付系数。年终以当年结算数据对中医倾斜支付病组的中医治疗费用比例重新计算，校正倾斜支付系数。</w:t>
      </w:r>
    </w:p>
    <w:p w14:paraId="1AFE80BB">
      <w:pPr>
        <w:overflowPunct w:val="0"/>
        <w:spacing w:line="592" w:lineRule="exact"/>
        <w:ind w:firstLine="640" w:firstLineChars="200"/>
        <w:textAlignment w:val="center"/>
        <w:rPr>
          <w:rFonts w:cs="黑体"/>
          <w:szCs w:val="22"/>
        </w:rPr>
      </w:pPr>
      <w:r>
        <w:rPr>
          <w:rFonts w:hint="eastAsia" w:cs="黑体"/>
          <w:szCs w:val="22"/>
        </w:rPr>
        <w:t>（2）支持重点专科、高峰学科发展。对国家级、省级、市级重点专科以及高峰学科分别设</w:t>
      </w:r>
      <w:r>
        <w:rPr>
          <w:rFonts w:hint="eastAsia" w:ascii="微软雅黑" w:hAnsi="微软雅黑" w:cs="微软雅黑"/>
          <w:szCs w:val="22"/>
        </w:rPr>
        <w:t>置</w:t>
      </w:r>
      <w:r>
        <w:rPr>
          <w:rFonts w:hint="eastAsia" w:ascii="仿宋_GB2312" w:hAnsi="仿宋_GB2312" w:cs="仿宋_GB2312"/>
          <w:szCs w:val="22"/>
        </w:rPr>
        <w:t>倾斜支持系数，对应病例</w:t>
      </w:r>
      <w:r>
        <w:rPr>
          <w:rFonts w:hint="eastAsia" w:cs="黑体"/>
          <w:szCs w:val="22"/>
        </w:rPr>
        <w:t>给予点数倾斜调整支持</w:t>
      </w:r>
      <w:r>
        <w:rPr>
          <w:rFonts w:hint="eastAsia" w:ascii="仿宋_GB2312" w:hAnsi="仿宋_GB2312" w:cs="仿宋_GB2312"/>
          <w:szCs w:val="22"/>
        </w:rPr>
        <w:t>。</w:t>
      </w:r>
    </w:p>
    <w:p w14:paraId="7BF3812B">
      <w:pPr>
        <w:overflowPunct w:val="0"/>
        <w:spacing w:line="592" w:lineRule="exact"/>
        <w:ind w:firstLine="640" w:firstLineChars="200"/>
        <w:textAlignment w:val="center"/>
        <w:rPr>
          <w:rFonts w:cs="黑体"/>
          <w:szCs w:val="22"/>
        </w:rPr>
      </w:pPr>
      <w:r>
        <w:rPr>
          <w:rFonts w:hint="eastAsia" w:cs="黑体"/>
          <w:szCs w:val="22"/>
        </w:rPr>
        <w:t>（3）支持国家级区域医疗中心建设，鼓励引进全国知名医疗机构专家团队，对区域医疗中心及其他三级医疗机构收治基准点数300点以上病例占比增长部分，收治基层病组病例占比降低部分、四级手术病例数增幅超同级平均水平部分，</w:t>
      </w:r>
      <w:bookmarkStart w:id="29" w:name="OLE_LINK21"/>
      <w:bookmarkStart w:id="30" w:name="OLE_LINK22"/>
      <w:r>
        <w:rPr>
          <w:rFonts w:hint="eastAsia" w:cs="黑体"/>
          <w:szCs w:val="22"/>
        </w:rPr>
        <w:t>给予点数倾斜调整支持。</w:t>
      </w:r>
      <w:bookmarkStart w:id="31" w:name="OLE_LINK19"/>
      <w:bookmarkStart w:id="32" w:name="OLE_LINK20"/>
    </w:p>
    <w:bookmarkEnd w:id="29"/>
    <w:bookmarkEnd w:id="30"/>
    <w:p w14:paraId="0525B71A">
      <w:pPr>
        <w:overflowPunct w:val="0"/>
        <w:spacing w:line="592" w:lineRule="exact"/>
        <w:ind w:firstLine="640" w:firstLineChars="200"/>
        <w:textAlignment w:val="center"/>
        <w:rPr>
          <w:rFonts w:cs="黑体"/>
          <w:szCs w:val="22"/>
        </w:rPr>
      </w:pPr>
      <w:r>
        <w:rPr>
          <w:rFonts w:hint="eastAsia" w:cs="黑体"/>
          <w:szCs w:val="22"/>
        </w:rPr>
        <w:t>（4）支持儿科、妊娠、分娩和产褥期相关疾病（MDCO大类）、传染病治疗，</w:t>
      </w:r>
      <w:bookmarkEnd w:id="31"/>
      <w:bookmarkEnd w:id="32"/>
      <w:r>
        <w:rPr>
          <w:rFonts w:hint="eastAsia" w:cs="黑体"/>
          <w:szCs w:val="22"/>
        </w:rPr>
        <w:t>年终清算时适当倾斜支持，原则上清算点数不低于按医疗费用折算点数的90%，原则上病组例均费用高于同级医疗机构水平的，取消倾斜支付政策。</w:t>
      </w:r>
    </w:p>
    <w:p w14:paraId="02626AA6">
      <w:pPr>
        <w:overflowPunct w:val="0"/>
        <w:spacing w:line="592" w:lineRule="exact"/>
        <w:ind w:firstLine="640" w:firstLineChars="200"/>
        <w:textAlignment w:val="center"/>
        <w:rPr>
          <w:rFonts w:cs="黑体"/>
          <w:bCs/>
          <w:szCs w:val="22"/>
        </w:rPr>
      </w:pPr>
      <w:r>
        <w:rPr>
          <w:rFonts w:hint="eastAsia" w:cs="黑体"/>
          <w:bCs/>
          <w:szCs w:val="22"/>
        </w:rPr>
        <w:t>2.综合调整。根据医疗机构相关指标运行情况设置综合调整系数，对医疗机构点数进行调整。综合调整系数指标包括并不限于次均医疗费用增长差异率、人次人头比增长差异率、个人负担增长差异率、30天内再入院率、疾病诊治编码数据上传准确率、困难群体异常就诊情况、申报信息完整情况、患者满意度评价结果情况等。</w:t>
      </w:r>
    </w:p>
    <w:p w14:paraId="10ACDA2A">
      <w:pPr>
        <w:overflowPunct w:val="0"/>
        <w:spacing w:line="592" w:lineRule="exact"/>
        <w:ind w:firstLine="640" w:firstLineChars="200"/>
        <w:textAlignment w:val="center"/>
        <w:rPr>
          <w:rFonts w:cs="黑体"/>
          <w:szCs w:val="22"/>
        </w:rPr>
      </w:pPr>
      <w:r>
        <w:rPr>
          <w:rFonts w:cs="黑体"/>
          <w:szCs w:val="22"/>
        </w:rPr>
        <w:t>3.</w:t>
      </w:r>
      <w:r>
        <w:rPr>
          <w:rFonts w:hint="eastAsia" w:cs="黑体"/>
          <w:szCs w:val="22"/>
        </w:rPr>
        <w:t>年度总点数。年度总点数=（月度预拨总点数＋特病单议核准总点数＋各类追加调整点数）×综合调整系数。</w:t>
      </w:r>
    </w:p>
    <w:p w14:paraId="5D57A3F7">
      <w:pPr>
        <w:overflowPunct w:val="0"/>
        <w:spacing w:line="592" w:lineRule="exact"/>
        <w:ind w:firstLine="640" w:firstLineChars="200"/>
        <w:textAlignment w:val="center"/>
        <w:rPr>
          <w:rFonts w:cs="黑体"/>
          <w:szCs w:val="22"/>
        </w:rPr>
      </w:pPr>
      <w:r>
        <w:rPr>
          <w:rFonts w:cs="黑体"/>
          <w:szCs w:val="22"/>
        </w:rPr>
        <w:t>4.</w:t>
      </w:r>
      <w:r>
        <w:rPr>
          <w:rFonts w:hint="eastAsia" w:cs="黑体"/>
          <w:szCs w:val="22"/>
        </w:rPr>
        <w:t>年度清算点值。年度清算点值＝（年度DRG付费预算总额＋所有DRG付费医疗机构年度医保段个人负担总费用）÷年度总点数。</w:t>
      </w:r>
    </w:p>
    <w:p w14:paraId="7CAA8366">
      <w:pPr>
        <w:overflowPunct w:val="0"/>
        <w:spacing w:line="592" w:lineRule="exact"/>
        <w:ind w:firstLine="640" w:firstLineChars="200"/>
        <w:textAlignment w:val="center"/>
        <w:rPr>
          <w:rFonts w:cs="黑体"/>
          <w:bCs/>
          <w:szCs w:val="22"/>
        </w:rPr>
      </w:pPr>
      <w:r>
        <w:rPr>
          <w:rFonts w:hint="eastAsia" w:cs="黑体"/>
          <w:bCs/>
          <w:szCs w:val="22"/>
        </w:rPr>
        <w:t>5.激励约束。继续加强对医疗机构使用基金异常的增长，年终清算时结合医疗机构相关指标实施激励和约束。对规范合理使用医保基金的予以激励，对无正当理由收治病例数和使用基金异常增长、收治特殊群体占比较高的医疗机构予以惩戒。对使用基金增幅低于同预算类别医疗机构平均增幅的，结合医疗机构相关指标给予低于部分不超过30%的激励；对无正当理由使用基金增幅高于同预算类别医疗机构平均增幅的，结合医疗机构相关指标给予高于部分不低于20%的核减。核减部分全部用于激励同预算类别医疗机构。</w:t>
      </w:r>
    </w:p>
    <w:p w14:paraId="12C75C56">
      <w:pPr>
        <w:overflowPunct w:val="0"/>
        <w:spacing w:line="592" w:lineRule="exact"/>
        <w:ind w:firstLine="640" w:firstLineChars="200"/>
        <w:textAlignment w:val="center"/>
        <w:rPr>
          <w:rFonts w:cs="黑体"/>
          <w:szCs w:val="22"/>
        </w:rPr>
      </w:pPr>
      <w:r>
        <w:rPr>
          <w:rFonts w:hint="eastAsia" w:cs="黑体"/>
          <w:szCs w:val="22"/>
        </w:rPr>
        <w:t>6.支付调整规则。对于支付率高于1的部分实施差异化调整，1＜支付率≤1.05的部分，按照90%比例支付；1.05＜支付率≤1.1的部分，按照70%比例支付；1.1＜支付率≤1.2的部分，按50%比例支付；支付率＞1.2的部分不予支付。</w:t>
      </w:r>
    </w:p>
    <w:p w14:paraId="4D485DFD">
      <w:pPr>
        <w:overflowPunct w:val="0"/>
        <w:spacing w:line="592" w:lineRule="exact"/>
        <w:ind w:firstLine="640" w:firstLineChars="200"/>
        <w:textAlignment w:val="center"/>
        <w:rPr>
          <w:rFonts w:cs="黑体"/>
          <w:szCs w:val="22"/>
        </w:rPr>
      </w:pPr>
      <w:r>
        <w:rPr>
          <w:rFonts w:hint="eastAsia" w:cs="黑体"/>
          <w:szCs w:val="22"/>
        </w:rPr>
        <w:t>7.信用评价系数。根据2025年信用评价结果对医疗机构设</w:t>
      </w:r>
      <w:r>
        <w:rPr>
          <w:rFonts w:hint="eastAsia" w:ascii="微软雅黑" w:hAnsi="微软雅黑" w:cs="微软雅黑"/>
          <w:szCs w:val="22"/>
        </w:rPr>
        <w:t>置</w:t>
      </w:r>
      <w:r>
        <w:rPr>
          <w:rFonts w:hint="eastAsia" w:ascii="仿宋_GB2312" w:hAnsi="仿宋_GB2312" w:cs="仿宋_GB2312"/>
          <w:szCs w:val="22"/>
        </w:rPr>
        <w:t>系数。</w:t>
      </w:r>
      <w:r>
        <w:rPr>
          <w:rFonts w:hint="eastAsia" w:cs="黑体"/>
          <w:szCs w:val="22"/>
        </w:rPr>
        <w:t>结合DRG绩效考核情况</w:t>
      </w:r>
      <w:r>
        <w:rPr>
          <w:rFonts w:hint="eastAsia" w:ascii="仿宋_GB2312" w:hAnsi="仿宋_GB2312" w:cs="仿宋_GB2312"/>
          <w:szCs w:val="22"/>
        </w:rPr>
        <w:t>对信用评</w:t>
      </w:r>
      <w:r>
        <w:rPr>
          <w:rFonts w:hint="eastAsia" w:cs="黑体"/>
          <w:szCs w:val="22"/>
        </w:rPr>
        <w:t>价为A、B、C、D类的分别按照1、0.99、0.9、0.8</w:t>
      </w:r>
      <w:r>
        <w:rPr>
          <w:rFonts w:hint="eastAsia" w:ascii="微软雅黑" w:hAnsi="微软雅黑" w:cs="微软雅黑"/>
          <w:szCs w:val="22"/>
        </w:rPr>
        <w:t>的</w:t>
      </w:r>
      <w:r>
        <w:rPr>
          <w:rFonts w:hint="eastAsia" w:ascii="仿宋_GB2312" w:hAnsi="仿宋_GB2312" w:cs="仿宋_GB2312"/>
          <w:szCs w:val="22"/>
        </w:rPr>
        <w:t>系数清算费用。</w:t>
      </w:r>
    </w:p>
    <w:p w14:paraId="270BB7C3">
      <w:pPr>
        <w:overflowPunct w:val="0"/>
        <w:spacing w:line="592" w:lineRule="exact"/>
        <w:ind w:firstLine="640" w:firstLineChars="200"/>
        <w:textAlignment w:val="center"/>
        <w:rPr>
          <w:rFonts w:cs="黑体"/>
          <w:szCs w:val="22"/>
        </w:rPr>
      </w:pPr>
      <w:r>
        <w:rPr>
          <w:rFonts w:hint="eastAsia" w:cs="黑体"/>
          <w:szCs w:val="22"/>
        </w:rPr>
        <w:t>8.年度清算费用。除当年由目录外调入的国家谈判药品外，参保人员住院期间在双通道药店发生的医保结算费用，年度清算时相应扣除。年度清算费用按照下列方法计算：</w:t>
      </w:r>
    </w:p>
    <w:p w14:paraId="50AFD88D">
      <w:pPr>
        <w:overflowPunct w:val="0"/>
        <w:spacing w:line="592" w:lineRule="exact"/>
        <w:ind w:firstLine="640" w:firstLineChars="200"/>
        <w:textAlignment w:val="center"/>
        <w:rPr>
          <w:rFonts w:cs="黑体"/>
          <w:szCs w:val="22"/>
        </w:rPr>
      </w:pPr>
      <w:r>
        <w:rPr>
          <w:rFonts w:hint="eastAsia" w:cs="黑体"/>
          <w:szCs w:val="22"/>
        </w:rPr>
        <w:t>医疗机构年度清算费用＝激励约束和支付调整规则调整〔（年度清算总点数×年度清算点值－年度医保段个人负担总费用－双通道药店医保支付金额）〕×信用评价系数－已拨费用。</w:t>
      </w:r>
    </w:p>
    <w:p w14:paraId="4C4A7A77">
      <w:pPr>
        <w:overflowPunct w:val="0"/>
        <w:spacing w:line="592" w:lineRule="exact"/>
        <w:ind w:firstLine="640" w:firstLineChars="200"/>
        <w:textAlignment w:val="center"/>
        <w:rPr>
          <w:rFonts w:cs="黑体"/>
          <w:szCs w:val="22"/>
        </w:rPr>
      </w:pPr>
      <w:r>
        <w:rPr>
          <w:rFonts w:hint="eastAsia" w:eastAsia="楷体_GB2312" w:cs="黑体"/>
          <w:szCs w:val="22"/>
        </w:rPr>
        <w:t>（二）清算拨付。</w:t>
      </w:r>
      <w:r>
        <w:rPr>
          <w:rFonts w:hint="eastAsia" w:cs="黑体"/>
          <w:szCs w:val="22"/>
        </w:rPr>
        <w:t>年度清算后，医保经办机构应根据清算结果及上年预拨基金情况及时向医疗机构拨付或收回基金。清算拨付金额＝医疗机构年度清算费用－违规扣减金额。</w:t>
      </w:r>
    </w:p>
    <w:p w14:paraId="5A81FEB9">
      <w:pPr>
        <w:overflowPunct w:val="0"/>
        <w:spacing w:line="592" w:lineRule="exact"/>
        <w:ind w:firstLine="640" w:firstLineChars="200"/>
        <w:textAlignment w:val="center"/>
        <w:rPr>
          <w:rFonts w:cs="黑体"/>
          <w:szCs w:val="22"/>
        </w:rPr>
      </w:pPr>
      <w:r>
        <w:rPr>
          <w:rFonts w:hint="eastAsia" w:eastAsia="楷体_GB2312" w:cs="黑体"/>
          <w:szCs w:val="22"/>
        </w:rPr>
        <w:t>（三）医共（联）体支付。</w:t>
      </w:r>
      <w:r>
        <w:rPr>
          <w:rFonts w:hint="eastAsia" w:cs="黑体"/>
          <w:szCs w:val="22"/>
        </w:rPr>
        <w:t>医共（联）体内参保居民在其他DRG付费试点医疗机构发生的住院医疗费用，按照DRG付费办法进行基金拨付，从医共（联）体医保预算基金中扣除。</w:t>
      </w:r>
    </w:p>
    <w:p w14:paraId="63258828">
      <w:pPr>
        <w:overflowPunct w:val="0"/>
        <w:spacing w:line="592" w:lineRule="exact"/>
        <w:ind w:firstLine="640" w:firstLineChars="200"/>
        <w:textAlignment w:val="center"/>
        <w:rPr>
          <w:rFonts w:cs="黑体"/>
          <w:szCs w:val="22"/>
        </w:rPr>
      </w:pPr>
      <w:r>
        <w:rPr>
          <w:rFonts w:hint="eastAsia" w:eastAsia="楷体_GB2312" w:cs="黑体"/>
          <w:szCs w:val="22"/>
        </w:rPr>
        <w:t>（四）集采药品耗材协同机制。</w:t>
      </w:r>
      <w:r>
        <w:rPr>
          <w:rFonts w:hint="eastAsia" w:cs="黑体"/>
          <w:szCs w:val="22"/>
        </w:rPr>
        <w:t>鼓励医疗机构使用集采药品和耗材，奖励政策按照相关规定执行。</w:t>
      </w:r>
    </w:p>
    <w:p w14:paraId="180923FF">
      <w:pPr>
        <w:overflowPunct w:val="0"/>
        <w:spacing w:line="592" w:lineRule="exact"/>
        <w:ind w:firstLine="640" w:firstLineChars="200"/>
        <w:textAlignment w:val="center"/>
        <w:rPr>
          <w:rFonts w:cs="黑体"/>
          <w:szCs w:val="22"/>
        </w:rPr>
      </w:pPr>
      <w:r>
        <w:rPr>
          <w:rFonts w:hint="eastAsia" w:eastAsia="楷体_GB2312" w:cs="黑体"/>
          <w:szCs w:val="22"/>
        </w:rPr>
        <w:t>（五）合理超支分担。</w:t>
      </w:r>
      <w:r>
        <w:rPr>
          <w:rFonts w:hint="eastAsia" w:cs="黑体"/>
          <w:szCs w:val="22"/>
        </w:rPr>
        <w:t>年终清算后，可根据医保基金使用情况和医疗机构次均费用、人次人头比、信用评价结果等相关指标情况，对合理超支部分适当进行补偿。</w:t>
      </w:r>
    </w:p>
    <w:p w14:paraId="278C940F">
      <w:pPr>
        <w:overflowPunct w:val="0"/>
        <w:spacing w:line="592" w:lineRule="exact"/>
        <w:ind w:firstLine="640" w:firstLineChars="200"/>
        <w:textAlignment w:val="center"/>
        <w:rPr>
          <w:rFonts w:eastAsia="黑体" w:cs="黑体"/>
          <w:szCs w:val="22"/>
        </w:rPr>
      </w:pPr>
      <w:r>
        <w:rPr>
          <w:rFonts w:hint="eastAsia" w:eastAsia="黑体" w:cs="黑体"/>
          <w:szCs w:val="22"/>
        </w:rPr>
        <w:t>九、省内异地就医DRG付费</w:t>
      </w:r>
    </w:p>
    <w:p w14:paraId="1E36EE2E">
      <w:pPr>
        <w:overflowPunct w:val="0"/>
        <w:spacing w:line="592" w:lineRule="exact"/>
        <w:ind w:firstLine="640" w:firstLineChars="200"/>
        <w:textAlignment w:val="center"/>
        <w:rPr>
          <w:rFonts w:cs="黑体"/>
          <w:szCs w:val="22"/>
        </w:rPr>
      </w:pPr>
      <w:r>
        <w:rPr>
          <w:rFonts w:hint="eastAsia" w:cs="黑体"/>
          <w:szCs w:val="22"/>
        </w:rPr>
        <w:t>省内异地在肥住院纳入我市DRG付费管理，其病组管理、点数及系数管理、特殊支付管理、月度预结算、经办流程、质控审核和数据公开等按我市现行规定执行。DRG付费预算、点值计算、基金拨付、数据上传、年度清算有关内容按下列规定执行。省内异地就医人员享受参保地医保待遇政策不变。</w:t>
      </w:r>
    </w:p>
    <w:p w14:paraId="2A1F5B96">
      <w:pPr>
        <w:overflowPunct w:val="0"/>
        <w:spacing w:line="592" w:lineRule="exact"/>
        <w:ind w:firstLine="640" w:firstLineChars="200"/>
        <w:textAlignment w:val="center"/>
        <w:rPr>
          <w:rFonts w:cs="黑体"/>
          <w:szCs w:val="22"/>
        </w:rPr>
      </w:pPr>
      <w:r>
        <w:rPr>
          <w:rFonts w:hint="eastAsia" w:eastAsia="楷体_GB2312" w:cs="黑体"/>
          <w:szCs w:val="22"/>
        </w:rPr>
        <w:t>（一）年度预算。</w:t>
      </w:r>
      <w:r>
        <w:rPr>
          <w:rFonts w:hint="eastAsia" w:cs="黑体"/>
          <w:szCs w:val="22"/>
        </w:rPr>
        <w:t>以省内异地就医按项目付费年度医保基金发生额（含基本医保和大病保险，下同）作为省内异地就医DRG付费年度总额预算，以按项目付费月度医保基金发生额作为省内异地就医DRG付费月度预算。省内异地就医DRG付费预算按5%比例预留调剂金，用于年终清算。省内异地就医DRG付费预算按职工、居民医保基金分别确定，不实行分类预算管理和统一点值管理。</w:t>
      </w:r>
    </w:p>
    <w:p w14:paraId="7032583F">
      <w:pPr>
        <w:overflowPunct w:val="0"/>
        <w:spacing w:line="592" w:lineRule="exact"/>
        <w:ind w:firstLine="640" w:firstLineChars="200"/>
        <w:textAlignment w:val="center"/>
        <w:rPr>
          <w:rFonts w:cs="黑体"/>
          <w:szCs w:val="22"/>
        </w:rPr>
      </w:pPr>
      <w:r>
        <w:rPr>
          <w:rFonts w:hint="eastAsia" w:eastAsia="楷体_GB2312" w:cs="黑体"/>
          <w:szCs w:val="22"/>
        </w:rPr>
        <w:t>（二）点值和拨付。</w:t>
      </w:r>
      <w:r>
        <w:rPr>
          <w:rFonts w:hint="eastAsia" w:cs="黑体"/>
          <w:szCs w:val="22"/>
        </w:rPr>
        <w:t>省内异地就医DRG付费月度预结算中，月度点值按职工、居民医保分别计算，计算方法和规则等参照我市相关规定执行。医保经办机构及时完成月度预结算，并按职工、居民医保基金分别拨付医疗机构，月度拨付比例、月度核减等规则参照我市相关规定执行。</w:t>
      </w:r>
    </w:p>
    <w:p w14:paraId="59313AEA">
      <w:pPr>
        <w:overflowPunct w:val="0"/>
        <w:spacing w:line="592" w:lineRule="exact"/>
        <w:ind w:firstLine="640" w:firstLineChars="200"/>
        <w:textAlignment w:val="center"/>
        <w:rPr>
          <w:rFonts w:cs="黑体"/>
          <w:szCs w:val="22"/>
        </w:rPr>
      </w:pPr>
      <w:r>
        <w:rPr>
          <w:rFonts w:hint="eastAsia" w:eastAsia="楷体_GB2312" w:cs="黑体"/>
          <w:szCs w:val="22"/>
        </w:rPr>
        <w:t>（三）数据上传和分组。</w:t>
      </w:r>
      <w:r>
        <w:rPr>
          <w:rFonts w:hint="eastAsia" w:cs="黑体"/>
          <w:szCs w:val="22"/>
        </w:rPr>
        <w:t>医疗机构应通过安徽省医疗保障信息平台接口上传省内异地就医医保结算清单，并可通过接口查看结算清单信息和质控结果。结算清单上传、病例入组和结果分发、结果反馈、分组审核等流程和时限要求均按我市相关规定执行。异地就医（不含有第三责任的病例）原则上应联网直接结算并纳入DRG付费管理。</w:t>
      </w:r>
    </w:p>
    <w:p w14:paraId="2639BF07">
      <w:pPr>
        <w:overflowPunct w:val="0"/>
        <w:spacing w:line="592" w:lineRule="exact"/>
        <w:ind w:firstLine="640" w:firstLineChars="200"/>
        <w:textAlignment w:val="center"/>
        <w:rPr>
          <w:rFonts w:cs="黑体"/>
          <w:szCs w:val="22"/>
        </w:rPr>
      </w:pPr>
      <w:r>
        <w:rPr>
          <w:rFonts w:hint="eastAsia" w:eastAsia="楷体_GB2312" w:cs="黑体"/>
          <w:szCs w:val="22"/>
        </w:rPr>
        <w:t>（四）清算管理。</w:t>
      </w:r>
      <w:r>
        <w:rPr>
          <w:rFonts w:hint="eastAsia" w:cs="黑体"/>
          <w:szCs w:val="22"/>
        </w:rPr>
        <w:t>原则上按我市清算规则开展年终清算，增加将省内异地就医联网直接结算率纳入年度清算考核范围，年度清算最终拨付基金与省内异地就医联网直接结算率直接挂钩。省内异地就医DRG清算方案报省医保经办机构审定后实施。</w:t>
      </w:r>
    </w:p>
    <w:p w14:paraId="6B577D74">
      <w:pPr>
        <w:overflowPunct w:val="0"/>
        <w:spacing w:line="592" w:lineRule="exact"/>
        <w:ind w:firstLine="640" w:firstLineChars="200"/>
        <w:textAlignment w:val="center"/>
        <w:rPr>
          <w:rFonts w:cs="黑体"/>
          <w:szCs w:val="22"/>
        </w:rPr>
      </w:pPr>
      <w:r>
        <w:rPr>
          <w:rFonts w:hint="eastAsia" w:cs="黑体"/>
          <w:szCs w:val="22"/>
        </w:rPr>
        <w:t>实施时间按省医保局统一部署执行，实施过程中国家和省有新规定的，按新规定执行。</w:t>
      </w:r>
    </w:p>
    <w:p w14:paraId="25F2C1FC">
      <w:pPr>
        <w:overflowPunct w:val="0"/>
        <w:spacing w:line="592" w:lineRule="exact"/>
        <w:ind w:firstLine="640" w:firstLineChars="200"/>
        <w:textAlignment w:val="center"/>
        <w:rPr>
          <w:rFonts w:ascii="黑体" w:hAnsi="黑体" w:eastAsia="黑体" w:cs="黑体"/>
          <w:szCs w:val="22"/>
        </w:rPr>
      </w:pPr>
      <w:r>
        <w:rPr>
          <w:rFonts w:hint="eastAsia" w:ascii="黑体" w:hAnsi="黑体" w:eastAsia="黑体" w:cs="黑体"/>
          <w:szCs w:val="22"/>
        </w:rPr>
        <w:t>十、有关要求</w:t>
      </w:r>
    </w:p>
    <w:p w14:paraId="103E8A9B">
      <w:pPr>
        <w:overflowPunct w:val="0"/>
        <w:spacing w:line="592" w:lineRule="exact"/>
        <w:ind w:firstLine="640" w:firstLineChars="200"/>
        <w:textAlignment w:val="center"/>
        <w:rPr>
          <w:rFonts w:cs="黑体"/>
          <w:szCs w:val="22"/>
        </w:rPr>
      </w:pPr>
      <w:r>
        <w:rPr>
          <w:rFonts w:hint="eastAsia" w:eastAsia="楷体_GB2312" w:cs="黑体"/>
          <w:szCs w:val="22"/>
        </w:rPr>
        <w:t>（一）完善信息系统。</w:t>
      </w:r>
      <w:r>
        <w:rPr>
          <w:rFonts w:hint="eastAsia" w:cs="黑体"/>
          <w:szCs w:val="22"/>
        </w:rPr>
        <w:t>医疗机构应按DRG付费管理要求，做好院内信息系统与医保结算系统、DRG管理系统、医保智能审核系统等对接。严格落实国家医保结算清单管理要求，按照国家《医疗保障疾病分类与代码（ICD-10）》《医疗保障手术及操作分类与代码（ICD-9-CM-3）》和DRG付费技术规范要求，及时、完整、准确上传相关数据。</w:t>
      </w:r>
    </w:p>
    <w:p w14:paraId="0AADA869">
      <w:pPr>
        <w:overflowPunct w:val="0"/>
        <w:spacing w:line="592" w:lineRule="exact"/>
        <w:ind w:firstLine="640" w:firstLineChars="200"/>
        <w:textAlignment w:val="center"/>
        <w:rPr>
          <w:rFonts w:cs="黑体"/>
          <w:szCs w:val="22"/>
        </w:rPr>
      </w:pPr>
      <w:r>
        <w:rPr>
          <w:rFonts w:hint="eastAsia" w:eastAsia="楷体_GB2312" w:cs="黑体"/>
          <w:szCs w:val="22"/>
        </w:rPr>
        <w:t>（二）规范收治行为。</w:t>
      </w:r>
      <w:r>
        <w:rPr>
          <w:rFonts w:hint="eastAsia" w:cs="黑体"/>
          <w:szCs w:val="22"/>
        </w:rPr>
        <w:t>医疗机构及医保医师应认真执行诊疗和医保相关规定，坚持因病施治、合理检查、合理治疗、合理用药、合理收费。严格把握入院标准，切实提高医疗服务质量。严禁分解住院、分解费用、推诿病人、冲点冲人次等违规行为，不得通过增加自费费用等方式变相增加患者负担。</w:t>
      </w:r>
      <w:r>
        <w:rPr>
          <w:rFonts w:hint="eastAsia" w:cs="黑体"/>
          <w:bCs/>
          <w:szCs w:val="22"/>
        </w:rPr>
        <w:t>对曲解医保政策造成不良影响的纳入医保信用评价管理。</w:t>
      </w:r>
      <w:r>
        <w:rPr>
          <w:rFonts w:hint="eastAsia" w:cs="黑体"/>
          <w:szCs w:val="22"/>
        </w:rPr>
        <w:t>对DRG付费相关指标异常增长和日常群众投诉反映较大的，列为医保监督检查重点单位。</w:t>
      </w:r>
    </w:p>
    <w:p w14:paraId="155B014E">
      <w:pPr>
        <w:overflowPunct w:val="0"/>
        <w:spacing w:line="592" w:lineRule="exact"/>
        <w:ind w:firstLine="640" w:firstLineChars="200"/>
        <w:textAlignment w:val="center"/>
        <w:rPr>
          <w:rFonts w:cs="黑体"/>
          <w:szCs w:val="22"/>
        </w:rPr>
      </w:pPr>
      <w:r>
        <w:rPr>
          <w:rFonts w:hint="eastAsia" w:eastAsia="楷体_GB2312" w:cs="黑体"/>
          <w:szCs w:val="22"/>
        </w:rPr>
        <w:t>（三）加强医保结算清单质控。</w:t>
      </w:r>
      <w:r>
        <w:rPr>
          <w:rFonts w:hint="eastAsia" w:cs="黑体"/>
          <w:szCs w:val="22"/>
        </w:rPr>
        <w:t>医疗机构应加强病案和医保结算清单质量管理，安排专（兼）职人员负责医保编码、医保结算清单质控工作。医疗机构上传的医保结算清单应做到真实、准确、完整地反映治疗过程，严禁高（低）套诊断和手术操作的行为。医保结算清单的主、次要诊断和手术操作，以及其他数据应严格按照国家医保局相关规定填写上传。</w:t>
      </w:r>
    </w:p>
    <w:p w14:paraId="69B1FD9B">
      <w:pPr>
        <w:overflowPunct w:val="0"/>
        <w:spacing w:line="592" w:lineRule="exact"/>
        <w:ind w:firstLine="640" w:firstLineChars="200"/>
        <w:textAlignment w:val="center"/>
        <w:rPr>
          <w:rFonts w:cs="黑体"/>
          <w:szCs w:val="22"/>
        </w:rPr>
      </w:pPr>
      <w:r>
        <w:rPr>
          <w:rFonts w:hint="eastAsia" w:eastAsia="楷体_GB2312" w:cs="黑体"/>
          <w:szCs w:val="22"/>
        </w:rPr>
        <w:t>（四）强化监督考核。</w:t>
      </w:r>
      <w:r>
        <w:rPr>
          <w:rFonts w:hint="eastAsia" w:cs="黑体"/>
          <w:szCs w:val="22"/>
        </w:rPr>
        <w:t>医保经办机构要加强医保协议管理，完善医保结算清单质控机制，加强DRG智能审核规则建设，建立病案抽检互查机制，实现对DRG付费的过程管理和监督。对低标准入院、分解住院、推诿病患、高（低）套编码等行为，扣除违规费用，并按协议或相关法律法规规定对医疗机构和医师予以处理。进一步完善DRG付费考核机制，从医疗行为、服务质量、基金使用效率等方面对医疗机构实施考核，考核结果与月预结算医保基金拨付和年终清算挂钩。</w:t>
      </w:r>
    </w:p>
    <w:p w14:paraId="6B40DA26">
      <w:pPr>
        <w:overflowPunct w:val="0"/>
        <w:spacing w:line="592" w:lineRule="exact"/>
        <w:ind w:firstLine="640" w:firstLineChars="200"/>
        <w:textAlignment w:val="center"/>
        <w:rPr>
          <w:rFonts w:cs="黑体"/>
          <w:szCs w:val="22"/>
        </w:rPr>
      </w:pPr>
      <w:r>
        <w:rPr>
          <w:rFonts w:hint="eastAsia" w:eastAsia="楷体_GB2312" w:cs="黑体"/>
          <w:szCs w:val="22"/>
        </w:rPr>
        <w:t>（五）完善协商机制。</w:t>
      </w:r>
      <w:r>
        <w:rPr>
          <w:rFonts w:hint="eastAsia" w:cs="黑体"/>
          <w:szCs w:val="22"/>
        </w:rPr>
        <w:t>医保部门与医疗机构应加强协商交流，建立公开评议制度和争议处理机制。在DRG付费过程中产生的异议问题，应本着合理合规、公开透明、实事求是原则，通过专家评估、协商研究等方式解决。重大事项由市医疗保障局会同市财政局、市卫健委等部门研究处理。</w:t>
      </w:r>
    </w:p>
    <w:p w14:paraId="536880A9">
      <w:pPr>
        <w:overflowPunct w:val="0"/>
        <w:spacing w:line="592" w:lineRule="exact"/>
        <w:ind w:firstLine="640" w:firstLineChars="200"/>
        <w:textAlignment w:val="center"/>
        <w:rPr>
          <w:rFonts w:cs="黑体"/>
          <w:bCs/>
          <w:szCs w:val="22"/>
        </w:rPr>
      </w:pPr>
      <w:r>
        <w:rPr>
          <w:rFonts w:hint="eastAsia" w:eastAsia="楷体_GB2312" w:cs="黑体"/>
          <w:bCs/>
          <w:szCs w:val="22"/>
        </w:rPr>
        <w:t>（六）强化数据公开。</w:t>
      </w:r>
      <w:r>
        <w:rPr>
          <w:rFonts w:hint="eastAsia" w:cs="黑体"/>
          <w:bCs/>
          <w:szCs w:val="22"/>
        </w:rPr>
        <w:t>医保经办机构要认真落实省数据公开管理相关规定，完善数据公开机制，定期公开包括并不限于年度支出预算、基金使用进度、病组及点数、病组调整系数、出院人次、次均费用及构成、CMI值、DRG结算清单质控情况及问题、重点病组及分布情况等指标数据，方便医疗机构比较并进一步加强内部管理。</w:t>
      </w:r>
    </w:p>
    <w:p w14:paraId="2DD3BBDD">
      <w:pPr>
        <w:overflowPunct w:val="0"/>
        <w:spacing w:line="592" w:lineRule="exact"/>
        <w:ind w:firstLine="640" w:firstLineChars="200"/>
        <w:textAlignment w:val="center"/>
        <w:rPr>
          <w:rFonts w:cs="黑体"/>
          <w:bCs/>
          <w:szCs w:val="22"/>
        </w:rPr>
      </w:pPr>
      <w:r>
        <w:rPr>
          <w:rFonts w:hint="eastAsia" w:eastAsia="楷体_GB2312" w:cs="黑体"/>
          <w:bCs/>
          <w:szCs w:val="22"/>
        </w:rPr>
        <w:t>（七）加强省内异地就医管理。</w:t>
      </w:r>
      <w:r>
        <w:rPr>
          <w:rFonts w:hint="eastAsia" w:cs="黑体"/>
          <w:bCs/>
          <w:szCs w:val="22"/>
        </w:rPr>
        <w:t>医疗机构应优化医院管理信息系统，及时准确完整上传医保结算数据和医保清算清单信息，加强异地就医联网直接结算管理。医保部门要完善医保信息系统，准确获取省内异地就医结算明细和医保结算清单，加快推进国家DRG功能模块应用。医保经办机构要在省级医保经办机构的组织下，积极参与参保地、就医地联合审核工作，做好省内异地就医基金的接收、分组付费、月拨付、年清算等工作。加强省内异地就医DRG付费过程管理，将月预结算基金拨付与DRG付费关键指标的变化挂钩，确保住院人次、住院总费用等指标合理增长，防范编码高（低）套、分解住院等异常行为。</w:t>
      </w:r>
    </w:p>
    <w:p w14:paraId="7F90B008">
      <w:pPr>
        <w:overflowPunct w:val="0"/>
        <w:spacing w:line="592" w:lineRule="exact"/>
        <w:ind w:firstLine="640" w:firstLineChars="200"/>
        <w:textAlignment w:val="center"/>
        <w:rPr>
          <w:rFonts w:cs="黑体"/>
          <w:szCs w:val="22"/>
        </w:rPr>
      </w:pPr>
      <w:r>
        <w:rPr>
          <w:rFonts w:hint="eastAsia" w:eastAsia="楷体_GB2312" w:cs="黑体"/>
          <w:szCs w:val="22"/>
        </w:rPr>
        <w:t>（八）加强部门联动。</w:t>
      </w:r>
      <w:r>
        <w:rPr>
          <w:rFonts w:hint="eastAsia" w:cs="黑体"/>
          <w:szCs w:val="22"/>
        </w:rPr>
        <w:t>医保部门负责做好DRG付费政策的制定实施、监督管理和统筹协调等工作；财政部门会同医保部门按规定做好基金预算监督等工作；卫生健康部门负责指导医疗机构加强医疗质量管理、病案数据质量管理、医疗机构绩效考核和医疗信息资源共享等工作。</w:t>
      </w:r>
    </w:p>
    <w:p w14:paraId="0E6CB52C">
      <w:pPr>
        <w:overflowPunct w:val="0"/>
        <w:spacing w:line="592" w:lineRule="exact"/>
        <w:ind w:firstLine="640" w:firstLineChars="200"/>
        <w:textAlignment w:val="center"/>
        <w:rPr>
          <w:rFonts w:cs="黑体"/>
          <w:szCs w:val="22"/>
        </w:rPr>
      </w:pPr>
    </w:p>
    <w:p w14:paraId="00F50178">
      <w:pPr>
        <w:overflowPunct w:val="0"/>
        <w:spacing w:line="592" w:lineRule="exact"/>
        <w:ind w:firstLine="640" w:firstLineChars="200"/>
        <w:rPr>
          <w:rFonts w:cs="黑体"/>
          <w:szCs w:val="22"/>
        </w:rPr>
        <w:sectPr>
          <w:footerReference r:id="rId3" w:type="default"/>
          <w:footerReference r:id="rId4" w:type="even"/>
          <w:pgSz w:w="11906" w:h="16838"/>
          <w:pgMar w:top="1985" w:right="1503" w:bottom="1758" w:left="1503" w:header="851" w:footer="1361" w:gutter="0"/>
          <w:cols w:space="720" w:num="1"/>
          <w:docGrid w:type="lines" w:linePitch="592" w:charSpace="-849"/>
        </w:sectPr>
      </w:pPr>
      <w:r>
        <w:rPr>
          <w:rFonts w:hint="eastAsia" w:cs="黑体"/>
          <w:szCs w:val="22"/>
        </w:rPr>
        <w:t>附件：合肥市DRG付费医疗机构名单</w:t>
      </w:r>
    </w:p>
    <w:p w14:paraId="3D71D0A0">
      <w:pPr>
        <w:overflowPunct w:val="0"/>
        <w:spacing w:line="592" w:lineRule="exact"/>
        <w:textAlignment w:val="center"/>
        <w:rPr>
          <w:rFonts w:ascii="黑体" w:hAnsi="黑体" w:eastAsia="黑体" w:cs="黑体"/>
          <w:szCs w:val="22"/>
        </w:rPr>
      </w:pPr>
      <w:r>
        <w:rPr>
          <w:rFonts w:hint="eastAsia" w:ascii="黑体" w:hAnsi="黑体" w:eastAsia="黑体" w:cs="黑体"/>
          <w:szCs w:val="22"/>
        </w:rPr>
        <w:t>附件</w:t>
      </w:r>
    </w:p>
    <w:p w14:paraId="547BBC13">
      <w:pPr>
        <w:overflowPunct w:val="0"/>
        <w:spacing w:line="592" w:lineRule="exact"/>
        <w:jc w:val="center"/>
        <w:textAlignment w:val="center"/>
        <w:rPr>
          <w:rFonts w:ascii="方正小标宋简体" w:eastAsia="方正小标宋简体" w:cs="黑体"/>
          <w:sz w:val="44"/>
          <w:szCs w:val="44"/>
        </w:rPr>
      </w:pPr>
      <w:r>
        <w:rPr>
          <w:rFonts w:hint="eastAsia" w:ascii="方正小标宋简体" w:eastAsia="方正小标宋简体" w:cs="黑体"/>
          <w:sz w:val="44"/>
          <w:szCs w:val="44"/>
        </w:rPr>
        <w:t>合肥市DRG付费医疗机构名单</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1988"/>
        <w:gridCol w:w="5471"/>
        <w:gridCol w:w="2693"/>
        <w:gridCol w:w="3022"/>
      </w:tblGrid>
      <w:tr w14:paraId="13317061">
        <w:trPr>
          <w:cantSplit/>
          <w:tblHeader/>
          <w:jc w:val="center"/>
        </w:trPr>
        <w:tc>
          <w:tcPr>
            <w:tcW w:w="309" w:type="pct"/>
            <w:shd w:val="clear" w:color="auto" w:fill="auto"/>
            <w:vAlign w:val="center"/>
          </w:tcPr>
          <w:p w14:paraId="4ADCB867">
            <w:pPr>
              <w:overflowPunct w:val="0"/>
              <w:spacing w:line="400" w:lineRule="exact"/>
              <w:jc w:val="center"/>
              <w:textAlignment w:val="center"/>
              <w:rPr>
                <w:rFonts w:ascii="仿宋" w:hAnsi="仿宋" w:eastAsia="仿宋" w:cs="仿宋"/>
                <w:b/>
                <w:bCs/>
                <w:sz w:val="24"/>
                <w:szCs w:val="24"/>
              </w:rPr>
            </w:pPr>
            <w:r>
              <w:rPr>
                <w:rFonts w:hint="eastAsia" w:ascii="仿宋" w:hAnsi="仿宋" w:cs="仿宋"/>
                <w:b/>
                <w:bCs/>
                <w:kern w:val="0"/>
                <w:sz w:val="24"/>
                <w:szCs w:val="24"/>
              </w:rPr>
              <w:t>序号</w:t>
            </w:r>
          </w:p>
        </w:tc>
        <w:tc>
          <w:tcPr>
            <w:tcW w:w="708" w:type="pct"/>
            <w:shd w:val="clear" w:color="auto" w:fill="auto"/>
            <w:vAlign w:val="center"/>
          </w:tcPr>
          <w:p w14:paraId="0813FE2D">
            <w:pPr>
              <w:overflowPunct w:val="0"/>
              <w:spacing w:line="400" w:lineRule="exact"/>
              <w:jc w:val="center"/>
              <w:textAlignment w:val="center"/>
              <w:rPr>
                <w:rFonts w:ascii="仿宋" w:hAnsi="仿宋" w:eastAsia="仿宋" w:cs="仿宋"/>
                <w:b/>
                <w:bCs/>
                <w:sz w:val="24"/>
                <w:szCs w:val="24"/>
              </w:rPr>
            </w:pPr>
            <w:r>
              <w:rPr>
                <w:rFonts w:hint="eastAsia" w:ascii="仿宋" w:hAnsi="仿宋" w:cs="仿宋"/>
                <w:b/>
                <w:bCs/>
                <w:kern w:val="0"/>
                <w:sz w:val="24"/>
                <w:szCs w:val="24"/>
              </w:rPr>
              <w:t>医疗机构代码</w:t>
            </w:r>
          </w:p>
        </w:tc>
        <w:tc>
          <w:tcPr>
            <w:tcW w:w="1948" w:type="pct"/>
            <w:shd w:val="clear" w:color="auto" w:fill="auto"/>
            <w:vAlign w:val="center"/>
          </w:tcPr>
          <w:p w14:paraId="023AA126">
            <w:pPr>
              <w:overflowPunct w:val="0"/>
              <w:spacing w:line="400" w:lineRule="exact"/>
              <w:jc w:val="center"/>
              <w:textAlignment w:val="center"/>
              <w:rPr>
                <w:rFonts w:ascii="仿宋" w:hAnsi="仿宋" w:eastAsia="仿宋" w:cs="仿宋"/>
                <w:b/>
                <w:bCs/>
                <w:sz w:val="24"/>
                <w:szCs w:val="24"/>
              </w:rPr>
            </w:pPr>
            <w:r>
              <w:rPr>
                <w:rFonts w:hint="eastAsia" w:ascii="仿宋" w:hAnsi="仿宋" w:cs="仿宋"/>
                <w:b/>
                <w:bCs/>
                <w:kern w:val="0"/>
                <w:sz w:val="24"/>
                <w:szCs w:val="24"/>
              </w:rPr>
              <w:t>医疗机构名称</w:t>
            </w:r>
          </w:p>
        </w:tc>
        <w:tc>
          <w:tcPr>
            <w:tcW w:w="959" w:type="pct"/>
            <w:shd w:val="clear" w:color="auto" w:fill="auto"/>
            <w:vAlign w:val="center"/>
          </w:tcPr>
          <w:p w14:paraId="58464CD1">
            <w:pPr>
              <w:overflowPunct w:val="0"/>
              <w:spacing w:line="400" w:lineRule="exact"/>
              <w:jc w:val="center"/>
              <w:textAlignment w:val="center"/>
              <w:rPr>
                <w:rFonts w:ascii="仿宋" w:hAnsi="仿宋" w:eastAsia="仿宋" w:cs="仿宋"/>
                <w:b/>
                <w:bCs/>
                <w:kern w:val="0"/>
                <w:sz w:val="24"/>
                <w:szCs w:val="24"/>
              </w:rPr>
            </w:pPr>
            <w:r>
              <w:rPr>
                <w:rFonts w:hint="eastAsia" w:ascii="仿宋" w:hAnsi="仿宋" w:cs="仿宋"/>
                <w:b/>
                <w:bCs/>
                <w:kern w:val="0"/>
                <w:sz w:val="24"/>
                <w:szCs w:val="24"/>
              </w:rPr>
              <w:t>预算等级</w:t>
            </w:r>
          </w:p>
        </w:tc>
        <w:tc>
          <w:tcPr>
            <w:tcW w:w="1076" w:type="pct"/>
            <w:shd w:val="clear" w:color="auto" w:fill="auto"/>
            <w:vAlign w:val="center"/>
          </w:tcPr>
          <w:p w14:paraId="16985EFD">
            <w:pPr>
              <w:overflowPunct w:val="0"/>
              <w:spacing w:line="400" w:lineRule="exact"/>
              <w:jc w:val="center"/>
              <w:textAlignment w:val="center"/>
              <w:rPr>
                <w:rFonts w:ascii="仿宋" w:hAnsi="仿宋" w:cs="仿宋"/>
                <w:b/>
                <w:bCs/>
                <w:sz w:val="24"/>
                <w:szCs w:val="24"/>
              </w:rPr>
            </w:pPr>
            <w:r>
              <w:rPr>
                <w:rFonts w:hint="eastAsia" w:ascii="仿宋" w:hAnsi="仿宋" w:cs="仿宋"/>
                <w:b/>
                <w:bCs/>
                <w:kern w:val="0"/>
                <w:sz w:val="24"/>
                <w:szCs w:val="24"/>
              </w:rPr>
              <w:t>DRG付费等级</w:t>
            </w:r>
          </w:p>
        </w:tc>
      </w:tr>
      <w:tr w14:paraId="46BC1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EDBC82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w:t>
            </w:r>
          </w:p>
        </w:tc>
        <w:tc>
          <w:tcPr>
            <w:tcW w:w="708" w:type="pct"/>
            <w:shd w:val="clear" w:color="auto" w:fill="auto"/>
            <w:vAlign w:val="center"/>
          </w:tcPr>
          <w:p w14:paraId="2FCB5F1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H34010300005</w:t>
            </w:r>
          </w:p>
        </w:tc>
        <w:tc>
          <w:tcPr>
            <w:tcW w:w="1948" w:type="pct"/>
            <w:shd w:val="clear" w:color="auto" w:fill="auto"/>
            <w:vAlign w:val="center"/>
          </w:tcPr>
          <w:p w14:paraId="0E3208E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安徽省立医院</w:t>
            </w:r>
          </w:p>
        </w:tc>
        <w:tc>
          <w:tcPr>
            <w:tcW w:w="959" w:type="pct"/>
            <w:shd w:val="clear" w:color="auto" w:fill="auto"/>
            <w:vAlign w:val="center"/>
          </w:tcPr>
          <w:p w14:paraId="1779C81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180CEF80">
            <w:pPr>
              <w:overflowPunct w:val="0"/>
              <w:spacing w:line="400" w:lineRule="exact"/>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三级乙等及以上</w:t>
            </w:r>
          </w:p>
          <w:p w14:paraId="3C9237F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（高质量发展医疗机构）</w:t>
            </w:r>
          </w:p>
        </w:tc>
      </w:tr>
      <w:tr w14:paraId="5FD5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BCA188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w:t>
            </w:r>
          </w:p>
        </w:tc>
        <w:tc>
          <w:tcPr>
            <w:tcW w:w="708" w:type="pct"/>
            <w:shd w:val="clear" w:color="auto" w:fill="auto"/>
            <w:vAlign w:val="center"/>
          </w:tcPr>
          <w:p w14:paraId="53E3A5D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H34010400004</w:t>
            </w:r>
          </w:p>
        </w:tc>
        <w:tc>
          <w:tcPr>
            <w:tcW w:w="1948" w:type="pct"/>
            <w:shd w:val="clear" w:color="auto" w:fill="auto"/>
            <w:vAlign w:val="center"/>
          </w:tcPr>
          <w:p w14:paraId="3A3DFE9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安徽医科大学第一附属医院</w:t>
            </w:r>
          </w:p>
        </w:tc>
        <w:tc>
          <w:tcPr>
            <w:tcW w:w="959" w:type="pct"/>
            <w:shd w:val="clear" w:color="auto" w:fill="auto"/>
            <w:vAlign w:val="center"/>
          </w:tcPr>
          <w:p w14:paraId="4D206D4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6551612A">
            <w:pPr>
              <w:overflowPunct w:val="0"/>
              <w:spacing w:line="400" w:lineRule="exact"/>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三级乙等及以上</w:t>
            </w:r>
          </w:p>
          <w:p w14:paraId="746E6814">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（高质量发展医疗机构）</w:t>
            </w:r>
          </w:p>
        </w:tc>
      </w:tr>
      <w:tr w14:paraId="005A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AC871D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w:t>
            </w:r>
          </w:p>
        </w:tc>
        <w:tc>
          <w:tcPr>
            <w:tcW w:w="708" w:type="pct"/>
            <w:shd w:val="clear" w:color="auto" w:fill="auto"/>
            <w:vAlign w:val="center"/>
          </w:tcPr>
          <w:p w14:paraId="0995DAC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H34017200459</w:t>
            </w:r>
          </w:p>
        </w:tc>
        <w:tc>
          <w:tcPr>
            <w:tcW w:w="1948" w:type="pct"/>
            <w:shd w:val="clear" w:color="auto" w:fill="auto"/>
            <w:vAlign w:val="center"/>
          </w:tcPr>
          <w:p w14:paraId="606F68D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安徽医科大学第二附属医院</w:t>
            </w:r>
          </w:p>
        </w:tc>
        <w:tc>
          <w:tcPr>
            <w:tcW w:w="959" w:type="pct"/>
            <w:shd w:val="clear" w:color="auto" w:fill="auto"/>
            <w:vAlign w:val="center"/>
          </w:tcPr>
          <w:p w14:paraId="51B743ED">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089CEFE7">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66AA4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68462F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w:t>
            </w:r>
          </w:p>
        </w:tc>
        <w:tc>
          <w:tcPr>
            <w:tcW w:w="708" w:type="pct"/>
            <w:shd w:val="clear" w:color="auto" w:fill="auto"/>
            <w:vAlign w:val="center"/>
          </w:tcPr>
          <w:p w14:paraId="4BCF689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H34017300712</w:t>
            </w:r>
          </w:p>
        </w:tc>
        <w:tc>
          <w:tcPr>
            <w:tcW w:w="1948" w:type="pct"/>
            <w:shd w:val="clear" w:color="auto" w:fill="auto"/>
            <w:vAlign w:val="center"/>
          </w:tcPr>
          <w:p w14:paraId="77AEE622">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安徽省第二人民医院</w:t>
            </w:r>
          </w:p>
        </w:tc>
        <w:tc>
          <w:tcPr>
            <w:tcW w:w="959" w:type="pct"/>
            <w:shd w:val="clear" w:color="auto" w:fill="auto"/>
            <w:vAlign w:val="center"/>
          </w:tcPr>
          <w:p w14:paraId="06671AD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0F1C58D4">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25023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6FFC67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w:t>
            </w:r>
          </w:p>
        </w:tc>
        <w:tc>
          <w:tcPr>
            <w:tcW w:w="708" w:type="pct"/>
            <w:shd w:val="clear" w:color="auto" w:fill="auto"/>
            <w:vAlign w:val="center"/>
          </w:tcPr>
          <w:p w14:paraId="26BBD7B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H34010300529</w:t>
            </w:r>
          </w:p>
        </w:tc>
        <w:tc>
          <w:tcPr>
            <w:tcW w:w="1948" w:type="pct"/>
            <w:shd w:val="clear" w:color="auto" w:fill="auto"/>
            <w:vAlign w:val="center"/>
          </w:tcPr>
          <w:p w14:paraId="43B874C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中国人民武装警察部队安徽省总队医院</w:t>
            </w:r>
          </w:p>
        </w:tc>
        <w:tc>
          <w:tcPr>
            <w:tcW w:w="959" w:type="pct"/>
            <w:shd w:val="clear" w:color="auto" w:fill="auto"/>
            <w:vAlign w:val="center"/>
          </w:tcPr>
          <w:p w14:paraId="371B4C9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7E58889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082AA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7338E4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w:t>
            </w:r>
          </w:p>
        </w:tc>
        <w:tc>
          <w:tcPr>
            <w:tcW w:w="708" w:type="pct"/>
            <w:shd w:val="clear" w:color="auto" w:fill="auto"/>
            <w:vAlign w:val="center"/>
          </w:tcPr>
          <w:p w14:paraId="4DAD30C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H34010400368</w:t>
            </w:r>
          </w:p>
        </w:tc>
        <w:tc>
          <w:tcPr>
            <w:tcW w:w="1948" w:type="pct"/>
            <w:shd w:val="clear" w:color="auto" w:fill="auto"/>
            <w:vAlign w:val="center"/>
          </w:tcPr>
          <w:p w14:paraId="709CB49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中国人民解放军联勤保障部队第九</w:t>
            </w:r>
            <w:r>
              <w:rPr>
                <w:rFonts w:hint="eastAsia" w:ascii="宋体" w:hAnsi="宋体" w:eastAsia="宋体" w:cs="宋体"/>
                <w:color w:val="000000"/>
                <w:kern w:val="0"/>
                <w:sz w:val="24"/>
                <w:szCs w:val="24"/>
              </w:rPr>
              <w:t>〇</w:t>
            </w:r>
            <w:r>
              <w:rPr>
                <w:rFonts w:hint="eastAsia" w:ascii="仿宋_GB2312" w:hAnsi="仿宋_GB2312" w:cs="仿宋_GB2312"/>
                <w:color w:val="000000"/>
                <w:kern w:val="0"/>
                <w:sz w:val="24"/>
                <w:szCs w:val="24"/>
              </w:rPr>
              <w:t>一医院</w:t>
            </w:r>
          </w:p>
        </w:tc>
        <w:tc>
          <w:tcPr>
            <w:tcW w:w="959" w:type="pct"/>
            <w:shd w:val="clear" w:color="auto" w:fill="auto"/>
            <w:vAlign w:val="center"/>
          </w:tcPr>
          <w:p w14:paraId="5CBF175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0C3540C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18F34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C10140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w:t>
            </w:r>
          </w:p>
        </w:tc>
        <w:tc>
          <w:tcPr>
            <w:tcW w:w="708" w:type="pct"/>
            <w:shd w:val="clear" w:color="auto" w:fill="auto"/>
            <w:vAlign w:val="center"/>
          </w:tcPr>
          <w:p w14:paraId="14ABD6A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H34017300054</w:t>
            </w:r>
          </w:p>
        </w:tc>
        <w:tc>
          <w:tcPr>
            <w:tcW w:w="1948" w:type="pct"/>
            <w:shd w:val="clear" w:color="auto" w:fill="auto"/>
            <w:vAlign w:val="center"/>
          </w:tcPr>
          <w:p w14:paraId="0530DB1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安徽医科大学第一附属医院北区</w:t>
            </w:r>
          </w:p>
        </w:tc>
        <w:tc>
          <w:tcPr>
            <w:tcW w:w="959" w:type="pct"/>
            <w:shd w:val="clear" w:color="auto" w:fill="auto"/>
            <w:vAlign w:val="center"/>
          </w:tcPr>
          <w:p w14:paraId="4F7F1E4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06C40C1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07601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BCF679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w:t>
            </w:r>
          </w:p>
        </w:tc>
        <w:tc>
          <w:tcPr>
            <w:tcW w:w="708" w:type="pct"/>
            <w:shd w:val="clear" w:color="auto" w:fill="auto"/>
            <w:vAlign w:val="center"/>
          </w:tcPr>
          <w:p w14:paraId="0587B5C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H34018100016</w:t>
            </w:r>
          </w:p>
        </w:tc>
        <w:tc>
          <w:tcPr>
            <w:tcW w:w="1948" w:type="pct"/>
            <w:shd w:val="clear" w:color="auto" w:fill="auto"/>
            <w:vAlign w:val="center"/>
          </w:tcPr>
          <w:p w14:paraId="0CC3433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安徽医科大学附属巢湖医院</w:t>
            </w:r>
          </w:p>
        </w:tc>
        <w:tc>
          <w:tcPr>
            <w:tcW w:w="959" w:type="pct"/>
            <w:shd w:val="clear" w:color="auto" w:fill="auto"/>
            <w:vAlign w:val="center"/>
          </w:tcPr>
          <w:p w14:paraId="7C72316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4CB7D0A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72F4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23D6AD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w:t>
            </w:r>
          </w:p>
        </w:tc>
        <w:tc>
          <w:tcPr>
            <w:tcW w:w="708" w:type="pct"/>
            <w:shd w:val="clear" w:color="auto" w:fill="auto"/>
            <w:vAlign w:val="center"/>
          </w:tcPr>
          <w:p w14:paraId="31E9A87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H34011100164</w:t>
            </w:r>
          </w:p>
        </w:tc>
        <w:tc>
          <w:tcPr>
            <w:tcW w:w="1948" w:type="pct"/>
            <w:shd w:val="clear" w:color="auto" w:fill="auto"/>
            <w:vAlign w:val="center"/>
          </w:tcPr>
          <w:p w14:paraId="170EC40E">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安徽省儿童医院（安徽省妇幼保健院）</w:t>
            </w:r>
          </w:p>
        </w:tc>
        <w:tc>
          <w:tcPr>
            <w:tcW w:w="959" w:type="pct"/>
            <w:shd w:val="clear" w:color="auto" w:fill="auto"/>
            <w:vAlign w:val="center"/>
          </w:tcPr>
          <w:p w14:paraId="724AA28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41A4B95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386E0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F5352C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w:t>
            </w:r>
          </w:p>
        </w:tc>
        <w:tc>
          <w:tcPr>
            <w:tcW w:w="708" w:type="pct"/>
            <w:shd w:val="clear" w:color="auto" w:fill="auto"/>
            <w:vAlign w:val="center"/>
          </w:tcPr>
          <w:p w14:paraId="1179322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H34010400359</w:t>
            </w:r>
          </w:p>
        </w:tc>
        <w:tc>
          <w:tcPr>
            <w:tcW w:w="1948" w:type="pct"/>
            <w:shd w:val="clear" w:color="auto" w:fill="auto"/>
            <w:vAlign w:val="center"/>
          </w:tcPr>
          <w:p w14:paraId="75A6939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安徽省胸科医院</w:t>
            </w:r>
          </w:p>
        </w:tc>
        <w:tc>
          <w:tcPr>
            <w:tcW w:w="959" w:type="pct"/>
            <w:shd w:val="clear" w:color="auto" w:fill="auto"/>
            <w:vAlign w:val="center"/>
          </w:tcPr>
          <w:p w14:paraId="59ACA80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3A6A483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7CB1C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800932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w:t>
            </w:r>
          </w:p>
        </w:tc>
        <w:tc>
          <w:tcPr>
            <w:tcW w:w="708" w:type="pct"/>
            <w:shd w:val="clear" w:color="auto" w:fill="auto"/>
            <w:vAlign w:val="center"/>
          </w:tcPr>
          <w:p w14:paraId="67CA8E3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H34010400838</w:t>
            </w:r>
          </w:p>
        </w:tc>
        <w:tc>
          <w:tcPr>
            <w:tcW w:w="1948" w:type="pct"/>
            <w:shd w:val="clear" w:color="auto" w:fill="auto"/>
            <w:vAlign w:val="center"/>
          </w:tcPr>
          <w:p w14:paraId="44B1AD2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安徽医科大学附属口腔医院（安徽省口腔医院）</w:t>
            </w:r>
          </w:p>
        </w:tc>
        <w:tc>
          <w:tcPr>
            <w:tcW w:w="959" w:type="pct"/>
            <w:shd w:val="clear" w:color="auto" w:fill="auto"/>
            <w:vAlign w:val="center"/>
          </w:tcPr>
          <w:p w14:paraId="3B6C0BA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7426ACD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05B08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7C3447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w:t>
            </w:r>
          </w:p>
        </w:tc>
        <w:tc>
          <w:tcPr>
            <w:tcW w:w="708" w:type="pct"/>
            <w:shd w:val="clear" w:color="auto" w:fill="auto"/>
            <w:vAlign w:val="center"/>
          </w:tcPr>
          <w:p w14:paraId="3E0BA3B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H34010300002</w:t>
            </w:r>
          </w:p>
        </w:tc>
        <w:tc>
          <w:tcPr>
            <w:tcW w:w="1948" w:type="pct"/>
            <w:shd w:val="clear" w:color="auto" w:fill="auto"/>
            <w:vAlign w:val="center"/>
          </w:tcPr>
          <w:p w14:paraId="1F35748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合肥市第一人民医院</w:t>
            </w:r>
          </w:p>
        </w:tc>
        <w:tc>
          <w:tcPr>
            <w:tcW w:w="959" w:type="pct"/>
            <w:shd w:val="clear" w:color="auto" w:fill="auto"/>
            <w:vAlign w:val="center"/>
          </w:tcPr>
          <w:p w14:paraId="417A8CE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2D07851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1BAF9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4ED7C9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w:t>
            </w:r>
          </w:p>
        </w:tc>
        <w:tc>
          <w:tcPr>
            <w:tcW w:w="708" w:type="pct"/>
            <w:shd w:val="clear" w:color="auto" w:fill="auto"/>
            <w:vAlign w:val="center"/>
          </w:tcPr>
          <w:p w14:paraId="790CBF4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H34010200263</w:t>
            </w:r>
          </w:p>
        </w:tc>
        <w:tc>
          <w:tcPr>
            <w:tcW w:w="1948" w:type="pct"/>
            <w:shd w:val="clear" w:color="auto" w:fill="auto"/>
            <w:vAlign w:val="center"/>
          </w:tcPr>
          <w:p w14:paraId="15A4C3B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合肥市第二人民医院</w:t>
            </w:r>
          </w:p>
        </w:tc>
        <w:tc>
          <w:tcPr>
            <w:tcW w:w="959" w:type="pct"/>
            <w:shd w:val="clear" w:color="auto" w:fill="auto"/>
            <w:vAlign w:val="center"/>
          </w:tcPr>
          <w:p w14:paraId="5A56857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2FEEBDFB">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10422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0CFC57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w:t>
            </w:r>
          </w:p>
        </w:tc>
        <w:tc>
          <w:tcPr>
            <w:tcW w:w="708" w:type="pct"/>
            <w:shd w:val="clear" w:color="auto" w:fill="auto"/>
            <w:vAlign w:val="center"/>
          </w:tcPr>
          <w:p w14:paraId="1F91F90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H34011100639</w:t>
            </w:r>
          </w:p>
        </w:tc>
        <w:tc>
          <w:tcPr>
            <w:tcW w:w="1948" w:type="pct"/>
            <w:shd w:val="clear" w:color="auto" w:fill="auto"/>
            <w:vAlign w:val="center"/>
          </w:tcPr>
          <w:p w14:paraId="227FD29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合肥市第三人民医院</w:t>
            </w:r>
          </w:p>
        </w:tc>
        <w:tc>
          <w:tcPr>
            <w:tcW w:w="959" w:type="pct"/>
            <w:shd w:val="clear" w:color="auto" w:fill="auto"/>
            <w:vAlign w:val="center"/>
          </w:tcPr>
          <w:p w14:paraId="72CDD4D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6ADF5694">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603E8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1AF834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w:t>
            </w:r>
          </w:p>
        </w:tc>
        <w:tc>
          <w:tcPr>
            <w:tcW w:w="708" w:type="pct"/>
            <w:shd w:val="clear" w:color="auto" w:fill="auto"/>
            <w:vAlign w:val="center"/>
          </w:tcPr>
          <w:p w14:paraId="2D29756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H34010300154</w:t>
            </w:r>
          </w:p>
        </w:tc>
        <w:tc>
          <w:tcPr>
            <w:tcW w:w="1948" w:type="pct"/>
            <w:shd w:val="clear" w:color="auto" w:fill="auto"/>
            <w:vAlign w:val="center"/>
          </w:tcPr>
          <w:p w14:paraId="15BF4D6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安徽省妇女儿童医学中心（合肥市妇幼保健院）</w:t>
            </w:r>
          </w:p>
        </w:tc>
        <w:tc>
          <w:tcPr>
            <w:tcW w:w="959" w:type="pct"/>
            <w:shd w:val="clear" w:color="auto" w:fill="auto"/>
            <w:vAlign w:val="center"/>
          </w:tcPr>
          <w:p w14:paraId="6D06645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1100ECB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7430F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0A9809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w:t>
            </w:r>
          </w:p>
        </w:tc>
        <w:tc>
          <w:tcPr>
            <w:tcW w:w="708" w:type="pct"/>
            <w:shd w:val="clear" w:color="auto" w:fill="auto"/>
            <w:vAlign w:val="center"/>
          </w:tcPr>
          <w:p w14:paraId="6273E6E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H34018100437</w:t>
            </w:r>
          </w:p>
        </w:tc>
        <w:tc>
          <w:tcPr>
            <w:tcW w:w="1948" w:type="pct"/>
            <w:shd w:val="clear" w:color="auto" w:fill="auto"/>
            <w:vAlign w:val="center"/>
          </w:tcPr>
          <w:p w14:paraId="6A141D5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合肥市第八人民医院</w:t>
            </w:r>
          </w:p>
        </w:tc>
        <w:tc>
          <w:tcPr>
            <w:tcW w:w="959" w:type="pct"/>
            <w:shd w:val="clear" w:color="auto" w:fill="auto"/>
            <w:vAlign w:val="center"/>
          </w:tcPr>
          <w:p w14:paraId="2F17F01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6F4A318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044AE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14F370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w:t>
            </w:r>
          </w:p>
        </w:tc>
        <w:tc>
          <w:tcPr>
            <w:tcW w:w="708" w:type="pct"/>
            <w:shd w:val="clear" w:color="auto" w:fill="auto"/>
            <w:vAlign w:val="center"/>
          </w:tcPr>
          <w:p w14:paraId="0CEC532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H34017300026</w:t>
            </w:r>
          </w:p>
        </w:tc>
        <w:tc>
          <w:tcPr>
            <w:tcW w:w="1948" w:type="pct"/>
            <w:shd w:val="clear" w:color="auto" w:fill="auto"/>
            <w:vAlign w:val="center"/>
          </w:tcPr>
          <w:p w14:paraId="4645BC3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合肥京东方医院</w:t>
            </w:r>
          </w:p>
        </w:tc>
        <w:tc>
          <w:tcPr>
            <w:tcW w:w="959" w:type="pct"/>
            <w:shd w:val="clear" w:color="auto" w:fill="auto"/>
            <w:vAlign w:val="center"/>
          </w:tcPr>
          <w:p w14:paraId="2BFECE8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61E8454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70CC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7973D0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18</w:t>
            </w:r>
          </w:p>
        </w:tc>
        <w:tc>
          <w:tcPr>
            <w:tcW w:w="708" w:type="pct"/>
            <w:shd w:val="clear" w:color="auto" w:fill="auto"/>
            <w:vAlign w:val="center"/>
          </w:tcPr>
          <w:p w14:paraId="1E6AD80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H34019902738</w:t>
            </w:r>
          </w:p>
        </w:tc>
        <w:tc>
          <w:tcPr>
            <w:tcW w:w="1948" w:type="pct"/>
            <w:shd w:val="clear" w:color="auto" w:fill="auto"/>
            <w:vAlign w:val="center"/>
          </w:tcPr>
          <w:p w14:paraId="445F535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安徽中科庚玖医院</w:t>
            </w:r>
          </w:p>
        </w:tc>
        <w:tc>
          <w:tcPr>
            <w:tcW w:w="959" w:type="pct"/>
            <w:shd w:val="clear" w:color="auto" w:fill="auto"/>
            <w:vAlign w:val="center"/>
          </w:tcPr>
          <w:p w14:paraId="34A51AA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429C394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304CD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59F6BF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19</w:t>
            </w:r>
          </w:p>
        </w:tc>
        <w:tc>
          <w:tcPr>
            <w:tcW w:w="708" w:type="pct"/>
            <w:shd w:val="clear" w:color="auto" w:fill="auto"/>
            <w:vAlign w:val="center"/>
          </w:tcPr>
          <w:p w14:paraId="44B045E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H34010200056</w:t>
            </w:r>
          </w:p>
        </w:tc>
        <w:tc>
          <w:tcPr>
            <w:tcW w:w="1948" w:type="pct"/>
            <w:shd w:val="clear" w:color="auto" w:fill="auto"/>
            <w:vAlign w:val="center"/>
          </w:tcPr>
          <w:p w14:paraId="1B5A9DD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安徽济民肿瘤医院</w:t>
            </w:r>
          </w:p>
        </w:tc>
        <w:tc>
          <w:tcPr>
            <w:tcW w:w="959" w:type="pct"/>
            <w:shd w:val="clear" w:color="auto" w:fill="auto"/>
            <w:vAlign w:val="center"/>
          </w:tcPr>
          <w:p w14:paraId="15451B8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22AF7BE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43A74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A34481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20</w:t>
            </w:r>
          </w:p>
        </w:tc>
        <w:tc>
          <w:tcPr>
            <w:tcW w:w="708" w:type="pct"/>
            <w:shd w:val="clear" w:color="auto" w:fill="auto"/>
            <w:vAlign w:val="center"/>
          </w:tcPr>
          <w:p w14:paraId="0C5D116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H34010400023</w:t>
            </w:r>
          </w:p>
        </w:tc>
        <w:tc>
          <w:tcPr>
            <w:tcW w:w="1948" w:type="pct"/>
            <w:shd w:val="clear" w:color="auto" w:fill="auto"/>
            <w:vAlign w:val="center"/>
          </w:tcPr>
          <w:p w14:paraId="75B7A11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中国科学院合肥肿瘤医院</w:t>
            </w:r>
          </w:p>
        </w:tc>
        <w:tc>
          <w:tcPr>
            <w:tcW w:w="959" w:type="pct"/>
            <w:shd w:val="clear" w:color="auto" w:fill="auto"/>
            <w:vAlign w:val="center"/>
          </w:tcPr>
          <w:p w14:paraId="6D66F0C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237371F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379C7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7B3A7F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21</w:t>
            </w:r>
          </w:p>
        </w:tc>
        <w:tc>
          <w:tcPr>
            <w:tcW w:w="708" w:type="pct"/>
            <w:shd w:val="clear" w:color="auto" w:fill="auto"/>
            <w:vAlign w:val="center"/>
          </w:tcPr>
          <w:p w14:paraId="4D48CB4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H34017100651</w:t>
            </w:r>
          </w:p>
        </w:tc>
        <w:tc>
          <w:tcPr>
            <w:tcW w:w="1948" w:type="pct"/>
            <w:shd w:val="clear" w:color="auto" w:fill="auto"/>
            <w:vAlign w:val="center"/>
          </w:tcPr>
          <w:p w14:paraId="41F35CF8">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合肥高新心血管病医院</w:t>
            </w:r>
          </w:p>
        </w:tc>
        <w:tc>
          <w:tcPr>
            <w:tcW w:w="959" w:type="pct"/>
            <w:shd w:val="clear" w:color="auto" w:fill="auto"/>
            <w:vAlign w:val="center"/>
          </w:tcPr>
          <w:p w14:paraId="61530919">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169A72A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4D1A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796D36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22</w:t>
            </w:r>
          </w:p>
        </w:tc>
        <w:tc>
          <w:tcPr>
            <w:tcW w:w="708" w:type="pct"/>
            <w:shd w:val="clear" w:color="auto" w:fill="auto"/>
            <w:vAlign w:val="center"/>
          </w:tcPr>
          <w:p w14:paraId="1B85D39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H34010400768</w:t>
            </w:r>
          </w:p>
        </w:tc>
        <w:tc>
          <w:tcPr>
            <w:tcW w:w="1948" w:type="pct"/>
            <w:shd w:val="clear" w:color="auto" w:fill="auto"/>
            <w:vAlign w:val="center"/>
          </w:tcPr>
          <w:p w14:paraId="70850B5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合肥普瑞眼科医院</w:t>
            </w:r>
          </w:p>
        </w:tc>
        <w:tc>
          <w:tcPr>
            <w:tcW w:w="959" w:type="pct"/>
            <w:shd w:val="clear" w:color="auto" w:fill="auto"/>
            <w:vAlign w:val="center"/>
          </w:tcPr>
          <w:p w14:paraId="4282839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55F31D0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27CEC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22627F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23</w:t>
            </w:r>
          </w:p>
        </w:tc>
        <w:tc>
          <w:tcPr>
            <w:tcW w:w="708" w:type="pct"/>
            <w:shd w:val="clear" w:color="auto" w:fill="auto"/>
            <w:vAlign w:val="center"/>
          </w:tcPr>
          <w:p w14:paraId="3CF36B8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H34010300858</w:t>
            </w:r>
          </w:p>
        </w:tc>
        <w:tc>
          <w:tcPr>
            <w:tcW w:w="1948" w:type="pct"/>
            <w:shd w:val="clear" w:color="auto" w:fill="auto"/>
            <w:vAlign w:val="center"/>
          </w:tcPr>
          <w:p w14:paraId="689E108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合肥市口腔医院</w:t>
            </w:r>
          </w:p>
        </w:tc>
        <w:tc>
          <w:tcPr>
            <w:tcW w:w="959" w:type="pct"/>
            <w:shd w:val="clear" w:color="auto" w:fill="auto"/>
            <w:vAlign w:val="center"/>
          </w:tcPr>
          <w:p w14:paraId="32DE023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3948338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3869C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13B90A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24</w:t>
            </w:r>
          </w:p>
        </w:tc>
        <w:tc>
          <w:tcPr>
            <w:tcW w:w="708" w:type="pct"/>
            <w:shd w:val="clear" w:color="auto" w:fill="auto"/>
            <w:vAlign w:val="center"/>
          </w:tcPr>
          <w:p w14:paraId="24C1A2A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H34011103423</w:t>
            </w:r>
          </w:p>
        </w:tc>
        <w:tc>
          <w:tcPr>
            <w:tcW w:w="1948" w:type="pct"/>
            <w:shd w:val="clear" w:color="auto" w:fill="auto"/>
            <w:vAlign w:val="center"/>
          </w:tcPr>
          <w:p w14:paraId="1BA6393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安徽爱尔眼科医院</w:t>
            </w:r>
          </w:p>
        </w:tc>
        <w:tc>
          <w:tcPr>
            <w:tcW w:w="959" w:type="pct"/>
            <w:shd w:val="clear" w:color="auto" w:fill="auto"/>
            <w:vAlign w:val="center"/>
          </w:tcPr>
          <w:p w14:paraId="617CE0E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省市三级医疗机构</w:t>
            </w:r>
          </w:p>
        </w:tc>
        <w:tc>
          <w:tcPr>
            <w:tcW w:w="1076" w:type="pct"/>
            <w:shd w:val="clear" w:color="auto" w:fill="auto"/>
            <w:vAlign w:val="center"/>
          </w:tcPr>
          <w:p w14:paraId="26FABB9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0ED20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4913B7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25</w:t>
            </w:r>
          </w:p>
        </w:tc>
        <w:tc>
          <w:tcPr>
            <w:tcW w:w="708" w:type="pct"/>
            <w:shd w:val="clear" w:color="auto" w:fill="auto"/>
            <w:vAlign w:val="center"/>
          </w:tcPr>
          <w:p w14:paraId="5B97146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H34010400926</w:t>
            </w:r>
          </w:p>
        </w:tc>
        <w:tc>
          <w:tcPr>
            <w:tcW w:w="1948" w:type="pct"/>
            <w:shd w:val="clear" w:color="auto" w:fill="auto"/>
            <w:vAlign w:val="center"/>
          </w:tcPr>
          <w:p w14:paraId="1910E0F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安徽中医药大学第一附属医院</w:t>
            </w:r>
          </w:p>
        </w:tc>
        <w:tc>
          <w:tcPr>
            <w:tcW w:w="959" w:type="pct"/>
            <w:shd w:val="clear" w:color="auto" w:fill="auto"/>
            <w:vAlign w:val="center"/>
          </w:tcPr>
          <w:p w14:paraId="5900705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0E28D3C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3666F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2846FF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26</w:t>
            </w:r>
          </w:p>
        </w:tc>
        <w:tc>
          <w:tcPr>
            <w:tcW w:w="708" w:type="pct"/>
            <w:shd w:val="clear" w:color="auto" w:fill="auto"/>
            <w:vAlign w:val="center"/>
          </w:tcPr>
          <w:p w14:paraId="60160E4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H34010300006</w:t>
            </w:r>
          </w:p>
        </w:tc>
        <w:tc>
          <w:tcPr>
            <w:tcW w:w="1948" w:type="pct"/>
            <w:shd w:val="clear" w:color="auto" w:fill="auto"/>
            <w:vAlign w:val="center"/>
          </w:tcPr>
          <w:p w14:paraId="1F313CF8">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安徽中医药大学第二附属医院（安徽省针灸医院）</w:t>
            </w:r>
          </w:p>
        </w:tc>
        <w:tc>
          <w:tcPr>
            <w:tcW w:w="959" w:type="pct"/>
            <w:shd w:val="clear" w:color="auto" w:fill="auto"/>
            <w:vAlign w:val="center"/>
          </w:tcPr>
          <w:p w14:paraId="6058F7C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4A6C900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三级乙等及以上</w:t>
            </w:r>
          </w:p>
        </w:tc>
      </w:tr>
      <w:tr w14:paraId="3FFB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BC5D24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27</w:t>
            </w:r>
          </w:p>
        </w:tc>
        <w:tc>
          <w:tcPr>
            <w:tcW w:w="708" w:type="pct"/>
            <w:shd w:val="clear" w:color="auto" w:fill="auto"/>
            <w:vAlign w:val="center"/>
          </w:tcPr>
          <w:p w14:paraId="7FA8F7B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H34010403433</w:t>
            </w:r>
          </w:p>
        </w:tc>
        <w:tc>
          <w:tcPr>
            <w:tcW w:w="1948" w:type="pct"/>
            <w:shd w:val="clear" w:color="auto" w:fill="auto"/>
            <w:vAlign w:val="center"/>
          </w:tcPr>
          <w:p w14:paraId="4FE55F3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上海中医药大学附属曙光医院安徽医院安徽中医药大学第一附属医院（安徽省中医院）西区</w:t>
            </w:r>
          </w:p>
        </w:tc>
        <w:tc>
          <w:tcPr>
            <w:tcW w:w="959" w:type="pct"/>
            <w:shd w:val="clear" w:color="auto" w:fill="auto"/>
            <w:vAlign w:val="center"/>
          </w:tcPr>
          <w:p w14:paraId="16270D5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28EA6A3B">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14186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1956ED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28</w:t>
            </w:r>
          </w:p>
        </w:tc>
        <w:tc>
          <w:tcPr>
            <w:tcW w:w="708" w:type="pct"/>
            <w:shd w:val="clear" w:color="auto" w:fill="auto"/>
            <w:vAlign w:val="center"/>
          </w:tcPr>
          <w:p w14:paraId="711A9D4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H34010200119</w:t>
            </w:r>
          </w:p>
        </w:tc>
        <w:tc>
          <w:tcPr>
            <w:tcW w:w="1948" w:type="pct"/>
            <w:shd w:val="clear" w:color="auto" w:fill="auto"/>
            <w:vAlign w:val="center"/>
          </w:tcPr>
          <w:p w14:paraId="7C5CAC7E">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安徽静安中西医结合医院</w:t>
            </w:r>
          </w:p>
        </w:tc>
        <w:tc>
          <w:tcPr>
            <w:tcW w:w="959" w:type="pct"/>
            <w:shd w:val="clear" w:color="auto" w:fill="auto"/>
            <w:vAlign w:val="center"/>
          </w:tcPr>
          <w:p w14:paraId="4692EEB9">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3A9E587A">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5366E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96164E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29</w:t>
            </w:r>
          </w:p>
        </w:tc>
        <w:tc>
          <w:tcPr>
            <w:tcW w:w="708" w:type="pct"/>
            <w:shd w:val="clear" w:color="auto" w:fill="auto"/>
            <w:vAlign w:val="center"/>
          </w:tcPr>
          <w:p w14:paraId="2B26194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H34012400014</w:t>
            </w:r>
          </w:p>
        </w:tc>
        <w:tc>
          <w:tcPr>
            <w:tcW w:w="1948" w:type="pct"/>
            <w:shd w:val="clear" w:color="auto" w:fill="auto"/>
            <w:vAlign w:val="center"/>
          </w:tcPr>
          <w:p w14:paraId="3313B81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安徽省庐江县中医院</w:t>
            </w:r>
          </w:p>
        </w:tc>
        <w:tc>
          <w:tcPr>
            <w:tcW w:w="959" w:type="pct"/>
            <w:shd w:val="clear" w:color="auto" w:fill="auto"/>
            <w:vAlign w:val="center"/>
          </w:tcPr>
          <w:p w14:paraId="372717C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0959946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4D2DD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03A865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30</w:t>
            </w:r>
          </w:p>
        </w:tc>
        <w:tc>
          <w:tcPr>
            <w:tcW w:w="708" w:type="pct"/>
            <w:shd w:val="clear" w:color="auto" w:fill="auto"/>
            <w:vAlign w:val="center"/>
          </w:tcPr>
          <w:p w14:paraId="10D7541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H34012100707</w:t>
            </w:r>
          </w:p>
        </w:tc>
        <w:tc>
          <w:tcPr>
            <w:tcW w:w="1948" w:type="pct"/>
            <w:shd w:val="clear" w:color="auto" w:fill="auto"/>
            <w:vAlign w:val="center"/>
          </w:tcPr>
          <w:p w14:paraId="3DDF309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长丰县中医院</w:t>
            </w:r>
          </w:p>
        </w:tc>
        <w:tc>
          <w:tcPr>
            <w:tcW w:w="959" w:type="pct"/>
            <w:shd w:val="clear" w:color="auto" w:fill="auto"/>
            <w:vAlign w:val="center"/>
          </w:tcPr>
          <w:p w14:paraId="6F9A475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050482D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3AB0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FE455A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31</w:t>
            </w:r>
          </w:p>
        </w:tc>
        <w:tc>
          <w:tcPr>
            <w:tcW w:w="708" w:type="pct"/>
            <w:shd w:val="clear" w:color="auto" w:fill="auto"/>
            <w:vAlign w:val="center"/>
          </w:tcPr>
          <w:p w14:paraId="09F50E5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H34012300087</w:t>
            </w:r>
          </w:p>
        </w:tc>
        <w:tc>
          <w:tcPr>
            <w:tcW w:w="1948" w:type="pct"/>
            <w:shd w:val="clear" w:color="auto" w:fill="auto"/>
            <w:vAlign w:val="center"/>
          </w:tcPr>
          <w:p w14:paraId="774C90EE">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肥西县中医院</w:t>
            </w:r>
          </w:p>
        </w:tc>
        <w:tc>
          <w:tcPr>
            <w:tcW w:w="959" w:type="pct"/>
            <w:shd w:val="clear" w:color="auto" w:fill="auto"/>
            <w:vAlign w:val="center"/>
          </w:tcPr>
          <w:p w14:paraId="454C39A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63B716E7">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w:t>
            </w:r>
          </w:p>
        </w:tc>
      </w:tr>
      <w:tr w14:paraId="36CD0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61E8A3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32</w:t>
            </w:r>
          </w:p>
        </w:tc>
        <w:tc>
          <w:tcPr>
            <w:tcW w:w="708" w:type="pct"/>
            <w:shd w:val="clear" w:color="auto" w:fill="auto"/>
            <w:vAlign w:val="center"/>
          </w:tcPr>
          <w:p w14:paraId="10C0195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H34012200373</w:t>
            </w:r>
          </w:p>
        </w:tc>
        <w:tc>
          <w:tcPr>
            <w:tcW w:w="1948" w:type="pct"/>
            <w:shd w:val="clear" w:color="auto" w:fill="auto"/>
            <w:vAlign w:val="center"/>
          </w:tcPr>
          <w:p w14:paraId="134577F8">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肥东县中医医院</w:t>
            </w:r>
          </w:p>
        </w:tc>
        <w:tc>
          <w:tcPr>
            <w:tcW w:w="959" w:type="pct"/>
            <w:shd w:val="clear" w:color="auto" w:fill="auto"/>
            <w:vAlign w:val="center"/>
          </w:tcPr>
          <w:p w14:paraId="3CC1C37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74F8065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61C62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DCBA18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33</w:t>
            </w:r>
          </w:p>
        </w:tc>
        <w:tc>
          <w:tcPr>
            <w:tcW w:w="708" w:type="pct"/>
            <w:shd w:val="clear" w:color="auto" w:fill="auto"/>
            <w:vAlign w:val="center"/>
          </w:tcPr>
          <w:p w14:paraId="3AB5015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H34010300045</w:t>
            </w:r>
          </w:p>
        </w:tc>
        <w:tc>
          <w:tcPr>
            <w:tcW w:w="1948" w:type="pct"/>
            <w:shd w:val="clear" w:color="auto" w:fill="auto"/>
            <w:vAlign w:val="center"/>
          </w:tcPr>
          <w:p w14:paraId="7588BBC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安徽庐州中西医结合医院</w:t>
            </w:r>
          </w:p>
        </w:tc>
        <w:tc>
          <w:tcPr>
            <w:tcW w:w="959" w:type="pct"/>
            <w:shd w:val="clear" w:color="auto" w:fill="auto"/>
            <w:vAlign w:val="center"/>
          </w:tcPr>
          <w:p w14:paraId="7434935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1AEDB818">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15B7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56282B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34</w:t>
            </w:r>
          </w:p>
        </w:tc>
        <w:tc>
          <w:tcPr>
            <w:tcW w:w="708" w:type="pct"/>
            <w:shd w:val="clear" w:color="auto" w:fill="auto"/>
            <w:vAlign w:val="center"/>
          </w:tcPr>
          <w:p w14:paraId="6DDB83A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H34010400353</w:t>
            </w:r>
          </w:p>
        </w:tc>
        <w:tc>
          <w:tcPr>
            <w:tcW w:w="1948" w:type="pct"/>
            <w:shd w:val="clear" w:color="auto" w:fill="auto"/>
            <w:vAlign w:val="center"/>
          </w:tcPr>
          <w:p w14:paraId="41C58DE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合肥长淮中医医院</w:t>
            </w:r>
          </w:p>
        </w:tc>
        <w:tc>
          <w:tcPr>
            <w:tcW w:w="959" w:type="pct"/>
            <w:shd w:val="clear" w:color="auto" w:fill="auto"/>
            <w:vAlign w:val="center"/>
          </w:tcPr>
          <w:p w14:paraId="398E0C1F">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48E49CA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3FFB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11A2F6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35</w:t>
            </w:r>
          </w:p>
        </w:tc>
        <w:tc>
          <w:tcPr>
            <w:tcW w:w="708" w:type="pct"/>
            <w:shd w:val="clear" w:color="auto" w:fill="auto"/>
            <w:vAlign w:val="center"/>
          </w:tcPr>
          <w:p w14:paraId="2B942C6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H34017300057</w:t>
            </w:r>
          </w:p>
        </w:tc>
        <w:tc>
          <w:tcPr>
            <w:tcW w:w="1948" w:type="pct"/>
            <w:shd w:val="clear" w:color="auto" w:fill="auto"/>
            <w:vAlign w:val="center"/>
          </w:tcPr>
          <w:p w14:paraId="6491776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安徽新安中西医结合医院</w:t>
            </w:r>
          </w:p>
        </w:tc>
        <w:tc>
          <w:tcPr>
            <w:tcW w:w="959" w:type="pct"/>
            <w:shd w:val="clear" w:color="auto" w:fill="auto"/>
            <w:vAlign w:val="center"/>
          </w:tcPr>
          <w:p w14:paraId="11E63B4F">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0A5A147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239FD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333299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36</w:t>
            </w:r>
          </w:p>
        </w:tc>
        <w:tc>
          <w:tcPr>
            <w:tcW w:w="708" w:type="pct"/>
            <w:shd w:val="clear" w:color="auto" w:fill="auto"/>
            <w:vAlign w:val="center"/>
          </w:tcPr>
          <w:p w14:paraId="47DAC27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H34010200098</w:t>
            </w:r>
          </w:p>
        </w:tc>
        <w:tc>
          <w:tcPr>
            <w:tcW w:w="1948" w:type="pct"/>
            <w:shd w:val="clear" w:color="auto" w:fill="auto"/>
            <w:vAlign w:val="center"/>
          </w:tcPr>
          <w:p w14:paraId="76E3B46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合肥康安中医医院</w:t>
            </w:r>
          </w:p>
        </w:tc>
        <w:tc>
          <w:tcPr>
            <w:tcW w:w="959" w:type="pct"/>
            <w:shd w:val="clear" w:color="auto" w:fill="auto"/>
            <w:vAlign w:val="center"/>
          </w:tcPr>
          <w:p w14:paraId="727C67A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51B1D6B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398B7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8854DE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37</w:t>
            </w:r>
          </w:p>
        </w:tc>
        <w:tc>
          <w:tcPr>
            <w:tcW w:w="708" w:type="pct"/>
            <w:shd w:val="clear" w:color="auto" w:fill="auto"/>
            <w:vAlign w:val="center"/>
          </w:tcPr>
          <w:p w14:paraId="0E38FC8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H34012101229</w:t>
            </w:r>
          </w:p>
        </w:tc>
        <w:tc>
          <w:tcPr>
            <w:tcW w:w="1948" w:type="pct"/>
            <w:shd w:val="clear" w:color="auto" w:fill="auto"/>
            <w:vAlign w:val="center"/>
          </w:tcPr>
          <w:p w14:paraId="74FBED1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长丰北城中西医结合医院</w:t>
            </w:r>
          </w:p>
        </w:tc>
        <w:tc>
          <w:tcPr>
            <w:tcW w:w="959" w:type="pct"/>
            <w:shd w:val="clear" w:color="auto" w:fill="auto"/>
            <w:vAlign w:val="center"/>
          </w:tcPr>
          <w:p w14:paraId="6B604CD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7946AA2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097F4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C4127B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38</w:t>
            </w:r>
          </w:p>
        </w:tc>
        <w:tc>
          <w:tcPr>
            <w:tcW w:w="708" w:type="pct"/>
            <w:shd w:val="clear" w:color="auto" w:fill="auto"/>
            <w:vAlign w:val="center"/>
          </w:tcPr>
          <w:p w14:paraId="6E3FE0A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H34012400571</w:t>
            </w:r>
          </w:p>
        </w:tc>
        <w:tc>
          <w:tcPr>
            <w:tcW w:w="1948" w:type="pct"/>
            <w:shd w:val="clear" w:color="auto" w:fill="auto"/>
            <w:vAlign w:val="center"/>
          </w:tcPr>
          <w:p w14:paraId="53C8C97E">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庐江友好中西医结合医院</w:t>
            </w:r>
          </w:p>
        </w:tc>
        <w:tc>
          <w:tcPr>
            <w:tcW w:w="959" w:type="pct"/>
            <w:shd w:val="clear" w:color="auto" w:fill="auto"/>
            <w:vAlign w:val="center"/>
          </w:tcPr>
          <w:p w14:paraId="4E2F12C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3827F97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1BA2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662225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39</w:t>
            </w:r>
          </w:p>
        </w:tc>
        <w:tc>
          <w:tcPr>
            <w:tcW w:w="708" w:type="pct"/>
            <w:shd w:val="clear" w:color="auto" w:fill="auto"/>
            <w:vAlign w:val="center"/>
          </w:tcPr>
          <w:p w14:paraId="4A0F6EB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H34012102792</w:t>
            </w:r>
          </w:p>
        </w:tc>
        <w:tc>
          <w:tcPr>
            <w:tcW w:w="1948" w:type="pct"/>
            <w:shd w:val="clear" w:color="auto" w:fill="auto"/>
            <w:vAlign w:val="center"/>
          </w:tcPr>
          <w:p w14:paraId="4ED79DA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长丰北城广安中医院</w:t>
            </w:r>
          </w:p>
        </w:tc>
        <w:tc>
          <w:tcPr>
            <w:tcW w:w="959" w:type="pct"/>
            <w:shd w:val="clear" w:color="auto" w:fill="auto"/>
            <w:vAlign w:val="center"/>
          </w:tcPr>
          <w:p w14:paraId="2DA4914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6646A39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F4AC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0C1026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40</w:t>
            </w:r>
          </w:p>
        </w:tc>
        <w:tc>
          <w:tcPr>
            <w:tcW w:w="708" w:type="pct"/>
            <w:shd w:val="clear" w:color="auto" w:fill="auto"/>
            <w:vAlign w:val="center"/>
          </w:tcPr>
          <w:p w14:paraId="5444B81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H34017200589</w:t>
            </w:r>
          </w:p>
        </w:tc>
        <w:tc>
          <w:tcPr>
            <w:tcW w:w="1948" w:type="pct"/>
            <w:shd w:val="clear" w:color="auto" w:fill="auto"/>
            <w:vAlign w:val="center"/>
          </w:tcPr>
          <w:p w14:paraId="6A66A57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合肥东南中医院</w:t>
            </w:r>
          </w:p>
        </w:tc>
        <w:tc>
          <w:tcPr>
            <w:tcW w:w="959" w:type="pct"/>
            <w:shd w:val="clear" w:color="auto" w:fill="auto"/>
            <w:vAlign w:val="center"/>
          </w:tcPr>
          <w:p w14:paraId="7722D619">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4B9DB4E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0B0D7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ECE5F9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41</w:t>
            </w:r>
          </w:p>
        </w:tc>
        <w:tc>
          <w:tcPr>
            <w:tcW w:w="708" w:type="pct"/>
            <w:shd w:val="clear" w:color="auto" w:fill="auto"/>
            <w:vAlign w:val="center"/>
          </w:tcPr>
          <w:p w14:paraId="02A4DA6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H34011101154</w:t>
            </w:r>
          </w:p>
        </w:tc>
        <w:tc>
          <w:tcPr>
            <w:tcW w:w="1948" w:type="pct"/>
            <w:shd w:val="clear" w:color="auto" w:fill="auto"/>
            <w:vAlign w:val="center"/>
          </w:tcPr>
          <w:p w14:paraId="061232C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合肥仁爱中医医院</w:t>
            </w:r>
          </w:p>
        </w:tc>
        <w:tc>
          <w:tcPr>
            <w:tcW w:w="959" w:type="pct"/>
            <w:shd w:val="clear" w:color="auto" w:fill="auto"/>
            <w:vAlign w:val="center"/>
          </w:tcPr>
          <w:p w14:paraId="18785B9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687D0AEB">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3FE72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9F1051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42</w:t>
            </w:r>
          </w:p>
        </w:tc>
        <w:tc>
          <w:tcPr>
            <w:tcW w:w="708" w:type="pct"/>
            <w:shd w:val="clear" w:color="auto" w:fill="auto"/>
            <w:vAlign w:val="center"/>
          </w:tcPr>
          <w:p w14:paraId="4BBE63E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H34010400936</w:t>
            </w:r>
          </w:p>
        </w:tc>
        <w:tc>
          <w:tcPr>
            <w:tcW w:w="1948" w:type="pct"/>
            <w:shd w:val="clear" w:color="auto" w:fill="auto"/>
            <w:vAlign w:val="center"/>
          </w:tcPr>
          <w:p w14:paraId="2BB4D37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合肥光明中西医结合医院</w:t>
            </w:r>
          </w:p>
        </w:tc>
        <w:tc>
          <w:tcPr>
            <w:tcW w:w="959" w:type="pct"/>
            <w:shd w:val="clear" w:color="auto" w:fill="auto"/>
            <w:vAlign w:val="center"/>
          </w:tcPr>
          <w:p w14:paraId="1A89538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7B7A3717">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65E1E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BB7839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43</w:t>
            </w:r>
          </w:p>
        </w:tc>
        <w:tc>
          <w:tcPr>
            <w:tcW w:w="708" w:type="pct"/>
            <w:shd w:val="clear" w:color="auto" w:fill="auto"/>
            <w:vAlign w:val="center"/>
          </w:tcPr>
          <w:p w14:paraId="5553FDC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H34012303528</w:t>
            </w:r>
          </w:p>
        </w:tc>
        <w:tc>
          <w:tcPr>
            <w:tcW w:w="1948" w:type="pct"/>
            <w:shd w:val="clear" w:color="auto" w:fill="auto"/>
            <w:vAlign w:val="center"/>
          </w:tcPr>
          <w:p w14:paraId="235EB30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儒阳中医医院</w:t>
            </w:r>
          </w:p>
        </w:tc>
        <w:tc>
          <w:tcPr>
            <w:tcW w:w="959" w:type="pct"/>
            <w:shd w:val="clear" w:color="auto" w:fill="auto"/>
            <w:vAlign w:val="center"/>
          </w:tcPr>
          <w:p w14:paraId="3E91690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中医医疗机构</w:t>
            </w:r>
          </w:p>
        </w:tc>
        <w:tc>
          <w:tcPr>
            <w:tcW w:w="1076" w:type="pct"/>
            <w:shd w:val="clear" w:color="auto" w:fill="auto"/>
            <w:vAlign w:val="center"/>
          </w:tcPr>
          <w:p w14:paraId="148D808A">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10931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08A635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44</w:t>
            </w:r>
          </w:p>
        </w:tc>
        <w:tc>
          <w:tcPr>
            <w:tcW w:w="708" w:type="pct"/>
            <w:shd w:val="clear" w:color="auto" w:fill="auto"/>
            <w:vAlign w:val="center"/>
          </w:tcPr>
          <w:p w14:paraId="33BD51E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H34012400643</w:t>
            </w:r>
          </w:p>
        </w:tc>
        <w:tc>
          <w:tcPr>
            <w:tcW w:w="1948" w:type="pct"/>
            <w:shd w:val="clear" w:color="auto" w:fill="auto"/>
            <w:vAlign w:val="center"/>
          </w:tcPr>
          <w:p w14:paraId="5B97D9A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安徽省庐江县人民医院</w:t>
            </w:r>
          </w:p>
        </w:tc>
        <w:tc>
          <w:tcPr>
            <w:tcW w:w="959" w:type="pct"/>
            <w:shd w:val="clear" w:color="auto" w:fill="auto"/>
            <w:vAlign w:val="center"/>
          </w:tcPr>
          <w:p w14:paraId="143DDCE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170F719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56382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5E9F27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45</w:t>
            </w:r>
          </w:p>
        </w:tc>
        <w:tc>
          <w:tcPr>
            <w:tcW w:w="708" w:type="pct"/>
            <w:shd w:val="clear" w:color="auto" w:fill="auto"/>
            <w:vAlign w:val="center"/>
          </w:tcPr>
          <w:p w14:paraId="2A16595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H34012200058</w:t>
            </w:r>
          </w:p>
        </w:tc>
        <w:tc>
          <w:tcPr>
            <w:tcW w:w="1948" w:type="pct"/>
            <w:shd w:val="clear" w:color="auto" w:fill="auto"/>
            <w:vAlign w:val="center"/>
          </w:tcPr>
          <w:p w14:paraId="71991A3E">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肥东县人民医院</w:t>
            </w:r>
          </w:p>
        </w:tc>
        <w:tc>
          <w:tcPr>
            <w:tcW w:w="959" w:type="pct"/>
            <w:shd w:val="clear" w:color="auto" w:fill="auto"/>
            <w:vAlign w:val="center"/>
          </w:tcPr>
          <w:p w14:paraId="2AEFCD3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33FB55D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三级未定等级</w:t>
            </w:r>
          </w:p>
        </w:tc>
      </w:tr>
      <w:tr w14:paraId="096D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18F9BE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46</w:t>
            </w:r>
          </w:p>
        </w:tc>
        <w:tc>
          <w:tcPr>
            <w:tcW w:w="708" w:type="pct"/>
            <w:shd w:val="clear" w:color="auto" w:fill="auto"/>
            <w:vAlign w:val="center"/>
          </w:tcPr>
          <w:p w14:paraId="3CE84B9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H34012100735</w:t>
            </w:r>
          </w:p>
        </w:tc>
        <w:tc>
          <w:tcPr>
            <w:tcW w:w="1948" w:type="pct"/>
            <w:shd w:val="clear" w:color="auto" w:fill="auto"/>
            <w:vAlign w:val="center"/>
          </w:tcPr>
          <w:p w14:paraId="6D54ED8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长丰县人民医院</w:t>
            </w:r>
          </w:p>
        </w:tc>
        <w:tc>
          <w:tcPr>
            <w:tcW w:w="959" w:type="pct"/>
            <w:shd w:val="clear" w:color="auto" w:fill="auto"/>
            <w:vAlign w:val="center"/>
          </w:tcPr>
          <w:p w14:paraId="0A3495B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3DBBA88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94C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9CA527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47</w:t>
            </w:r>
          </w:p>
        </w:tc>
        <w:tc>
          <w:tcPr>
            <w:tcW w:w="708" w:type="pct"/>
            <w:shd w:val="clear" w:color="auto" w:fill="auto"/>
            <w:vAlign w:val="center"/>
          </w:tcPr>
          <w:p w14:paraId="6079BF4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H34018100125</w:t>
            </w:r>
          </w:p>
        </w:tc>
        <w:tc>
          <w:tcPr>
            <w:tcW w:w="1948" w:type="pct"/>
            <w:shd w:val="clear" w:color="auto" w:fill="auto"/>
            <w:vAlign w:val="center"/>
          </w:tcPr>
          <w:p w14:paraId="12AC2CA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合肥巢湖爱心医院</w:t>
            </w:r>
          </w:p>
        </w:tc>
        <w:tc>
          <w:tcPr>
            <w:tcW w:w="959" w:type="pct"/>
            <w:shd w:val="clear" w:color="auto" w:fill="auto"/>
            <w:vAlign w:val="center"/>
          </w:tcPr>
          <w:p w14:paraId="3E59AED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A917B0A">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00E6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C74BDF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48</w:t>
            </w:r>
          </w:p>
        </w:tc>
        <w:tc>
          <w:tcPr>
            <w:tcW w:w="708" w:type="pct"/>
            <w:shd w:val="clear" w:color="auto" w:fill="auto"/>
            <w:vAlign w:val="center"/>
          </w:tcPr>
          <w:p w14:paraId="577EC9C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H34011100003</w:t>
            </w:r>
          </w:p>
        </w:tc>
        <w:tc>
          <w:tcPr>
            <w:tcW w:w="1948" w:type="pct"/>
            <w:shd w:val="clear" w:color="auto" w:fill="auto"/>
            <w:vAlign w:val="center"/>
          </w:tcPr>
          <w:p w14:paraId="37F1D23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国药中铁中心医院</w:t>
            </w:r>
          </w:p>
        </w:tc>
        <w:tc>
          <w:tcPr>
            <w:tcW w:w="959" w:type="pct"/>
            <w:shd w:val="clear" w:color="auto" w:fill="auto"/>
            <w:vAlign w:val="center"/>
          </w:tcPr>
          <w:p w14:paraId="67FFC6F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E42228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5E25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16DCB4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49</w:t>
            </w:r>
          </w:p>
        </w:tc>
        <w:tc>
          <w:tcPr>
            <w:tcW w:w="708" w:type="pct"/>
            <w:shd w:val="clear" w:color="auto" w:fill="auto"/>
            <w:vAlign w:val="center"/>
          </w:tcPr>
          <w:p w14:paraId="45004E2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H34017100340</w:t>
            </w:r>
          </w:p>
        </w:tc>
        <w:tc>
          <w:tcPr>
            <w:tcW w:w="1948" w:type="pct"/>
            <w:shd w:val="clear" w:color="auto" w:fill="auto"/>
            <w:vAlign w:val="center"/>
          </w:tcPr>
          <w:p w14:paraId="20337CF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合肥金色童年儿童医院</w:t>
            </w:r>
          </w:p>
        </w:tc>
        <w:tc>
          <w:tcPr>
            <w:tcW w:w="959" w:type="pct"/>
            <w:shd w:val="clear" w:color="auto" w:fill="auto"/>
            <w:vAlign w:val="center"/>
          </w:tcPr>
          <w:p w14:paraId="7F6C839F">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FB7081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6387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5C6C8B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50</w:t>
            </w:r>
          </w:p>
        </w:tc>
        <w:tc>
          <w:tcPr>
            <w:tcW w:w="708" w:type="pct"/>
            <w:shd w:val="clear" w:color="auto" w:fill="auto"/>
            <w:vAlign w:val="center"/>
          </w:tcPr>
          <w:p w14:paraId="6934DF2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H34018100203</w:t>
            </w:r>
          </w:p>
        </w:tc>
        <w:tc>
          <w:tcPr>
            <w:tcW w:w="1948" w:type="pct"/>
            <w:shd w:val="clear" w:color="auto" w:fill="auto"/>
            <w:vAlign w:val="center"/>
          </w:tcPr>
          <w:p w14:paraId="256D606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合肥市骨科医院</w:t>
            </w:r>
          </w:p>
        </w:tc>
        <w:tc>
          <w:tcPr>
            <w:tcW w:w="959" w:type="pct"/>
            <w:shd w:val="clear" w:color="auto" w:fill="auto"/>
            <w:vAlign w:val="center"/>
          </w:tcPr>
          <w:p w14:paraId="243D0F5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3A686B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A4C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2F5D58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51</w:t>
            </w:r>
          </w:p>
        </w:tc>
        <w:tc>
          <w:tcPr>
            <w:tcW w:w="708" w:type="pct"/>
            <w:shd w:val="clear" w:color="auto" w:fill="auto"/>
            <w:vAlign w:val="center"/>
          </w:tcPr>
          <w:p w14:paraId="432080C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H34010402684</w:t>
            </w:r>
          </w:p>
        </w:tc>
        <w:tc>
          <w:tcPr>
            <w:tcW w:w="1948" w:type="pct"/>
            <w:shd w:val="clear" w:color="auto" w:fill="auto"/>
            <w:vAlign w:val="center"/>
          </w:tcPr>
          <w:p w14:paraId="45EE87A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合肥经开普仁外科医院</w:t>
            </w:r>
          </w:p>
        </w:tc>
        <w:tc>
          <w:tcPr>
            <w:tcW w:w="959" w:type="pct"/>
            <w:shd w:val="clear" w:color="auto" w:fill="auto"/>
            <w:vAlign w:val="center"/>
          </w:tcPr>
          <w:p w14:paraId="6345B40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594FC94">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606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580213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52</w:t>
            </w:r>
          </w:p>
        </w:tc>
        <w:tc>
          <w:tcPr>
            <w:tcW w:w="708" w:type="pct"/>
            <w:shd w:val="clear" w:color="auto" w:fill="auto"/>
            <w:vAlign w:val="center"/>
          </w:tcPr>
          <w:p w14:paraId="2E6B781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H34010300084</w:t>
            </w:r>
          </w:p>
        </w:tc>
        <w:tc>
          <w:tcPr>
            <w:tcW w:w="1948" w:type="pct"/>
            <w:shd w:val="clear" w:color="auto" w:fill="auto"/>
            <w:vAlign w:val="center"/>
          </w:tcPr>
          <w:p w14:paraId="435956A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安徽中医药大学神经病学研究所附属医院</w:t>
            </w:r>
          </w:p>
        </w:tc>
        <w:tc>
          <w:tcPr>
            <w:tcW w:w="959" w:type="pct"/>
            <w:shd w:val="clear" w:color="auto" w:fill="auto"/>
            <w:vAlign w:val="center"/>
          </w:tcPr>
          <w:p w14:paraId="60670E3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59BC3D8">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6F90C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74BC33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53</w:t>
            </w:r>
          </w:p>
        </w:tc>
        <w:tc>
          <w:tcPr>
            <w:tcW w:w="708" w:type="pct"/>
            <w:shd w:val="clear" w:color="auto" w:fill="auto"/>
            <w:vAlign w:val="center"/>
          </w:tcPr>
          <w:p w14:paraId="7C96ABE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H34010300454</w:t>
            </w:r>
          </w:p>
        </w:tc>
        <w:tc>
          <w:tcPr>
            <w:tcW w:w="1948" w:type="pct"/>
            <w:shd w:val="clear" w:color="auto" w:fill="auto"/>
            <w:vAlign w:val="center"/>
          </w:tcPr>
          <w:p w14:paraId="37C64E3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安徽合肥东南外科医院</w:t>
            </w:r>
          </w:p>
        </w:tc>
        <w:tc>
          <w:tcPr>
            <w:tcW w:w="959" w:type="pct"/>
            <w:shd w:val="clear" w:color="auto" w:fill="auto"/>
            <w:vAlign w:val="center"/>
          </w:tcPr>
          <w:p w14:paraId="3F21D75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0D765F54">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67C2C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1E99B4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54</w:t>
            </w:r>
          </w:p>
        </w:tc>
        <w:tc>
          <w:tcPr>
            <w:tcW w:w="708" w:type="pct"/>
            <w:shd w:val="clear" w:color="auto" w:fill="auto"/>
            <w:vAlign w:val="center"/>
          </w:tcPr>
          <w:p w14:paraId="29A7EB9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H34014102688</w:t>
            </w:r>
          </w:p>
        </w:tc>
        <w:tc>
          <w:tcPr>
            <w:tcW w:w="1948" w:type="pct"/>
            <w:shd w:val="clear" w:color="auto" w:fill="auto"/>
            <w:vAlign w:val="center"/>
          </w:tcPr>
          <w:p w14:paraId="2E46E848">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合肥金楠肾病专科医院</w:t>
            </w:r>
          </w:p>
        </w:tc>
        <w:tc>
          <w:tcPr>
            <w:tcW w:w="959" w:type="pct"/>
            <w:shd w:val="clear" w:color="auto" w:fill="auto"/>
            <w:vAlign w:val="center"/>
          </w:tcPr>
          <w:p w14:paraId="780A20CD">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799595A">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514F0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ADF103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55</w:t>
            </w:r>
          </w:p>
        </w:tc>
        <w:tc>
          <w:tcPr>
            <w:tcW w:w="708" w:type="pct"/>
            <w:shd w:val="clear" w:color="auto" w:fill="auto"/>
            <w:vAlign w:val="center"/>
          </w:tcPr>
          <w:p w14:paraId="43391FE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H34010300513</w:t>
            </w:r>
          </w:p>
        </w:tc>
        <w:tc>
          <w:tcPr>
            <w:tcW w:w="1948" w:type="pct"/>
            <w:shd w:val="clear" w:color="auto" w:fill="auto"/>
            <w:vAlign w:val="center"/>
          </w:tcPr>
          <w:p w14:paraId="61921F08">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合肥佰惠医院</w:t>
            </w:r>
          </w:p>
        </w:tc>
        <w:tc>
          <w:tcPr>
            <w:tcW w:w="959" w:type="pct"/>
            <w:shd w:val="clear" w:color="auto" w:fill="auto"/>
            <w:vAlign w:val="center"/>
          </w:tcPr>
          <w:p w14:paraId="49ADBC7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1DCC802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F23B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6BE528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56</w:t>
            </w:r>
          </w:p>
        </w:tc>
        <w:tc>
          <w:tcPr>
            <w:tcW w:w="708" w:type="pct"/>
            <w:shd w:val="clear" w:color="auto" w:fill="auto"/>
            <w:vAlign w:val="center"/>
          </w:tcPr>
          <w:p w14:paraId="7D3927E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H34012401280</w:t>
            </w:r>
          </w:p>
        </w:tc>
        <w:tc>
          <w:tcPr>
            <w:tcW w:w="1948" w:type="pct"/>
            <w:shd w:val="clear" w:color="auto" w:fill="auto"/>
            <w:vAlign w:val="center"/>
          </w:tcPr>
          <w:p w14:paraId="224BE40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庐江颐天微创医院</w:t>
            </w:r>
          </w:p>
        </w:tc>
        <w:tc>
          <w:tcPr>
            <w:tcW w:w="959" w:type="pct"/>
            <w:shd w:val="clear" w:color="auto" w:fill="auto"/>
            <w:vAlign w:val="center"/>
          </w:tcPr>
          <w:p w14:paraId="53E4E64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11200BC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102B2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0B167E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57</w:t>
            </w:r>
          </w:p>
        </w:tc>
        <w:tc>
          <w:tcPr>
            <w:tcW w:w="708" w:type="pct"/>
            <w:shd w:val="clear" w:color="auto" w:fill="auto"/>
            <w:vAlign w:val="center"/>
          </w:tcPr>
          <w:p w14:paraId="5B41B81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H34010200537</w:t>
            </w:r>
          </w:p>
        </w:tc>
        <w:tc>
          <w:tcPr>
            <w:tcW w:w="1948" w:type="pct"/>
            <w:shd w:val="clear" w:color="auto" w:fill="auto"/>
            <w:vAlign w:val="center"/>
          </w:tcPr>
          <w:p w14:paraId="07EB568E">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安徽中医药临床研究中心附属医院</w:t>
            </w:r>
          </w:p>
        </w:tc>
        <w:tc>
          <w:tcPr>
            <w:tcW w:w="959" w:type="pct"/>
            <w:shd w:val="clear" w:color="auto" w:fill="auto"/>
            <w:vAlign w:val="center"/>
          </w:tcPr>
          <w:p w14:paraId="1CCB1D2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3771AA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1A91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000F8E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58</w:t>
            </w:r>
          </w:p>
        </w:tc>
        <w:tc>
          <w:tcPr>
            <w:tcW w:w="708" w:type="pct"/>
            <w:shd w:val="clear" w:color="auto" w:fill="auto"/>
            <w:vAlign w:val="center"/>
          </w:tcPr>
          <w:p w14:paraId="081CDC9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H34017300365</w:t>
            </w:r>
          </w:p>
        </w:tc>
        <w:tc>
          <w:tcPr>
            <w:tcW w:w="1948" w:type="pct"/>
            <w:shd w:val="clear" w:color="auto" w:fill="auto"/>
            <w:vAlign w:val="center"/>
          </w:tcPr>
          <w:p w14:paraId="595F771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合肥康华康复医院</w:t>
            </w:r>
          </w:p>
        </w:tc>
        <w:tc>
          <w:tcPr>
            <w:tcW w:w="959" w:type="pct"/>
            <w:shd w:val="clear" w:color="auto" w:fill="auto"/>
            <w:vAlign w:val="center"/>
          </w:tcPr>
          <w:p w14:paraId="1F55E81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8D1AD6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2C04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1B4D30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59</w:t>
            </w:r>
          </w:p>
        </w:tc>
        <w:tc>
          <w:tcPr>
            <w:tcW w:w="708" w:type="pct"/>
            <w:shd w:val="clear" w:color="auto" w:fill="auto"/>
            <w:vAlign w:val="center"/>
          </w:tcPr>
          <w:p w14:paraId="36DAD89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H34010300711</w:t>
            </w:r>
          </w:p>
        </w:tc>
        <w:tc>
          <w:tcPr>
            <w:tcW w:w="1948" w:type="pct"/>
            <w:shd w:val="clear" w:color="auto" w:fill="auto"/>
            <w:vAlign w:val="center"/>
          </w:tcPr>
          <w:p w14:paraId="1D02E8D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合肥新民康复医院</w:t>
            </w:r>
          </w:p>
        </w:tc>
        <w:tc>
          <w:tcPr>
            <w:tcW w:w="959" w:type="pct"/>
            <w:shd w:val="clear" w:color="auto" w:fill="auto"/>
            <w:vAlign w:val="center"/>
          </w:tcPr>
          <w:p w14:paraId="410E2AD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BDAEC7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04199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3370EB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60</w:t>
            </w:r>
          </w:p>
        </w:tc>
        <w:tc>
          <w:tcPr>
            <w:tcW w:w="708" w:type="pct"/>
            <w:shd w:val="clear" w:color="auto" w:fill="auto"/>
            <w:vAlign w:val="center"/>
          </w:tcPr>
          <w:p w14:paraId="6146047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H34011100170</w:t>
            </w:r>
          </w:p>
        </w:tc>
        <w:tc>
          <w:tcPr>
            <w:tcW w:w="1948" w:type="pct"/>
            <w:shd w:val="clear" w:color="auto" w:fill="auto"/>
            <w:vAlign w:val="center"/>
          </w:tcPr>
          <w:p w14:paraId="514AAF1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合肥友好医院</w:t>
            </w:r>
          </w:p>
        </w:tc>
        <w:tc>
          <w:tcPr>
            <w:tcW w:w="959" w:type="pct"/>
            <w:shd w:val="clear" w:color="auto" w:fill="auto"/>
            <w:vAlign w:val="center"/>
          </w:tcPr>
          <w:p w14:paraId="2E70A82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0422183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5F0DC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F55687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61</w:t>
            </w:r>
          </w:p>
        </w:tc>
        <w:tc>
          <w:tcPr>
            <w:tcW w:w="708" w:type="pct"/>
            <w:shd w:val="clear" w:color="auto" w:fill="auto"/>
            <w:vAlign w:val="center"/>
          </w:tcPr>
          <w:p w14:paraId="141C485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H34017200193</w:t>
            </w:r>
          </w:p>
        </w:tc>
        <w:tc>
          <w:tcPr>
            <w:tcW w:w="1948" w:type="pct"/>
            <w:shd w:val="clear" w:color="auto" w:fill="auto"/>
            <w:vAlign w:val="center"/>
          </w:tcPr>
          <w:p w14:paraId="0C1B056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合肥瑞康骨科医院</w:t>
            </w:r>
          </w:p>
        </w:tc>
        <w:tc>
          <w:tcPr>
            <w:tcW w:w="959" w:type="pct"/>
            <w:shd w:val="clear" w:color="auto" w:fill="auto"/>
            <w:vAlign w:val="center"/>
          </w:tcPr>
          <w:p w14:paraId="3531651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517E5357">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05EB7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C7108F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62</w:t>
            </w:r>
          </w:p>
        </w:tc>
        <w:tc>
          <w:tcPr>
            <w:tcW w:w="708" w:type="pct"/>
            <w:shd w:val="clear" w:color="auto" w:fill="auto"/>
            <w:vAlign w:val="center"/>
          </w:tcPr>
          <w:p w14:paraId="0C327CD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H34010200168</w:t>
            </w:r>
          </w:p>
        </w:tc>
        <w:tc>
          <w:tcPr>
            <w:tcW w:w="1948" w:type="pct"/>
            <w:shd w:val="clear" w:color="auto" w:fill="auto"/>
            <w:vAlign w:val="center"/>
          </w:tcPr>
          <w:p w14:paraId="0F01024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通用环球合肥康复医院</w:t>
            </w:r>
          </w:p>
        </w:tc>
        <w:tc>
          <w:tcPr>
            <w:tcW w:w="959" w:type="pct"/>
            <w:shd w:val="clear" w:color="auto" w:fill="auto"/>
            <w:vAlign w:val="center"/>
          </w:tcPr>
          <w:p w14:paraId="2E60A19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5AEA643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69D3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0CFBFC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63</w:t>
            </w:r>
          </w:p>
        </w:tc>
        <w:tc>
          <w:tcPr>
            <w:tcW w:w="708" w:type="pct"/>
            <w:shd w:val="clear" w:color="auto" w:fill="auto"/>
            <w:vAlign w:val="center"/>
          </w:tcPr>
          <w:p w14:paraId="589F39B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H34010200304</w:t>
            </w:r>
          </w:p>
        </w:tc>
        <w:tc>
          <w:tcPr>
            <w:tcW w:w="1948" w:type="pct"/>
            <w:shd w:val="clear" w:color="auto" w:fill="auto"/>
            <w:vAlign w:val="center"/>
          </w:tcPr>
          <w:p w14:paraId="0514334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合肥中山医院</w:t>
            </w:r>
          </w:p>
        </w:tc>
        <w:tc>
          <w:tcPr>
            <w:tcW w:w="959" w:type="pct"/>
            <w:shd w:val="clear" w:color="auto" w:fill="auto"/>
            <w:vAlign w:val="center"/>
          </w:tcPr>
          <w:p w14:paraId="16EA6F9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6A7E794">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01F4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5121BB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64</w:t>
            </w:r>
          </w:p>
        </w:tc>
        <w:tc>
          <w:tcPr>
            <w:tcW w:w="708" w:type="pct"/>
            <w:shd w:val="clear" w:color="auto" w:fill="auto"/>
            <w:vAlign w:val="center"/>
          </w:tcPr>
          <w:p w14:paraId="603A9E6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H34012200186</w:t>
            </w:r>
          </w:p>
        </w:tc>
        <w:tc>
          <w:tcPr>
            <w:tcW w:w="1948" w:type="pct"/>
            <w:shd w:val="clear" w:color="auto" w:fill="auto"/>
            <w:vAlign w:val="center"/>
          </w:tcPr>
          <w:p w14:paraId="4C2715F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肥东县古城镇中心卫生院</w:t>
            </w:r>
          </w:p>
        </w:tc>
        <w:tc>
          <w:tcPr>
            <w:tcW w:w="959" w:type="pct"/>
            <w:shd w:val="clear" w:color="auto" w:fill="auto"/>
            <w:vAlign w:val="center"/>
          </w:tcPr>
          <w:p w14:paraId="4F5B8B7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157489D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A7D6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D3E38A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65</w:t>
            </w:r>
          </w:p>
        </w:tc>
        <w:tc>
          <w:tcPr>
            <w:tcW w:w="708" w:type="pct"/>
            <w:shd w:val="clear" w:color="auto" w:fill="auto"/>
            <w:vAlign w:val="center"/>
          </w:tcPr>
          <w:p w14:paraId="0F4FDCB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H34010200202</w:t>
            </w:r>
          </w:p>
        </w:tc>
        <w:tc>
          <w:tcPr>
            <w:tcW w:w="1948" w:type="pct"/>
            <w:shd w:val="clear" w:color="auto" w:fill="auto"/>
            <w:vAlign w:val="center"/>
          </w:tcPr>
          <w:p w14:paraId="1D4B2BF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合肥东南骨科医院</w:t>
            </w:r>
          </w:p>
        </w:tc>
        <w:tc>
          <w:tcPr>
            <w:tcW w:w="959" w:type="pct"/>
            <w:shd w:val="clear" w:color="auto" w:fill="auto"/>
            <w:vAlign w:val="center"/>
          </w:tcPr>
          <w:p w14:paraId="2ED30B0D">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EDBC1D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24887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5D87E7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66</w:t>
            </w:r>
          </w:p>
        </w:tc>
        <w:tc>
          <w:tcPr>
            <w:tcW w:w="708" w:type="pct"/>
            <w:shd w:val="clear" w:color="auto" w:fill="auto"/>
            <w:vAlign w:val="center"/>
          </w:tcPr>
          <w:p w14:paraId="0DB4560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H34011100120</w:t>
            </w:r>
          </w:p>
        </w:tc>
        <w:tc>
          <w:tcPr>
            <w:tcW w:w="1948" w:type="pct"/>
            <w:shd w:val="clear" w:color="auto" w:fill="auto"/>
            <w:vAlign w:val="center"/>
          </w:tcPr>
          <w:p w14:paraId="4B9D0B1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合肥长庚医院</w:t>
            </w:r>
          </w:p>
        </w:tc>
        <w:tc>
          <w:tcPr>
            <w:tcW w:w="959" w:type="pct"/>
            <w:shd w:val="clear" w:color="auto" w:fill="auto"/>
            <w:vAlign w:val="center"/>
          </w:tcPr>
          <w:p w14:paraId="6D616059">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906BF2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338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D8BFDE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67</w:t>
            </w:r>
          </w:p>
        </w:tc>
        <w:tc>
          <w:tcPr>
            <w:tcW w:w="708" w:type="pct"/>
            <w:shd w:val="clear" w:color="auto" w:fill="auto"/>
            <w:vAlign w:val="center"/>
          </w:tcPr>
          <w:p w14:paraId="53D620B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H34010302619</w:t>
            </w:r>
          </w:p>
        </w:tc>
        <w:tc>
          <w:tcPr>
            <w:tcW w:w="1948" w:type="pct"/>
            <w:shd w:val="clear" w:color="auto" w:fill="auto"/>
            <w:vAlign w:val="center"/>
          </w:tcPr>
          <w:p w14:paraId="73A1279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合肥华安脑科医院</w:t>
            </w:r>
          </w:p>
        </w:tc>
        <w:tc>
          <w:tcPr>
            <w:tcW w:w="959" w:type="pct"/>
            <w:shd w:val="clear" w:color="auto" w:fill="auto"/>
            <w:vAlign w:val="center"/>
          </w:tcPr>
          <w:p w14:paraId="71C5C7DF">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D793B6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6ECAD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8E9EBE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68</w:t>
            </w:r>
          </w:p>
        </w:tc>
        <w:tc>
          <w:tcPr>
            <w:tcW w:w="708" w:type="pct"/>
            <w:shd w:val="clear" w:color="auto" w:fill="auto"/>
            <w:vAlign w:val="center"/>
          </w:tcPr>
          <w:p w14:paraId="5148EBF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H34010400408</w:t>
            </w:r>
          </w:p>
        </w:tc>
        <w:tc>
          <w:tcPr>
            <w:tcW w:w="1948" w:type="pct"/>
            <w:shd w:val="clear" w:color="auto" w:fill="auto"/>
            <w:vAlign w:val="center"/>
          </w:tcPr>
          <w:p w14:paraId="7C7D19F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安徽省红十字会医院</w:t>
            </w:r>
          </w:p>
        </w:tc>
        <w:tc>
          <w:tcPr>
            <w:tcW w:w="959" w:type="pct"/>
            <w:shd w:val="clear" w:color="auto" w:fill="auto"/>
            <w:vAlign w:val="center"/>
          </w:tcPr>
          <w:p w14:paraId="73D0DDE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16FE0A4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55EAA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6560F5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69</w:t>
            </w:r>
          </w:p>
        </w:tc>
        <w:tc>
          <w:tcPr>
            <w:tcW w:w="708" w:type="pct"/>
            <w:shd w:val="clear" w:color="auto" w:fill="auto"/>
            <w:vAlign w:val="center"/>
          </w:tcPr>
          <w:p w14:paraId="2221ED5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H34011100013</w:t>
            </w:r>
          </w:p>
        </w:tc>
        <w:tc>
          <w:tcPr>
            <w:tcW w:w="1948" w:type="pct"/>
            <w:shd w:val="clear" w:color="auto" w:fill="auto"/>
            <w:vAlign w:val="center"/>
          </w:tcPr>
          <w:p w14:paraId="73D8E81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中国科学技术大学医院</w:t>
            </w:r>
          </w:p>
        </w:tc>
        <w:tc>
          <w:tcPr>
            <w:tcW w:w="959" w:type="pct"/>
            <w:shd w:val="clear" w:color="auto" w:fill="auto"/>
            <w:vAlign w:val="center"/>
          </w:tcPr>
          <w:p w14:paraId="7471088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51E9A4D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8C8D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8C6FCD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70</w:t>
            </w:r>
          </w:p>
        </w:tc>
        <w:tc>
          <w:tcPr>
            <w:tcW w:w="708" w:type="pct"/>
            <w:shd w:val="clear" w:color="auto" w:fill="auto"/>
            <w:vAlign w:val="center"/>
          </w:tcPr>
          <w:p w14:paraId="60D2062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H34011100398</w:t>
            </w:r>
          </w:p>
        </w:tc>
        <w:tc>
          <w:tcPr>
            <w:tcW w:w="1948" w:type="pct"/>
            <w:shd w:val="clear" w:color="auto" w:fill="auto"/>
            <w:vAlign w:val="center"/>
          </w:tcPr>
          <w:p w14:paraId="71214E1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江淮汽车集团医院</w:t>
            </w:r>
          </w:p>
        </w:tc>
        <w:tc>
          <w:tcPr>
            <w:tcW w:w="959" w:type="pct"/>
            <w:shd w:val="clear" w:color="auto" w:fill="auto"/>
            <w:vAlign w:val="center"/>
          </w:tcPr>
          <w:p w14:paraId="57080AC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87822F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1470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D595F7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71</w:t>
            </w:r>
          </w:p>
        </w:tc>
        <w:tc>
          <w:tcPr>
            <w:tcW w:w="708" w:type="pct"/>
            <w:shd w:val="clear" w:color="auto" w:fill="auto"/>
            <w:vAlign w:val="center"/>
          </w:tcPr>
          <w:p w14:paraId="7F6CA60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H34012200060</w:t>
            </w:r>
          </w:p>
        </w:tc>
        <w:tc>
          <w:tcPr>
            <w:tcW w:w="1948" w:type="pct"/>
            <w:shd w:val="clear" w:color="auto" w:fill="auto"/>
            <w:vAlign w:val="center"/>
          </w:tcPr>
          <w:p w14:paraId="361DEB9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肥东县店埠镇中心卫生院（肥东县第四人民医院）</w:t>
            </w:r>
          </w:p>
        </w:tc>
        <w:tc>
          <w:tcPr>
            <w:tcW w:w="959" w:type="pct"/>
            <w:shd w:val="clear" w:color="auto" w:fill="auto"/>
            <w:vAlign w:val="center"/>
          </w:tcPr>
          <w:p w14:paraId="5D80355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987E35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06E3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286D50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72</w:t>
            </w:r>
          </w:p>
        </w:tc>
        <w:tc>
          <w:tcPr>
            <w:tcW w:w="708" w:type="pct"/>
            <w:shd w:val="clear" w:color="auto" w:fill="auto"/>
            <w:vAlign w:val="center"/>
          </w:tcPr>
          <w:p w14:paraId="2F71300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H34018100364</w:t>
            </w:r>
          </w:p>
        </w:tc>
        <w:tc>
          <w:tcPr>
            <w:tcW w:w="1948" w:type="pct"/>
            <w:shd w:val="clear" w:color="auto" w:fill="auto"/>
            <w:vAlign w:val="center"/>
          </w:tcPr>
          <w:p w14:paraId="72A0E7C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巢湖康苹医院</w:t>
            </w:r>
          </w:p>
        </w:tc>
        <w:tc>
          <w:tcPr>
            <w:tcW w:w="959" w:type="pct"/>
            <w:shd w:val="clear" w:color="auto" w:fill="auto"/>
            <w:vAlign w:val="center"/>
          </w:tcPr>
          <w:p w14:paraId="20B2D5ED">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5B7914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134C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DB49CD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73</w:t>
            </w:r>
          </w:p>
        </w:tc>
        <w:tc>
          <w:tcPr>
            <w:tcW w:w="708" w:type="pct"/>
            <w:shd w:val="clear" w:color="auto" w:fill="auto"/>
            <w:vAlign w:val="center"/>
          </w:tcPr>
          <w:p w14:paraId="391D006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H34012201039</w:t>
            </w:r>
          </w:p>
        </w:tc>
        <w:tc>
          <w:tcPr>
            <w:tcW w:w="1948" w:type="pct"/>
            <w:shd w:val="clear" w:color="auto" w:fill="auto"/>
            <w:vAlign w:val="center"/>
          </w:tcPr>
          <w:p w14:paraId="051CB2A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肥东县石塘镇中心卫生院</w:t>
            </w:r>
          </w:p>
        </w:tc>
        <w:tc>
          <w:tcPr>
            <w:tcW w:w="959" w:type="pct"/>
            <w:shd w:val="clear" w:color="auto" w:fill="auto"/>
            <w:vAlign w:val="center"/>
          </w:tcPr>
          <w:p w14:paraId="165209E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8E0D54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50ED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70496B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74</w:t>
            </w:r>
          </w:p>
        </w:tc>
        <w:tc>
          <w:tcPr>
            <w:tcW w:w="708" w:type="pct"/>
            <w:shd w:val="clear" w:color="auto" w:fill="auto"/>
            <w:vAlign w:val="center"/>
          </w:tcPr>
          <w:p w14:paraId="63F5AA0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H34010300403</w:t>
            </w:r>
          </w:p>
        </w:tc>
        <w:tc>
          <w:tcPr>
            <w:tcW w:w="1948" w:type="pct"/>
            <w:shd w:val="clear" w:color="auto" w:fill="auto"/>
            <w:vAlign w:val="center"/>
          </w:tcPr>
          <w:p w14:paraId="3735152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合肥金谷康复医院</w:t>
            </w:r>
          </w:p>
        </w:tc>
        <w:tc>
          <w:tcPr>
            <w:tcW w:w="959" w:type="pct"/>
            <w:shd w:val="clear" w:color="auto" w:fill="auto"/>
            <w:vAlign w:val="center"/>
          </w:tcPr>
          <w:p w14:paraId="6762926D">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3F3E02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6FC1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F3B770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75</w:t>
            </w:r>
          </w:p>
        </w:tc>
        <w:tc>
          <w:tcPr>
            <w:tcW w:w="708" w:type="pct"/>
            <w:shd w:val="clear" w:color="auto" w:fill="auto"/>
            <w:vAlign w:val="center"/>
          </w:tcPr>
          <w:p w14:paraId="689172C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H34012100391</w:t>
            </w:r>
          </w:p>
        </w:tc>
        <w:tc>
          <w:tcPr>
            <w:tcW w:w="1948" w:type="pct"/>
            <w:shd w:val="clear" w:color="auto" w:fill="auto"/>
            <w:vAlign w:val="center"/>
          </w:tcPr>
          <w:p w14:paraId="7274F60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长丰县双凤工业区医院</w:t>
            </w:r>
          </w:p>
        </w:tc>
        <w:tc>
          <w:tcPr>
            <w:tcW w:w="959" w:type="pct"/>
            <w:shd w:val="clear" w:color="auto" w:fill="auto"/>
            <w:vAlign w:val="center"/>
          </w:tcPr>
          <w:p w14:paraId="3824DDAF">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3A9AF81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E5EA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C6C35A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76</w:t>
            </w:r>
          </w:p>
        </w:tc>
        <w:tc>
          <w:tcPr>
            <w:tcW w:w="708" w:type="pct"/>
            <w:shd w:val="clear" w:color="auto" w:fill="auto"/>
            <w:vAlign w:val="center"/>
          </w:tcPr>
          <w:p w14:paraId="6D5FF5F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H34010400691</w:t>
            </w:r>
          </w:p>
        </w:tc>
        <w:tc>
          <w:tcPr>
            <w:tcW w:w="1948" w:type="pct"/>
            <w:shd w:val="clear" w:color="auto" w:fill="auto"/>
            <w:vAlign w:val="center"/>
          </w:tcPr>
          <w:p w14:paraId="71A127F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合肥爱尔眼科医院</w:t>
            </w:r>
          </w:p>
        </w:tc>
        <w:tc>
          <w:tcPr>
            <w:tcW w:w="959" w:type="pct"/>
            <w:shd w:val="clear" w:color="auto" w:fill="auto"/>
            <w:vAlign w:val="center"/>
          </w:tcPr>
          <w:p w14:paraId="2AF7000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741E64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2DF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1C532F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77</w:t>
            </w:r>
          </w:p>
        </w:tc>
        <w:tc>
          <w:tcPr>
            <w:tcW w:w="708" w:type="pct"/>
            <w:shd w:val="clear" w:color="auto" w:fill="auto"/>
            <w:vAlign w:val="center"/>
          </w:tcPr>
          <w:p w14:paraId="3654A1C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H34010202694</w:t>
            </w:r>
          </w:p>
        </w:tc>
        <w:tc>
          <w:tcPr>
            <w:tcW w:w="1948" w:type="pct"/>
            <w:shd w:val="clear" w:color="auto" w:fill="auto"/>
            <w:vAlign w:val="center"/>
          </w:tcPr>
          <w:p w14:paraId="5B78F63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合肥京石结石泌尿外科医院</w:t>
            </w:r>
          </w:p>
        </w:tc>
        <w:tc>
          <w:tcPr>
            <w:tcW w:w="959" w:type="pct"/>
            <w:shd w:val="clear" w:color="auto" w:fill="auto"/>
            <w:vAlign w:val="center"/>
          </w:tcPr>
          <w:p w14:paraId="21F9C43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1677FD6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9FCA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3383B2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78</w:t>
            </w:r>
          </w:p>
        </w:tc>
        <w:tc>
          <w:tcPr>
            <w:tcW w:w="708" w:type="pct"/>
            <w:shd w:val="clear" w:color="auto" w:fill="auto"/>
            <w:vAlign w:val="center"/>
          </w:tcPr>
          <w:p w14:paraId="30CACC5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H34010201070</w:t>
            </w:r>
          </w:p>
        </w:tc>
        <w:tc>
          <w:tcPr>
            <w:tcW w:w="1948" w:type="pct"/>
            <w:shd w:val="clear" w:color="auto" w:fill="auto"/>
            <w:vAlign w:val="center"/>
          </w:tcPr>
          <w:p w14:paraId="05650B8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合肥仁德医院</w:t>
            </w:r>
          </w:p>
        </w:tc>
        <w:tc>
          <w:tcPr>
            <w:tcW w:w="959" w:type="pct"/>
            <w:shd w:val="clear" w:color="auto" w:fill="auto"/>
            <w:vAlign w:val="center"/>
          </w:tcPr>
          <w:p w14:paraId="2CC5C13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5DD86F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7EE7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A1CFF0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79</w:t>
            </w:r>
          </w:p>
        </w:tc>
        <w:tc>
          <w:tcPr>
            <w:tcW w:w="708" w:type="pct"/>
            <w:shd w:val="clear" w:color="auto" w:fill="auto"/>
            <w:vAlign w:val="center"/>
          </w:tcPr>
          <w:p w14:paraId="20D5551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H34019902754</w:t>
            </w:r>
          </w:p>
        </w:tc>
        <w:tc>
          <w:tcPr>
            <w:tcW w:w="1948" w:type="pct"/>
            <w:shd w:val="clear" w:color="auto" w:fill="auto"/>
            <w:vAlign w:val="center"/>
          </w:tcPr>
          <w:p w14:paraId="25871E0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合肥东骅康复医院</w:t>
            </w:r>
          </w:p>
        </w:tc>
        <w:tc>
          <w:tcPr>
            <w:tcW w:w="959" w:type="pct"/>
            <w:shd w:val="clear" w:color="auto" w:fill="auto"/>
            <w:vAlign w:val="center"/>
          </w:tcPr>
          <w:p w14:paraId="427C881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0AF673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CCB8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EE7026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80</w:t>
            </w:r>
          </w:p>
        </w:tc>
        <w:tc>
          <w:tcPr>
            <w:tcW w:w="708" w:type="pct"/>
            <w:shd w:val="clear" w:color="auto" w:fill="auto"/>
            <w:vAlign w:val="center"/>
          </w:tcPr>
          <w:p w14:paraId="78E4E5B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H34010200483</w:t>
            </w:r>
          </w:p>
        </w:tc>
        <w:tc>
          <w:tcPr>
            <w:tcW w:w="1948" w:type="pct"/>
            <w:shd w:val="clear" w:color="auto" w:fill="auto"/>
            <w:vAlign w:val="center"/>
          </w:tcPr>
          <w:p w14:paraId="3F811D2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合肥同行康复医院</w:t>
            </w:r>
          </w:p>
        </w:tc>
        <w:tc>
          <w:tcPr>
            <w:tcW w:w="959" w:type="pct"/>
            <w:shd w:val="clear" w:color="auto" w:fill="auto"/>
            <w:vAlign w:val="center"/>
          </w:tcPr>
          <w:p w14:paraId="31C0D0D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7CE482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646FE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35FE1E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81</w:t>
            </w:r>
          </w:p>
        </w:tc>
        <w:tc>
          <w:tcPr>
            <w:tcW w:w="708" w:type="pct"/>
            <w:shd w:val="clear" w:color="auto" w:fill="auto"/>
            <w:vAlign w:val="center"/>
          </w:tcPr>
          <w:p w14:paraId="1F7076B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H34010400275</w:t>
            </w:r>
          </w:p>
        </w:tc>
        <w:tc>
          <w:tcPr>
            <w:tcW w:w="1948" w:type="pct"/>
            <w:shd w:val="clear" w:color="auto" w:fill="auto"/>
            <w:vAlign w:val="center"/>
          </w:tcPr>
          <w:p w14:paraId="23F7770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长征微创外科医院</w:t>
            </w:r>
          </w:p>
        </w:tc>
        <w:tc>
          <w:tcPr>
            <w:tcW w:w="959" w:type="pct"/>
            <w:shd w:val="clear" w:color="auto" w:fill="auto"/>
            <w:vAlign w:val="center"/>
          </w:tcPr>
          <w:p w14:paraId="0648462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0B9A14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C126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AD6C94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82</w:t>
            </w:r>
          </w:p>
        </w:tc>
        <w:tc>
          <w:tcPr>
            <w:tcW w:w="708" w:type="pct"/>
            <w:shd w:val="clear" w:color="auto" w:fill="auto"/>
            <w:vAlign w:val="center"/>
          </w:tcPr>
          <w:p w14:paraId="0B1D2DB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H34011102561</w:t>
            </w:r>
          </w:p>
        </w:tc>
        <w:tc>
          <w:tcPr>
            <w:tcW w:w="1948" w:type="pct"/>
            <w:shd w:val="clear" w:color="auto" w:fill="auto"/>
            <w:vAlign w:val="center"/>
          </w:tcPr>
          <w:p w14:paraId="46CE36C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合肥阳光消化病医院</w:t>
            </w:r>
          </w:p>
        </w:tc>
        <w:tc>
          <w:tcPr>
            <w:tcW w:w="959" w:type="pct"/>
            <w:shd w:val="clear" w:color="auto" w:fill="auto"/>
            <w:vAlign w:val="center"/>
          </w:tcPr>
          <w:p w14:paraId="74158AC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BA5FA3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61866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1C165E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83</w:t>
            </w:r>
          </w:p>
        </w:tc>
        <w:tc>
          <w:tcPr>
            <w:tcW w:w="708" w:type="pct"/>
            <w:shd w:val="clear" w:color="auto" w:fill="auto"/>
            <w:vAlign w:val="center"/>
          </w:tcPr>
          <w:p w14:paraId="31973AF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H34017301277</w:t>
            </w:r>
          </w:p>
        </w:tc>
        <w:tc>
          <w:tcPr>
            <w:tcW w:w="1948" w:type="pct"/>
            <w:shd w:val="clear" w:color="auto" w:fill="auto"/>
            <w:vAlign w:val="center"/>
          </w:tcPr>
          <w:p w14:paraId="557C526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合肥新海妇产医院</w:t>
            </w:r>
          </w:p>
        </w:tc>
        <w:tc>
          <w:tcPr>
            <w:tcW w:w="959" w:type="pct"/>
            <w:shd w:val="clear" w:color="auto" w:fill="auto"/>
            <w:vAlign w:val="center"/>
          </w:tcPr>
          <w:p w14:paraId="620ED47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2B4C2F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22C06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BCB2CB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84</w:t>
            </w:r>
          </w:p>
        </w:tc>
        <w:tc>
          <w:tcPr>
            <w:tcW w:w="708" w:type="pct"/>
            <w:shd w:val="clear" w:color="auto" w:fill="auto"/>
            <w:vAlign w:val="center"/>
          </w:tcPr>
          <w:p w14:paraId="316BD6D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H34017300815</w:t>
            </w:r>
          </w:p>
        </w:tc>
        <w:tc>
          <w:tcPr>
            <w:tcW w:w="1948" w:type="pct"/>
            <w:shd w:val="clear" w:color="auto" w:fill="auto"/>
            <w:vAlign w:val="center"/>
          </w:tcPr>
          <w:p w14:paraId="055A493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合肥长兴康复医院</w:t>
            </w:r>
          </w:p>
        </w:tc>
        <w:tc>
          <w:tcPr>
            <w:tcW w:w="959" w:type="pct"/>
            <w:shd w:val="clear" w:color="auto" w:fill="auto"/>
            <w:vAlign w:val="center"/>
          </w:tcPr>
          <w:p w14:paraId="7220E09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B6C737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21F8B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B80350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85</w:t>
            </w:r>
          </w:p>
        </w:tc>
        <w:tc>
          <w:tcPr>
            <w:tcW w:w="708" w:type="pct"/>
            <w:shd w:val="clear" w:color="auto" w:fill="auto"/>
            <w:vAlign w:val="center"/>
          </w:tcPr>
          <w:p w14:paraId="6B7CDB3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H34010400280</w:t>
            </w:r>
          </w:p>
        </w:tc>
        <w:tc>
          <w:tcPr>
            <w:tcW w:w="1948" w:type="pct"/>
            <w:shd w:val="clear" w:color="auto" w:fill="auto"/>
            <w:vAlign w:val="center"/>
          </w:tcPr>
          <w:p w14:paraId="30E8F4C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合肥民众医院</w:t>
            </w:r>
          </w:p>
        </w:tc>
        <w:tc>
          <w:tcPr>
            <w:tcW w:w="959" w:type="pct"/>
            <w:shd w:val="clear" w:color="auto" w:fill="auto"/>
            <w:vAlign w:val="center"/>
          </w:tcPr>
          <w:p w14:paraId="5C0453B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90F917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38D6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038B0A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86</w:t>
            </w:r>
          </w:p>
        </w:tc>
        <w:tc>
          <w:tcPr>
            <w:tcW w:w="708" w:type="pct"/>
            <w:shd w:val="clear" w:color="auto" w:fill="auto"/>
            <w:vAlign w:val="center"/>
          </w:tcPr>
          <w:p w14:paraId="74F4397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H34011100047</w:t>
            </w:r>
          </w:p>
        </w:tc>
        <w:tc>
          <w:tcPr>
            <w:tcW w:w="1948" w:type="pct"/>
            <w:shd w:val="clear" w:color="auto" w:fill="auto"/>
            <w:vAlign w:val="center"/>
          </w:tcPr>
          <w:p w14:paraId="53BF8030">
            <w:pPr>
              <w:overflowPunct w:val="0"/>
              <w:spacing w:line="400" w:lineRule="exact"/>
              <w:jc w:val="left"/>
              <w:textAlignment w:val="center"/>
              <w:rPr>
                <w:rFonts w:ascii="仿宋" w:hAnsi="仿宋" w:cs="仿宋"/>
                <w:color w:val="000000"/>
                <w:kern w:val="0"/>
                <w:sz w:val="24"/>
                <w:szCs w:val="24"/>
              </w:rPr>
            </w:pPr>
            <w:r>
              <w:rPr>
                <w:rFonts w:hint="eastAsia" w:ascii="仿宋" w:hAnsi="仿宋" w:cs="仿宋"/>
                <w:color w:val="000000"/>
                <w:kern w:val="0"/>
                <w:sz w:val="24"/>
                <w:szCs w:val="24"/>
              </w:rPr>
              <w:t>安徽省创面与显微外科技术研究院附属中医骨伤医院</w:t>
            </w:r>
          </w:p>
        </w:tc>
        <w:tc>
          <w:tcPr>
            <w:tcW w:w="959" w:type="pct"/>
            <w:shd w:val="clear" w:color="auto" w:fill="auto"/>
            <w:vAlign w:val="center"/>
          </w:tcPr>
          <w:p w14:paraId="06DB2ACD">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FCFB04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09748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846B15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87</w:t>
            </w:r>
          </w:p>
        </w:tc>
        <w:tc>
          <w:tcPr>
            <w:tcW w:w="708" w:type="pct"/>
            <w:shd w:val="clear" w:color="auto" w:fill="auto"/>
            <w:vAlign w:val="center"/>
          </w:tcPr>
          <w:p w14:paraId="188FE62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H34010200388</w:t>
            </w:r>
          </w:p>
        </w:tc>
        <w:tc>
          <w:tcPr>
            <w:tcW w:w="1948" w:type="pct"/>
            <w:shd w:val="clear" w:color="auto" w:fill="auto"/>
            <w:vAlign w:val="center"/>
          </w:tcPr>
          <w:p w14:paraId="1F1CB03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合肥现代妇产医院</w:t>
            </w:r>
          </w:p>
        </w:tc>
        <w:tc>
          <w:tcPr>
            <w:tcW w:w="959" w:type="pct"/>
            <w:shd w:val="clear" w:color="auto" w:fill="auto"/>
            <w:vAlign w:val="center"/>
          </w:tcPr>
          <w:p w14:paraId="4B5210F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A4FA50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A043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8E2A17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88</w:t>
            </w:r>
          </w:p>
        </w:tc>
        <w:tc>
          <w:tcPr>
            <w:tcW w:w="708" w:type="pct"/>
            <w:shd w:val="clear" w:color="auto" w:fill="auto"/>
            <w:vAlign w:val="center"/>
          </w:tcPr>
          <w:p w14:paraId="3682D42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H34012200041</w:t>
            </w:r>
          </w:p>
        </w:tc>
        <w:tc>
          <w:tcPr>
            <w:tcW w:w="1948" w:type="pct"/>
            <w:shd w:val="clear" w:color="auto" w:fill="auto"/>
            <w:vAlign w:val="center"/>
          </w:tcPr>
          <w:p w14:paraId="06B4BDC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肥东县妇幼保健院</w:t>
            </w:r>
          </w:p>
        </w:tc>
        <w:tc>
          <w:tcPr>
            <w:tcW w:w="959" w:type="pct"/>
            <w:shd w:val="clear" w:color="auto" w:fill="auto"/>
            <w:vAlign w:val="center"/>
          </w:tcPr>
          <w:p w14:paraId="5B8A929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0F4072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F8C3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15145C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89</w:t>
            </w:r>
          </w:p>
        </w:tc>
        <w:tc>
          <w:tcPr>
            <w:tcW w:w="708" w:type="pct"/>
            <w:shd w:val="clear" w:color="auto" w:fill="auto"/>
            <w:vAlign w:val="center"/>
          </w:tcPr>
          <w:p w14:paraId="09F7FBC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H34011100999</w:t>
            </w:r>
          </w:p>
        </w:tc>
        <w:tc>
          <w:tcPr>
            <w:tcW w:w="1948" w:type="pct"/>
            <w:shd w:val="clear" w:color="auto" w:fill="auto"/>
            <w:vAlign w:val="center"/>
          </w:tcPr>
          <w:p w14:paraId="0842EA5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合肥瑞金肛肠医院</w:t>
            </w:r>
          </w:p>
        </w:tc>
        <w:tc>
          <w:tcPr>
            <w:tcW w:w="959" w:type="pct"/>
            <w:shd w:val="clear" w:color="auto" w:fill="auto"/>
            <w:vAlign w:val="center"/>
          </w:tcPr>
          <w:p w14:paraId="6B8B3A4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33D7BB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5BED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06EE23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90</w:t>
            </w:r>
          </w:p>
        </w:tc>
        <w:tc>
          <w:tcPr>
            <w:tcW w:w="708" w:type="pct"/>
            <w:shd w:val="clear" w:color="auto" w:fill="auto"/>
            <w:vAlign w:val="center"/>
          </w:tcPr>
          <w:p w14:paraId="3345F30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H34010301228</w:t>
            </w:r>
          </w:p>
        </w:tc>
        <w:tc>
          <w:tcPr>
            <w:tcW w:w="1948" w:type="pct"/>
            <w:shd w:val="clear" w:color="auto" w:fill="auto"/>
            <w:vAlign w:val="center"/>
          </w:tcPr>
          <w:p w14:paraId="4DAD128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合肥众好肛肠医院</w:t>
            </w:r>
          </w:p>
        </w:tc>
        <w:tc>
          <w:tcPr>
            <w:tcW w:w="959" w:type="pct"/>
            <w:shd w:val="clear" w:color="auto" w:fill="auto"/>
            <w:vAlign w:val="center"/>
          </w:tcPr>
          <w:p w14:paraId="23974C8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08CC24F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E147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248709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91</w:t>
            </w:r>
          </w:p>
        </w:tc>
        <w:tc>
          <w:tcPr>
            <w:tcW w:w="708" w:type="pct"/>
            <w:shd w:val="clear" w:color="auto" w:fill="auto"/>
            <w:vAlign w:val="center"/>
          </w:tcPr>
          <w:p w14:paraId="41D3A02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H34011100995</w:t>
            </w:r>
          </w:p>
        </w:tc>
        <w:tc>
          <w:tcPr>
            <w:tcW w:w="1948" w:type="pct"/>
            <w:shd w:val="clear" w:color="auto" w:fill="auto"/>
            <w:vAlign w:val="center"/>
          </w:tcPr>
          <w:p w14:paraId="1F8E01F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合肥东南眼科医院</w:t>
            </w:r>
          </w:p>
        </w:tc>
        <w:tc>
          <w:tcPr>
            <w:tcW w:w="959" w:type="pct"/>
            <w:shd w:val="clear" w:color="auto" w:fill="auto"/>
            <w:vAlign w:val="center"/>
          </w:tcPr>
          <w:p w14:paraId="64303CF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98D12D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B98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269CFD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92</w:t>
            </w:r>
          </w:p>
        </w:tc>
        <w:tc>
          <w:tcPr>
            <w:tcW w:w="708" w:type="pct"/>
            <w:shd w:val="clear" w:color="auto" w:fill="auto"/>
            <w:vAlign w:val="center"/>
          </w:tcPr>
          <w:p w14:paraId="1A50B7D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H34012400630</w:t>
            </w:r>
          </w:p>
        </w:tc>
        <w:tc>
          <w:tcPr>
            <w:tcW w:w="1948" w:type="pct"/>
            <w:shd w:val="clear" w:color="auto" w:fill="auto"/>
            <w:vAlign w:val="center"/>
          </w:tcPr>
          <w:p w14:paraId="778572C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庐江协同口腔医院</w:t>
            </w:r>
          </w:p>
        </w:tc>
        <w:tc>
          <w:tcPr>
            <w:tcW w:w="959" w:type="pct"/>
            <w:shd w:val="clear" w:color="auto" w:fill="auto"/>
            <w:vAlign w:val="center"/>
          </w:tcPr>
          <w:p w14:paraId="387C789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0929584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775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4BEF07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93</w:t>
            </w:r>
          </w:p>
        </w:tc>
        <w:tc>
          <w:tcPr>
            <w:tcW w:w="708" w:type="pct"/>
            <w:shd w:val="clear" w:color="auto" w:fill="auto"/>
            <w:vAlign w:val="center"/>
          </w:tcPr>
          <w:p w14:paraId="6FB70A9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H34010303166</w:t>
            </w:r>
          </w:p>
        </w:tc>
        <w:tc>
          <w:tcPr>
            <w:tcW w:w="1948" w:type="pct"/>
            <w:shd w:val="clear" w:color="auto" w:fill="auto"/>
            <w:vAlign w:val="center"/>
          </w:tcPr>
          <w:p w14:paraId="64DEB0A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合肥庐州医院</w:t>
            </w:r>
          </w:p>
        </w:tc>
        <w:tc>
          <w:tcPr>
            <w:tcW w:w="959" w:type="pct"/>
            <w:shd w:val="clear" w:color="auto" w:fill="auto"/>
            <w:vAlign w:val="center"/>
          </w:tcPr>
          <w:p w14:paraId="760918A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029013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138BF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80FE9E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94</w:t>
            </w:r>
          </w:p>
        </w:tc>
        <w:tc>
          <w:tcPr>
            <w:tcW w:w="708" w:type="pct"/>
            <w:shd w:val="clear" w:color="auto" w:fill="auto"/>
            <w:vAlign w:val="center"/>
          </w:tcPr>
          <w:p w14:paraId="7FD1A0B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H34017303065</w:t>
            </w:r>
          </w:p>
        </w:tc>
        <w:tc>
          <w:tcPr>
            <w:tcW w:w="1948" w:type="pct"/>
            <w:shd w:val="clear" w:color="auto" w:fill="auto"/>
            <w:vAlign w:val="center"/>
          </w:tcPr>
          <w:p w14:paraId="22D0C30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合肥康中内分泌代谢病医院</w:t>
            </w:r>
          </w:p>
        </w:tc>
        <w:tc>
          <w:tcPr>
            <w:tcW w:w="959" w:type="pct"/>
            <w:shd w:val="clear" w:color="auto" w:fill="auto"/>
            <w:vAlign w:val="center"/>
          </w:tcPr>
          <w:p w14:paraId="3CC098BF">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E5EB69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1C334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5AFC74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95</w:t>
            </w:r>
          </w:p>
        </w:tc>
        <w:tc>
          <w:tcPr>
            <w:tcW w:w="708" w:type="pct"/>
            <w:shd w:val="clear" w:color="auto" w:fill="auto"/>
            <w:vAlign w:val="center"/>
          </w:tcPr>
          <w:p w14:paraId="1560207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H34017300412</w:t>
            </w:r>
          </w:p>
        </w:tc>
        <w:tc>
          <w:tcPr>
            <w:tcW w:w="1948" w:type="pct"/>
            <w:shd w:val="clear" w:color="auto" w:fill="auto"/>
            <w:vAlign w:val="center"/>
          </w:tcPr>
          <w:p w14:paraId="1906BE1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合肥华厦名人眼科医院</w:t>
            </w:r>
          </w:p>
        </w:tc>
        <w:tc>
          <w:tcPr>
            <w:tcW w:w="959" w:type="pct"/>
            <w:shd w:val="clear" w:color="auto" w:fill="auto"/>
            <w:vAlign w:val="center"/>
          </w:tcPr>
          <w:p w14:paraId="3BE85B8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ABC2D7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5B53F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8CAA8B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96</w:t>
            </w:r>
          </w:p>
        </w:tc>
        <w:tc>
          <w:tcPr>
            <w:tcW w:w="708" w:type="pct"/>
            <w:shd w:val="clear" w:color="auto" w:fill="auto"/>
            <w:vAlign w:val="center"/>
          </w:tcPr>
          <w:p w14:paraId="273A7A5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H34010400086</w:t>
            </w:r>
          </w:p>
        </w:tc>
        <w:tc>
          <w:tcPr>
            <w:tcW w:w="1948" w:type="pct"/>
            <w:shd w:val="clear" w:color="auto" w:fill="auto"/>
            <w:vAlign w:val="center"/>
          </w:tcPr>
          <w:p w14:paraId="6ADDBC9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合肥市蜀山区小庙镇中心卫生院</w:t>
            </w:r>
          </w:p>
        </w:tc>
        <w:tc>
          <w:tcPr>
            <w:tcW w:w="959" w:type="pct"/>
            <w:shd w:val="clear" w:color="auto" w:fill="auto"/>
            <w:vAlign w:val="center"/>
          </w:tcPr>
          <w:p w14:paraId="05C7F53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358EB92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ACF7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18195E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97</w:t>
            </w:r>
          </w:p>
        </w:tc>
        <w:tc>
          <w:tcPr>
            <w:tcW w:w="708" w:type="pct"/>
            <w:shd w:val="clear" w:color="auto" w:fill="auto"/>
            <w:vAlign w:val="center"/>
          </w:tcPr>
          <w:p w14:paraId="27FEE6E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H34010202798</w:t>
            </w:r>
          </w:p>
        </w:tc>
        <w:tc>
          <w:tcPr>
            <w:tcW w:w="1948" w:type="pct"/>
            <w:shd w:val="clear" w:color="auto" w:fill="auto"/>
            <w:vAlign w:val="center"/>
          </w:tcPr>
          <w:p w14:paraId="0E2471E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合肥瑶海普瑞眼科医院</w:t>
            </w:r>
          </w:p>
        </w:tc>
        <w:tc>
          <w:tcPr>
            <w:tcW w:w="959" w:type="pct"/>
            <w:shd w:val="clear" w:color="auto" w:fill="auto"/>
            <w:vAlign w:val="center"/>
          </w:tcPr>
          <w:p w14:paraId="71995A1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0CADC9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00FC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5CCDBC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98</w:t>
            </w:r>
          </w:p>
        </w:tc>
        <w:tc>
          <w:tcPr>
            <w:tcW w:w="708" w:type="pct"/>
            <w:shd w:val="clear" w:color="auto" w:fill="auto"/>
            <w:vAlign w:val="center"/>
          </w:tcPr>
          <w:p w14:paraId="7B02235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H34017101216</w:t>
            </w:r>
          </w:p>
        </w:tc>
        <w:tc>
          <w:tcPr>
            <w:tcW w:w="1948" w:type="pct"/>
            <w:shd w:val="clear" w:color="auto" w:fill="auto"/>
            <w:vAlign w:val="center"/>
          </w:tcPr>
          <w:p w14:paraId="79FC915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合肥康视眼科医院</w:t>
            </w:r>
          </w:p>
        </w:tc>
        <w:tc>
          <w:tcPr>
            <w:tcW w:w="959" w:type="pct"/>
            <w:shd w:val="clear" w:color="auto" w:fill="auto"/>
            <w:vAlign w:val="center"/>
          </w:tcPr>
          <w:p w14:paraId="4F8D30C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5253FA6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4A484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6C8BD1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99</w:t>
            </w:r>
          </w:p>
        </w:tc>
        <w:tc>
          <w:tcPr>
            <w:tcW w:w="708" w:type="pct"/>
            <w:shd w:val="clear" w:color="auto" w:fill="auto"/>
            <w:vAlign w:val="center"/>
          </w:tcPr>
          <w:p w14:paraId="229BA7F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H34012400492</w:t>
            </w:r>
          </w:p>
        </w:tc>
        <w:tc>
          <w:tcPr>
            <w:tcW w:w="1948" w:type="pct"/>
            <w:shd w:val="clear" w:color="auto" w:fill="auto"/>
            <w:vAlign w:val="center"/>
          </w:tcPr>
          <w:p w14:paraId="1621EE6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庐江县同大中心卫生院</w:t>
            </w:r>
          </w:p>
        </w:tc>
        <w:tc>
          <w:tcPr>
            <w:tcW w:w="959" w:type="pct"/>
            <w:shd w:val="clear" w:color="auto" w:fill="auto"/>
            <w:vAlign w:val="center"/>
          </w:tcPr>
          <w:p w14:paraId="1355FBF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21C8554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1077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B65641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100</w:t>
            </w:r>
          </w:p>
        </w:tc>
        <w:tc>
          <w:tcPr>
            <w:tcW w:w="708" w:type="pct"/>
            <w:shd w:val="clear" w:color="auto" w:fill="auto"/>
            <w:vAlign w:val="center"/>
          </w:tcPr>
          <w:p w14:paraId="1AC5A00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H34012400410</w:t>
            </w:r>
          </w:p>
        </w:tc>
        <w:tc>
          <w:tcPr>
            <w:tcW w:w="1948" w:type="pct"/>
            <w:shd w:val="clear" w:color="auto" w:fill="auto"/>
            <w:vAlign w:val="center"/>
          </w:tcPr>
          <w:p w14:paraId="5961655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庐江县泥河中心卫生院</w:t>
            </w:r>
          </w:p>
        </w:tc>
        <w:tc>
          <w:tcPr>
            <w:tcW w:w="959" w:type="pct"/>
            <w:shd w:val="clear" w:color="auto" w:fill="auto"/>
            <w:vAlign w:val="center"/>
          </w:tcPr>
          <w:p w14:paraId="36BEBC9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89C45B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E35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6A00B3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101</w:t>
            </w:r>
          </w:p>
        </w:tc>
        <w:tc>
          <w:tcPr>
            <w:tcW w:w="708" w:type="pct"/>
            <w:shd w:val="clear" w:color="auto" w:fill="auto"/>
            <w:vAlign w:val="center"/>
          </w:tcPr>
          <w:p w14:paraId="503B7AD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H34012400173</w:t>
            </w:r>
          </w:p>
        </w:tc>
        <w:tc>
          <w:tcPr>
            <w:tcW w:w="1948" w:type="pct"/>
            <w:shd w:val="clear" w:color="auto" w:fill="auto"/>
            <w:vAlign w:val="center"/>
          </w:tcPr>
          <w:p w14:paraId="3A8A61B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庐江县金牛中心卫生院（庐江县第二中医院）</w:t>
            </w:r>
          </w:p>
        </w:tc>
        <w:tc>
          <w:tcPr>
            <w:tcW w:w="959" w:type="pct"/>
            <w:shd w:val="clear" w:color="auto" w:fill="auto"/>
            <w:vAlign w:val="center"/>
          </w:tcPr>
          <w:p w14:paraId="5E0F2F6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120A368A">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1DF3F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A3DE56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102</w:t>
            </w:r>
          </w:p>
        </w:tc>
        <w:tc>
          <w:tcPr>
            <w:tcW w:w="708" w:type="pct"/>
            <w:shd w:val="clear" w:color="auto" w:fill="auto"/>
            <w:vAlign w:val="center"/>
          </w:tcPr>
          <w:p w14:paraId="5F6B9B8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H34012200488</w:t>
            </w:r>
          </w:p>
        </w:tc>
        <w:tc>
          <w:tcPr>
            <w:tcW w:w="1948" w:type="pct"/>
            <w:shd w:val="clear" w:color="auto" w:fill="auto"/>
            <w:vAlign w:val="center"/>
          </w:tcPr>
          <w:p w14:paraId="2416139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肥东新安医院</w:t>
            </w:r>
          </w:p>
        </w:tc>
        <w:tc>
          <w:tcPr>
            <w:tcW w:w="959" w:type="pct"/>
            <w:shd w:val="clear" w:color="auto" w:fill="auto"/>
            <w:vAlign w:val="center"/>
          </w:tcPr>
          <w:p w14:paraId="41131CA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5B5D53E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DF1A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B819F0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103</w:t>
            </w:r>
          </w:p>
        </w:tc>
        <w:tc>
          <w:tcPr>
            <w:tcW w:w="708" w:type="pct"/>
            <w:shd w:val="clear" w:color="auto" w:fill="auto"/>
            <w:vAlign w:val="center"/>
          </w:tcPr>
          <w:p w14:paraId="13363BE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H34012300227</w:t>
            </w:r>
          </w:p>
        </w:tc>
        <w:tc>
          <w:tcPr>
            <w:tcW w:w="1948" w:type="pct"/>
            <w:shd w:val="clear" w:color="auto" w:fill="auto"/>
            <w:vAlign w:val="center"/>
          </w:tcPr>
          <w:p w14:paraId="1F470E0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肥西县三河镇中心卫生院（肥西县三河医院）</w:t>
            </w:r>
          </w:p>
        </w:tc>
        <w:tc>
          <w:tcPr>
            <w:tcW w:w="959" w:type="pct"/>
            <w:shd w:val="clear" w:color="auto" w:fill="auto"/>
            <w:vAlign w:val="center"/>
          </w:tcPr>
          <w:p w14:paraId="76006FB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63C2AFB">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12F57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FFCFA5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104</w:t>
            </w:r>
          </w:p>
        </w:tc>
        <w:tc>
          <w:tcPr>
            <w:tcW w:w="708" w:type="pct"/>
            <w:shd w:val="clear" w:color="auto" w:fill="auto"/>
            <w:vAlign w:val="center"/>
          </w:tcPr>
          <w:p w14:paraId="2013238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H34012200048</w:t>
            </w:r>
          </w:p>
        </w:tc>
        <w:tc>
          <w:tcPr>
            <w:tcW w:w="1948" w:type="pct"/>
            <w:shd w:val="clear" w:color="auto" w:fill="auto"/>
            <w:vAlign w:val="center"/>
          </w:tcPr>
          <w:p w14:paraId="3A0C38A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肥东县梁园镇中心卫生院</w:t>
            </w:r>
          </w:p>
        </w:tc>
        <w:tc>
          <w:tcPr>
            <w:tcW w:w="959" w:type="pct"/>
            <w:shd w:val="clear" w:color="auto" w:fill="auto"/>
            <w:vAlign w:val="center"/>
          </w:tcPr>
          <w:p w14:paraId="48C3B49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588E514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55667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0F029A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105</w:t>
            </w:r>
          </w:p>
        </w:tc>
        <w:tc>
          <w:tcPr>
            <w:tcW w:w="708" w:type="pct"/>
            <w:shd w:val="clear" w:color="auto" w:fill="auto"/>
            <w:vAlign w:val="center"/>
          </w:tcPr>
          <w:p w14:paraId="7C98069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H34012200037</w:t>
            </w:r>
          </w:p>
        </w:tc>
        <w:tc>
          <w:tcPr>
            <w:tcW w:w="1948" w:type="pct"/>
            <w:shd w:val="clear" w:color="auto" w:fill="auto"/>
            <w:vAlign w:val="center"/>
          </w:tcPr>
          <w:p w14:paraId="25B7FD2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肥东县撮镇镇中心卫生院（肥东县第五人民医院）</w:t>
            </w:r>
          </w:p>
        </w:tc>
        <w:tc>
          <w:tcPr>
            <w:tcW w:w="959" w:type="pct"/>
            <w:shd w:val="clear" w:color="auto" w:fill="auto"/>
            <w:vAlign w:val="center"/>
          </w:tcPr>
          <w:p w14:paraId="2AB2E6A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30F8B51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2BB52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263FB0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106</w:t>
            </w:r>
          </w:p>
        </w:tc>
        <w:tc>
          <w:tcPr>
            <w:tcW w:w="708" w:type="pct"/>
            <w:shd w:val="clear" w:color="auto" w:fill="auto"/>
            <w:vAlign w:val="center"/>
          </w:tcPr>
          <w:p w14:paraId="0F78ABC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H34018103172</w:t>
            </w:r>
          </w:p>
        </w:tc>
        <w:tc>
          <w:tcPr>
            <w:tcW w:w="1948" w:type="pct"/>
            <w:shd w:val="clear" w:color="auto" w:fill="auto"/>
            <w:vAlign w:val="center"/>
          </w:tcPr>
          <w:p w14:paraId="101AB0E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巢湖脱氏眼科医院</w:t>
            </w:r>
          </w:p>
        </w:tc>
        <w:tc>
          <w:tcPr>
            <w:tcW w:w="959" w:type="pct"/>
            <w:shd w:val="clear" w:color="auto" w:fill="auto"/>
            <w:vAlign w:val="center"/>
          </w:tcPr>
          <w:p w14:paraId="3EB2E12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179F060B">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68BFE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6B5EC6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107</w:t>
            </w:r>
          </w:p>
        </w:tc>
        <w:tc>
          <w:tcPr>
            <w:tcW w:w="708" w:type="pct"/>
            <w:shd w:val="clear" w:color="auto" w:fill="auto"/>
            <w:vAlign w:val="center"/>
          </w:tcPr>
          <w:p w14:paraId="24692A5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H34017203420</w:t>
            </w:r>
          </w:p>
        </w:tc>
        <w:tc>
          <w:tcPr>
            <w:tcW w:w="1948" w:type="pct"/>
            <w:shd w:val="clear" w:color="auto" w:fill="auto"/>
            <w:vAlign w:val="center"/>
          </w:tcPr>
          <w:p w14:paraId="01BA24B2">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合肥明州康复医院</w:t>
            </w:r>
          </w:p>
        </w:tc>
        <w:tc>
          <w:tcPr>
            <w:tcW w:w="959" w:type="pct"/>
            <w:shd w:val="clear" w:color="auto" w:fill="auto"/>
            <w:vAlign w:val="center"/>
          </w:tcPr>
          <w:p w14:paraId="396DAB9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5956700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6A208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251C63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108</w:t>
            </w:r>
          </w:p>
        </w:tc>
        <w:tc>
          <w:tcPr>
            <w:tcW w:w="708" w:type="pct"/>
            <w:shd w:val="clear" w:color="auto" w:fill="auto"/>
            <w:vAlign w:val="center"/>
          </w:tcPr>
          <w:p w14:paraId="40AB982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H34012103516</w:t>
            </w:r>
          </w:p>
        </w:tc>
        <w:tc>
          <w:tcPr>
            <w:tcW w:w="1948" w:type="pct"/>
            <w:shd w:val="clear" w:color="auto" w:fill="auto"/>
            <w:vAlign w:val="center"/>
          </w:tcPr>
          <w:p w14:paraId="5F8D3EC8">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北城康复医院</w:t>
            </w:r>
          </w:p>
        </w:tc>
        <w:tc>
          <w:tcPr>
            <w:tcW w:w="959" w:type="pct"/>
            <w:shd w:val="clear" w:color="auto" w:fill="auto"/>
            <w:vAlign w:val="center"/>
          </w:tcPr>
          <w:p w14:paraId="5EF3130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7D1E2278">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21592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2C349D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109</w:t>
            </w:r>
          </w:p>
        </w:tc>
        <w:tc>
          <w:tcPr>
            <w:tcW w:w="708" w:type="pct"/>
            <w:shd w:val="clear" w:color="auto" w:fill="auto"/>
            <w:vAlign w:val="center"/>
          </w:tcPr>
          <w:p w14:paraId="10CD2BF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H34010203050</w:t>
            </w:r>
          </w:p>
        </w:tc>
        <w:tc>
          <w:tcPr>
            <w:tcW w:w="1948" w:type="pct"/>
            <w:shd w:val="clear" w:color="auto" w:fill="auto"/>
            <w:vAlign w:val="center"/>
          </w:tcPr>
          <w:p w14:paraId="2AF297C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合肥仁济肿瘤医院</w:t>
            </w:r>
          </w:p>
        </w:tc>
        <w:tc>
          <w:tcPr>
            <w:tcW w:w="959" w:type="pct"/>
            <w:shd w:val="clear" w:color="auto" w:fill="auto"/>
            <w:vAlign w:val="center"/>
          </w:tcPr>
          <w:p w14:paraId="0D2809D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592F86C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2E29E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314338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110</w:t>
            </w:r>
          </w:p>
        </w:tc>
        <w:tc>
          <w:tcPr>
            <w:tcW w:w="708" w:type="pct"/>
            <w:shd w:val="clear" w:color="auto" w:fill="auto"/>
            <w:vAlign w:val="center"/>
          </w:tcPr>
          <w:p w14:paraId="7575853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H34010300217</w:t>
            </w:r>
          </w:p>
        </w:tc>
        <w:tc>
          <w:tcPr>
            <w:tcW w:w="1948" w:type="pct"/>
            <w:shd w:val="clear" w:color="auto" w:fill="auto"/>
            <w:vAlign w:val="center"/>
          </w:tcPr>
          <w:p w14:paraId="2A95C53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合肥白领安琪儿妇产医院</w:t>
            </w:r>
          </w:p>
        </w:tc>
        <w:tc>
          <w:tcPr>
            <w:tcW w:w="959" w:type="pct"/>
            <w:shd w:val="clear" w:color="auto" w:fill="auto"/>
            <w:vAlign w:val="center"/>
          </w:tcPr>
          <w:p w14:paraId="180C0DB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E1DBC6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58D4B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CBB926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111</w:t>
            </w:r>
          </w:p>
        </w:tc>
        <w:tc>
          <w:tcPr>
            <w:tcW w:w="708" w:type="pct"/>
            <w:shd w:val="clear" w:color="auto" w:fill="auto"/>
            <w:vAlign w:val="center"/>
          </w:tcPr>
          <w:p w14:paraId="0FAD11A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H34010300615</w:t>
            </w:r>
          </w:p>
        </w:tc>
        <w:tc>
          <w:tcPr>
            <w:tcW w:w="1948" w:type="pct"/>
            <w:shd w:val="clear" w:color="auto" w:fill="auto"/>
            <w:vAlign w:val="center"/>
          </w:tcPr>
          <w:p w14:paraId="3DA98308">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安徽省直医院</w:t>
            </w:r>
          </w:p>
        </w:tc>
        <w:tc>
          <w:tcPr>
            <w:tcW w:w="959" w:type="pct"/>
            <w:shd w:val="clear" w:color="auto" w:fill="auto"/>
            <w:vAlign w:val="center"/>
          </w:tcPr>
          <w:p w14:paraId="2AE6E18F">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063AD7B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7222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08DD51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112</w:t>
            </w:r>
          </w:p>
        </w:tc>
        <w:tc>
          <w:tcPr>
            <w:tcW w:w="708" w:type="pct"/>
            <w:shd w:val="clear" w:color="auto" w:fill="auto"/>
            <w:vAlign w:val="center"/>
          </w:tcPr>
          <w:p w14:paraId="70B7C52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H34017202997</w:t>
            </w:r>
          </w:p>
        </w:tc>
        <w:tc>
          <w:tcPr>
            <w:tcW w:w="1948" w:type="pct"/>
            <w:shd w:val="clear" w:color="auto" w:fill="auto"/>
            <w:vAlign w:val="center"/>
          </w:tcPr>
          <w:p w14:paraId="1CA8CA1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安徽医学高等专科学校附属口腔医院</w:t>
            </w:r>
          </w:p>
        </w:tc>
        <w:tc>
          <w:tcPr>
            <w:tcW w:w="959" w:type="pct"/>
            <w:shd w:val="clear" w:color="auto" w:fill="auto"/>
            <w:vAlign w:val="center"/>
          </w:tcPr>
          <w:p w14:paraId="18C51B2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44B7FFB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52FE5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914496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113</w:t>
            </w:r>
          </w:p>
        </w:tc>
        <w:tc>
          <w:tcPr>
            <w:tcW w:w="708" w:type="pct"/>
            <w:shd w:val="clear" w:color="auto" w:fill="auto"/>
            <w:vAlign w:val="center"/>
          </w:tcPr>
          <w:p w14:paraId="5C29BB9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H34018100552</w:t>
            </w:r>
          </w:p>
        </w:tc>
        <w:tc>
          <w:tcPr>
            <w:tcW w:w="1948" w:type="pct"/>
            <w:shd w:val="clear" w:color="auto" w:fill="auto"/>
            <w:vAlign w:val="center"/>
          </w:tcPr>
          <w:p w14:paraId="74E99BB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安徽省半汤温泉疗养院</w:t>
            </w:r>
          </w:p>
        </w:tc>
        <w:tc>
          <w:tcPr>
            <w:tcW w:w="959" w:type="pct"/>
            <w:shd w:val="clear" w:color="auto" w:fill="auto"/>
            <w:vAlign w:val="center"/>
          </w:tcPr>
          <w:p w14:paraId="75867D5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611FAE5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7D16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EE783D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114</w:t>
            </w:r>
          </w:p>
        </w:tc>
        <w:tc>
          <w:tcPr>
            <w:tcW w:w="708" w:type="pct"/>
            <w:shd w:val="clear" w:color="auto" w:fill="auto"/>
            <w:vAlign w:val="center"/>
          </w:tcPr>
          <w:p w14:paraId="4010634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H34012300031</w:t>
            </w:r>
          </w:p>
        </w:tc>
        <w:tc>
          <w:tcPr>
            <w:tcW w:w="1948" w:type="pct"/>
            <w:shd w:val="clear" w:color="auto" w:fill="auto"/>
            <w:vAlign w:val="center"/>
          </w:tcPr>
          <w:p w14:paraId="755C4B2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肥西县妇女儿童保健中心</w:t>
            </w:r>
          </w:p>
        </w:tc>
        <w:tc>
          <w:tcPr>
            <w:tcW w:w="959" w:type="pct"/>
            <w:shd w:val="clear" w:color="auto" w:fill="auto"/>
            <w:vAlign w:val="center"/>
          </w:tcPr>
          <w:p w14:paraId="6C74EE3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县级及二级医疗机构</w:t>
            </w:r>
          </w:p>
        </w:tc>
        <w:tc>
          <w:tcPr>
            <w:tcW w:w="1076" w:type="pct"/>
            <w:shd w:val="clear" w:color="auto" w:fill="auto"/>
            <w:vAlign w:val="center"/>
          </w:tcPr>
          <w:p w14:paraId="3FACAA2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二级</w:t>
            </w:r>
          </w:p>
        </w:tc>
      </w:tr>
      <w:tr w14:paraId="3E869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B75583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115</w:t>
            </w:r>
          </w:p>
        </w:tc>
        <w:tc>
          <w:tcPr>
            <w:tcW w:w="708" w:type="pct"/>
            <w:shd w:val="clear" w:color="auto" w:fill="auto"/>
            <w:vAlign w:val="center"/>
          </w:tcPr>
          <w:p w14:paraId="29F9F37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H34012300028</w:t>
            </w:r>
          </w:p>
        </w:tc>
        <w:tc>
          <w:tcPr>
            <w:tcW w:w="1948" w:type="pct"/>
            <w:shd w:val="clear" w:color="auto" w:fill="auto"/>
            <w:vAlign w:val="center"/>
          </w:tcPr>
          <w:p w14:paraId="49439C7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肥西华阳医院</w:t>
            </w:r>
          </w:p>
        </w:tc>
        <w:tc>
          <w:tcPr>
            <w:tcW w:w="959" w:type="pct"/>
            <w:shd w:val="clear" w:color="auto" w:fill="auto"/>
            <w:vAlign w:val="center"/>
          </w:tcPr>
          <w:p w14:paraId="413EA0C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136372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3E952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5B777F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116</w:t>
            </w:r>
          </w:p>
        </w:tc>
        <w:tc>
          <w:tcPr>
            <w:tcW w:w="708" w:type="pct"/>
            <w:shd w:val="clear" w:color="auto" w:fill="auto"/>
            <w:vAlign w:val="center"/>
          </w:tcPr>
          <w:p w14:paraId="5DEEBD0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H34012100053</w:t>
            </w:r>
          </w:p>
        </w:tc>
        <w:tc>
          <w:tcPr>
            <w:tcW w:w="1948" w:type="pct"/>
            <w:shd w:val="clear" w:color="auto" w:fill="auto"/>
            <w:vAlign w:val="center"/>
          </w:tcPr>
          <w:p w14:paraId="4E85A36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长丰县甄庙医院</w:t>
            </w:r>
          </w:p>
        </w:tc>
        <w:tc>
          <w:tcPr>
            <w:tcW w:w="959" w:type="pct"/>
            <w:shd w:val="clear" w:color="auto" w:fill="auto"/>
            <w:vAlign w:val="center"/>
          </w:tcPr>
          <w:p w14:paraId="10CFAA1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0FCD446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4231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5819E1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117</w:t>
            </w:r>
          </w:p>
        </w:tc>
        <w:tc>
          <w:tcPr>
            <w:tcW w:w="708" w:type="pct"/>
            <w:shd w:val="clear" w:color="auto" w:fill="auto"/>
            <w:vAlign w:val="center"/>
          </w:tcPr>
          <w:p w14:paraId="54635A3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H34012100548</w:t>
            </w:r>
          </w:p>
        </w:tc>
        <w:tc>
          <w:tcPr>
            <w:tcW w:w="1948" w:type="pct"/>
            <w:shd w:val="clear" w:color="auto" w:fill="auto"/>
            <w:vAlign w:val="center"/>
          </w:tcPr>
          <w:p w14:paraId="188E3AB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长丰县下塘中心卫生院</w:t>
            </w:r>
          </w:p>
        </w:tc>
        <w:tc>
          <w:tcPr>
            <w:tcW w:w="959" w:type="pct"/>
            <w:shd w:val="clear" w:color="auto" w:fill="auto"/>
            <w:vAlign w:val="center"/>
          </w:tcPr>
          <w:p w14:paraId="04D49C8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F08179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0CE65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20A63C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118</w:t>
            </w:r>
          </w:p>
        </w:tc>
        <w:tc>
          <w:tcPr>
            <w:tcW w:w="708" w:type="pct"/>
            <w:shd w:val="clear" w:color="auto" w:fill="auto"/>
            <w:vAlign w:val="center"/>
          </w:tcPr>
          <w:p w14:paraId="1E35DB2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H34012100369</w:t>
            </w:r>
          </w:p>
        </w:tc>
        <w:tc>
          <w:tcPr>
            <w:tcW w:w="1948" w:type="pct"/>
            <w:shd w:val="clear" w:color="auto" w:fill="auto"/>
            <w:vAlign w:val="center"/>
          </w:tcPr>
          <w:p w14:paraId="152D274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长丰县杨庙中心卫生院（长丰县第二人民医院）</w:t>
            </w:r>
          </w:p>
        </w:tc>
        <w:tc>
          <w:tcPr>
            <w:tcW w:w="959" w:type="pct"/>
            <w:shd w:val="clear" w:color="auto" w:fill="auto"/>
            <w:vAlign w:val="center"/>
          </w:tcPr>
          <w:p w14:paraId="3C8B8119">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A62E85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1B8B3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90C161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119</w:t>
            </w:r>
          </w:p>
        </w:tc>
        <w:tc>
          <w:tcPr>
            <w:tcW w:w="708" w:type="pct"/>
            <w:shd w:val="clear" w:color="auto" w:fill="auto"/>
            <w:vAlign w:val="center"/>
          </w:tcPr>
          <w:p w14:paraId="0915194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H34012100430</w:t>
            </w:r>
          </w:p>
        </w:tc>
        <w:tc>
          <w:tcPr>
            <w:tcW w:w="1948" w:type="pct"/>
            <w:shd w:val="clear" w:color="auto" w:fill="auto"/>
            <w:vAlign w:val="center"/>
          </w:tcPr>
          <w:p w14:paraId="5B324B4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长丰县双墩中心卫生院</w:t>
            </w:r>
          </w:p>
        </w:tc>
        <w:tc>
          <w:tcPr>
            <w:tcW w:w="959" w:type="pct"/>
            <w:shd w:val="clear" w:color="auto" w:fill="auto"/>
            <w:vAlign w:val="center"/>
          </w:tcPr>
          <w:p w14:paraId="2BC644B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7823C3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143B3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2B2E2E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120</w:t>
            </w:r>
          </w:p>
        </w:tc>
        <w:tc>
          <w:tcPr>
            <w:tcW w:w="708" w:type="pct"/>
            <w:shd w:val="clear" w:color="auto" w:fill="auto"/>
            <w:vAlign w:val="center"/>
          </w:tcPr>
          <w:p w14:paraId="7DDB8B0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H34012100390</w:t>
            </w:r>
          </w:p>
        </w:tc>
        <w:tc>
          <w:tcPr>
            <w:tcW w:w="1948" w:type="pct"/>
            <w:shd w:val="clear" w:color="auto" w:fill="auto"/>
            <w:vAlign w:val="center"/>
          </w:tcPr>
          <w:p w14:paraId="1747BC72">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长丰县庄墓中心卫生院</w:t>
            </w:r>
          </w:p>
        </w:tc>
        <w:tc>
          <w:tcPr>
            <w:tcW w:w="959" w:type="pct"/>
            <w:shd w:val="clear" w:color="auto" w:fill="auto"/>
            <w:vAlign w:val="center"/>
          </w:tcPr>
          <w:p w14:paraId="7ACE92C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0C30021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1E80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453F71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121</w:t>
            </w:r>
          </w:p>
        </w:tc>
        <w:tc>
          <w:tcPr>
            <w:tcW w:w="708" w:type="pct"/>
            <w:shd w:val="clear" w:color="auto" w:fill="auto"/>
            <w:vAlign w:val="center"/>
          </w:tcPr>
          <w:p w14:paraId="1B6B130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H34012300010</w:t>
            </w:r>
          </w:p>
        </w:tc>
        <w:tc>
          <w:tcPr>
            <w:tcW w:w="1948" w:type="pct"/>
            <w:shd w:val="clear" w:color="auto" w:fill="auto"/>
            <w:vAlign w:val="center"/>
          </w:tcPr>
          <w:p w14:paraId="3DD7223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肥西县山南镇中心卫生院</w:t>
            </w:r>
          </w:p>
        </w:tc>
        <w:tc>
          <w:tcPr>
            <w:tcW w:w="959" w:type="pct"/>
            <w:shd w:val="clear" w:color="auto" w:fill="auto"/>
            <w:vAlign w:val="center"/>
          </w:tcPr>
          <w:p w14:paraId="03D847E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E72572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660EE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099408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122</w:t>
            </w:r>
          </w:p>
        </w:tc>
        <w:tc>
          <w:tcPr>
            <w:tcW w:w="708" w:type="pct"/>
            <w:shd w:val="clear" w:color="auto" w:fill="auto"/>
            <w:vAlign w:val="center"/>
          </w:tcPr>
          <w:p w14:paraId="4A29B23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H34012300007</w:t>
            </w:r>
          </w:p>
        </w:tc>
        <w:tc>
          <w:tcPr>
            <w:tcW w:w="1948" w:type="pct"/>
            <w:shd w:val="clear" w:color="auto" w:fill="auto"/>
            <w:vAlign w:val="center"/>
          </w:tcPr>
          <w:p w14:paraId="7197EA0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肥西县花岗镇中心卫生院</w:t>
            </w:r>
          </w:p>
        </w:tc>
        <w:tc>
          <w:tcPr>
            <w:tcW w:w="959" w:type="pct"/>
            <w:shd w:val="clear" w:color="auto" w:fill="auto"/>
            <w:vAlign w:val="center"/>
          </w:tcPr>
          <w:p w14:paraId="45A7204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3FDD80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61FEE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355307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123</w:t>
            </w:r>
          </w:p>
        </w:tc>
        <w:tc>
          <w:tcPr>
            <w:tcW w:w="708" w:type="pct"/>
            <w:shd w:val="clear" w:color="auto" w:fill="auto"/>
            <w:vAlign w:val="center"/>
          </w:tcPr>
          <w:p w14:paraId="0C5508D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H34012300050</w:t>
            </w:r>
          </w:p>
        </w:tc>
        <w:tc>
          <w:tcPr>
            <w:tcW w:w="1948" w:type="pct"/>
            <w:shd w:val="clear" w:color="auto" w:fill="auto"/>
            <w:vAlign w:val="center"/>
          </w:tcPr>
          <w:p w14:paraId="3E53586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肥西县上派镇中心卫生院（肥西县上派镇社区卫生服务中心）</w:t>
            </w:r>
          </w:p>
        </w:tc>
        <w:tc>
          <w:tcPr>
            <w:tcW w:w="959" w:type="pct"/>
            <w:shd w:val="clear" w:color="auto" w:fill="auto"/>
            <w:vAlign w:val="center"/>
          </w:tcPr>
          <w:p w14:paraId="238388F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E79A68A">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498F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9AC712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124</w:t>
            </w:r>
          </w:p>
        </w:tc>
        <w:tc>
          <w:tcPr>
            <w:tcW w:w="708" w:type="pct"/>
            <w:shd w:val="clear" w:color="auto" w:fill="auto"/>
            <w:vAlign w:val="center"/>
          </w:tcPr>
          <w:p w14:paraId="19ACEC6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H34012300162</w:t>
            </w:r>
          </w:p>
        </w:tc>
        <w:tc>
          <w:tcPr>
            <w:tcW w:w="1948" w:type="pct"/>
            <w:shd w:val="clear" w:color="auto" w:fill="auto"/>
            <w:vAlign w:val="center"/>
          </w:tcPr>
          <w:p w14:paraId="457859A2">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肥西县官亭镇中心卫生院</w:t>
            </w:r>
          </w:p>
        </w:tc>
        <w:tc>
          <w:tcPr>
            <w:tcW w:w="959" w:type="pct"/>
            <w:shd w:val="clear" w:color="auto" w:fill="auto"/>
            <w:vAlign w:val="center"/>
          </w:tcPr>
          <w:p w14:paraId="4F9C72D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00D1254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24D1B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DBECF4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125</w:t>
            </w:r>
          </w:p>
        </w:tc>
        <w:tc>
          <w:tcPr>
            <w:tcW w:w="708" w:type="pct"/>
            <w:shd w:val="clear" w:color="auto" w:fill="auto"/>
            <w:vAlign w:val="center"/>
          </w:tcPr>
          <w:p w14:paraId="5C498B9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H34012100375</w:t>
            </w:r>
          </w:p>
        </w:tc>
        <w:tc>
          <w:tcPr>
            <w:tcW w:w="1948" w:type="pct"/>
            <w:shd w:val="clear" w:color="auto" w:fill="auto"/>
            <w:vAlign w:val="center"/>
          </w:tcPr>
          <w:p w14:paraId="46A00B0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长丰县朱巷中心卫生院</w:t>
            </w:r>
          </w:p>
        </w:tc>
        <w:tc>
          <w:tcPr>
            <w:tcW w:w="959" w:type="pct"/>
            <w:shd w:val="clear" w:color="auto" w:fill="auto"/>
            <w:vAlign w:val="center"/>
          </w:tcPr>
          <w:p w14:paraId="29C9380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74B4FBC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5FE6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29EF0E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126</w:t>
            </w:r>
          </w:p>
        </w:tc>
        <w:tc>
          <w:tcPr>
            <w:tcW w:w="708" w:type="pct"/>
            <w:shd w:val="clear" w:color="auto" w:fill="auto"/>
            <w:vAlign w:val="center"/>
          </w:tcPr>
          <w:p w14:paraId="6A17774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H34012100750</w:t>
            </w:r>
          </w:p>
        </w:tc>
        <w:tc>
          <w:tcPr>
            <w:tcW w:w="1948" w:type="pct"/>
            <w:shd w:val="clear" w:color="auto" w:fill="auto"/>
            <w:vAlign w:val="center"/>
          </w:tcPr>
          <w:p w14:paraId="4954577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长丰县岗集中心卫生院</w:t>
            </w:r>
          </w:p>
        </w:tc>
        <w:tc>
          <w:tcPr>
            <w:tcW w:w="959" w:type="pct"/>
            <w:shd w:val="clear" w:color="auto" w:fill="auto"/>
            <w:vAlign w:val="center"/>
          </w:tcPr>
          <w:p w14:paraId="1115FAF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B7DAC8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40DC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8FD55A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127</w:t>
            </w:r>
          </w:p>
        </w:tc>
        <w:tc>
          <w:tcPr>
            <w:tcW w:w="708" w:type="pct"/>
            <w:shd w:val="clear" w:color="auto" w:fill="auto"/>
            <w:vAlign w:val="center"/>
          </w:tcPr>
          <w:p w14:paraId="1AFB9E1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H34010300022</w:t>
            </w:r>
          </w:p>
        </w:tc>
        <w:tc>
          <w:tcPr>
            <w:tcW w:w="1948" w:type="pct"/>
            <w:shd w:val="clear" w:color="auto" w:fill="auto"/>
            <w:vAlign w:val="center"/>
          </w:tcPr>
          <w:p w14:paraId="40576AA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庐阳区海棠街道社区卫生服务中心</w:t>
            </w:r>
          </w:p>
        </w:tc>
        <w:tc>
          <w:tcPr>
            <w:tcW w:w="959" w:type="pct"/>
            <w:shd w:val="clear" w:color="auto" w:fill="auto"/>
            <w:vAlign w:val="center"/>
          </w:tcPr>
          <w:p w14:paraId="3F0E335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6F8A7B4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2C7F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AE710F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128</w:t>
            </w:r>
          </w:p>
        </w:tc>
        <w:tc>
          <w:tcPr>
            <w:tcW w:w="708" w:type="pct"/>
            <w:shd w:val="clear" w:color="auto" w:fill="auto"/>
            <w:vAlign w:val="center"/>
          </w:tcPr>
          <w:p w14:paraId="43977BB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H34012300011</w:t>
            </w:r>
          </w:p>
        </w:tc>
        <w:tc>
          <w:tcPr>
            <w:tcW w:w="1948" w:type="pct"/>
            <w:shd w:val="clear" w:color="auto" w:fill="auto"/>
            <w:vAlign w:val="center"/>
          </w:tcPr>
          <w:p w14:paraId="7375E88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肥西县丰乐镇中心卫生院</w:t>
            </w:r>
          </w:p>
        </w:tc>
        <w:tc>
          <w:tcPr>
            <w:tcW w:w="959" w:type="pct"/>
            <w:shd w:val="clear" w:color="auto" w:fill="auto"/>
            <w:vAlign w:val="center"/>
          </w:tcPr>
          <w:p w14:paraId="6B088DF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7B805AA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2DF72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01D0AA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129</w:t>
            </w:r>
          </w:p>
        </w:tc>
        <w:tc>
          <w:tcPr>
            <w:tcW w:w="708" w:type="pct"/>
            <w:shd w:val="clear" w:color="auto" w:fill="auto"/>
            <w:vAlign w:val="center"/>
          </w:tcPr>
          <w:p w14:paraId="6E3B41A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H34018100278</w:t>
            </w:r>
          </w:p>
        </w:tc>
        <w:tc>
          <w:tcPr>
            <w:tcW w:w="1948" w:type="pct"/>
            <w:shd w:val="clear" w:color="auto" w:fill="auto"/>
            <w:vAlign w:val="center"/>
          </w:tcPr>
          <w:p w14:paraId="31BAD2D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巢湖巢州医院</w:t>
            </w:r>
          </w:p>
        </w:tc>
        <w:tc>
          <w:tcPr>
            <w:tcW w:w="959" w:type="pct"/>
            <w:shd w:val="clear" w:color="auto" w:fill="auto"/>
            <w:vAlign w:val="center"/>
          </w:tcPr>
          <w:p w14:paraId="014CD55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1E4766C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6E0D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68BEE6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130</w:t>
            </w:r>
          </w:p>
        </w:tc>
        <w:tc>
          <w:tcPr>
            <w:tcW w:w="708" w:type="pct"/>
            <w:shd w:val="clear" w:color="auto" w:fill="auto"/>
            <w:vAlign w:val="center"/>
          </w:tcPr>
          <w:p w14:paraId="1B97F89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H34012400159</w:t>
            </w:r>
          </w:p>
        </w:tc>
        <w:tc>
          <w:tcPr>
            <w:tcW w:w="1948" w:type="pct"/>
            <w:shd w:val="clear" w:color="auto" w:fill="auto"/>
            <w:vAlign w:val="center"/>
          </w:tcPr>
          <w:p w14:paraId="030469B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庐江县柯坦镇卫生院</w:t>
            </w:r>
          </w:p>
        </w:tc>
        <w:tc>
          <w:tcPr>
            <w:tcW w:w="959" w:type="pct"/>
            <w:shd w:val="clear" w:color="auto" w:fill="auto"/>
            <w:vAlign w:val="center"/>
          </w:tcPr>
          <w:p w14:paraId="73B25C8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09B5272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F106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E5B5AF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131</w:t>
            </w:r>
          </w:p>
        </w:tc>
        <w:tc>
          <w:tcPr>
            <w:tcW w:w="708" w:type="pct"/>
            <w:shd w:val="clear" w:color="auto" w:fill="auto"/>
            <w:vAlign w:val="center"/>
          </w:tcPr>
          <w:p w14:paraId="662C8D6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H34012400234</w:t>
            </w:r>
          </w:p>
        </w:tc>
        <w:tc>
          <w:tcPr>
            <w:tcW w:w="1948" w:type="pct"/>
            <w:shd w:val="clear" w:color="auto" w:fill="auto"/>
            <w:vAlign w:val="center"/>
          </w:tcPr>
          <w:p w14:paraId="3B1A284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庐江县龙桥中心卫生院</w:t>
            </w:r>
          </w:p>
        </w:tc>
        <w:tc>
          <w:tcPr>
            <w:tcW w:w="959" w:type="pct"/>
            <w:shd w:val="clear" w:color="auto" w:fill="auto"/>
            <w:vAlign w:val="center"/>
          </w:tcPr>
          <w:p w14:paraId="7BA6D3E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CE01C6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36866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BCCE12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132</w:t>
            </w:r>
          </w:p>
        </w:tc>
        <w:tc>
          <w:tcPr>
            <w:tcW w:w="708" w:type="pct"/>
            <w:shd w:val="clear" w:color="auto" w:fill="auto"/>
            <w:vAlign w:val="center"/>
          </w:tcPr>
          <w:p w14:paraId="04CA7FD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H34010201068</w:t>
            </w:r>
          </w:p>
        </w:tc>
        <w:tc>
          <w:tcPr>
            <w:tcW w:w="1948" w:type="pct"/>
            <w:shd w:val="clear" w:color="auto" w:fill="auto"/>
            <w:vAlign w:val="center"/>
          </w:tcPr>
          <w:p w14:paraId="78DA6D1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合肥市瑶海区大兴镇中心卫生院</w:t>
            </w:r>
          </w:p>
        </w:tc>
        <w:tc>
          <w:tcPr>
            <w:tcW w:w="959" w:type="pct"/>
            <w:shd w:val="clear" w:color="auto" w:fill="auto"/>
            <w:vAlign w:val="center"/>
          </w:tcPr>
          <w:p w14:paraId="24070B7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D625DE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6A1A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8600F3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133</w:t>
            </w:r>
          </w:p>
        </w:tc>
        <w:tc>
          <w:tcPr>
            <w:tcW w:w="708" w:type="pct"/>
            <w:shd w:val="clear" w:color="auto" w:fill="auto"/>
            <w:vAlign w:val="center"/>
          </w:tcPr>
          <w:p w14:paraId="222372B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H34012400141</w:t>
            </w:r>
          </w:p>
        </w:tc>
        <w:tc>
          <w:tcPr>
            <w:tcW w:w="1948" w:type="pct"/>
            <w:shd w:val="clear" w:color="auto" w:fill="auto"/>
            <w:vAlign w:val="center"/>
          </w:tcPr>
          <w:p w14:paraId="3AC0CF9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庐江康平医院</w:t>
            </w:r>
          </w:p>
        </w:tc>
        <w:tc>
          <w:tcPr>
            <w:tcW w:w="959" w:type="pct"/>
            <w:shd w:val="clear" w:color="auto" w:fill="auto"/>
            <w:vAlign w:val="center"/>
          </w:tcPr>
          <w:p w14:paraId="6CE2602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6DA2C9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81D8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1606AE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134</w:t>
            </w:r>
          </w:p>
        </w:tc>
        <w:tc>
          <w:tcPr>
            <w:tcW w:w="708" w:type="pct"/>
            <w:shd w:val="clear" w:color="auto" w:fill="auto"/>
            <w:vAlign w:val="center"/>
          </w:tcPr>
          <w:p w14:paraId="4352C9E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H34012400240</w:t>
            </w:r>
          </w:p>
        </w:tc>
        <w:tc>
          <w:tcPr>
            <w:tcW w:w="1948" w:type="pct"/>
            <w:shd w:val="clear" w:color="auto" w:fill="auto"/>
            <w:vAlign w:val="center"/>
          </w:tcPr>
          <w:p w14:paraId="27A78AB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庐江县庐城镇绣溪社区卫生服务中心</w:t>
            </w:r>
          </w:p>
        </w:tc>
        <w:tc>
          <w:tcPr>
            <w:tcW w:w="959" w:type="pct"/>
            <w:shd w:val="clear" w:color="auto" w:fill="auto"/>
            <w:vAlign w:val="center"/>
          </w:tcPr>
          <w:p w14:paraId="206F8E0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4D6F888">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A18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45744F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135</w:t>
            </w:r>
          </w:p>
        </w:tc>
        <w:tc>
          <w:tcPr>
            <w:tcW w:w="708" w:type="pct"/>
            <w:shd w:val="clear" w:color="auto" w:fill="auto"/>
            <w:vAlign w:val="center"/>
          </w:tcPr>
          <w:p w14:paraId="710080D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H34012200024</w:t>
            </w:r>
          </w:p>
        </w:tc>
        <w:tc>
          <w:tcPr>
            <w:tcW w:w="1948" w:type="pct"/>
            <w:shd w:val="clear" w:color="auto" w:fill="auto"/>
            <w:vAlign w:val="center"/>
          </w:tcPr>
          <w:p w14:paraId="7A3ADFF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肥东安贞医院</w:t>
            </w:r>
          </w:p>
        </w:tc>
        <w:tc>
          <w:tcPr>
            <w:tcW w:w="959" w:type="pct"/>
            <w:shd w:val="clear" w:color="auto" w:fill="auto"/>
            <w:vAlign w:val="center"/>
          </w:tcPr>
          <w:p w14:paraId="19975EA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7C5A52C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3408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B22181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136</w:t>
            </w:r>
          </w:p>
        </w:tc>
        <w:tc>
          <w:tcPr>
            <w:tcW w:w="708" w:type="pct"/>
            <w:shd w:val="clear" w:color="auto" w:fill="auto"/>
            <w:vAlign w:val="center"/>
          </w:tcPr>
          <w:p w14:paraId="35FFA9D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H34018100462</w:t>
            </w:r>
          </w:p>
        </w:tc>
        <w:tc>
          <w:tcPr>
            <w:tcW w:w="1948" w:type="pct"/>
            <w:shd w:val="clear" w:color="auto" w:fill="auto"/>
            <w:vAlign w:val="center"/>
          </w:tcPr>
          <w:p w14:paraId="0FA7A5A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巢湖凤凰医院</w:t>
            </w:r>
          </w:p>
        </w:tc>
        <w:tc>
          <w:tcPr>
            <w:tcW w:w="959" w:type="pct"/>
            <w:shd w:val="clear" w:color="auto" w:fill="auto"/>
            <w:vAlign w:val="center"/>
          </w:tcPr>
          <w:p w14:paraId="31C0EC8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6D70D398">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D034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EBD0A3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137</w:t>
            </w:r>
          </w:p>
        </w:tc>
        <w:tc>
          <w:tcPr>
            <w:tcW w:w="708" w:type="pct"/>
            <w:shd w:val="clear" w:color="auto" w:fill="auto"/>
            <w:vAlign w:val="center"/>
          </w:tcPr>
          <w:p w14:paraId="2C6EBAD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H34010200188</w:t>
            </w:r>
          </w:p>
        </w:tc>
        <w:tc>
          <w:tcPr>
            <w:tcW w:w="1948" w:type="pct"/>
            <w:shd w:val="clear" w:color="auto" w:fill="auto"/>
            <w:vAlign w:val="center"/>
          </w:tcPr>
          <w:p w14:paraId="56DD371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瑶海区红光街道社区卫生服务中心</w:t>
            </w:r>
          </w:p>
        </w:tc>
        <w:tc>
          <w:tcPr>
            <w:tcW w:w="959" w:type="pct"/>
            <w:shd w:val="clear" w:color="auto" w:fill="auto"/>
            <w:vAlign w:val="center"/>
          </w:tcPr>
          <w:p w14:paraId="51A6E74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0B15B4C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0120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C82D04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138</w:t>
            </w:r>
          </w:p>
        </w:tc>
        <w:tc>
          <w:tcPr>
            <w:tcW w:w="708" w:type="pct"/>
            <w:shd w:val="clear" w:color="auto" w:fill="auto"/>
            <w:vAlign w:val="center"/>
          </w:tcPr>
          <w:p w14:paraId="5F6E2AE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H34010400400</w:t>
            </w:r>
          </w:p>
        </w:tc>
        <w:tc>
          <w:tcPr>
            <w:tcW w:w="1948" w:type="pct"/>
            <w:shd w:val="clear" w:color="auto" w:fill="auto"/>
            <w:vAlign w:val="center"/>
          </w:tcPr>
          <w:p w14:paraId="4EFFC72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蜀山区荷叶地街道社区卫生服务中心</w:t>
            </w:r>
          </w:p>
        </w:tc>
        <w:tc>
          <w:tcPr>
            <w:tcW w:w="959" w:type="pct"/>
            <w:shd w:val="clear" w:color="auto" w:fill="auto"/>
            <w:vAlign w:val="center"/>
          </w:tcPr>
          <w:p w14:paraId="4B040849">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528F63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CDD2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A8AAA4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139</w:t>
            </w:r>
          </w:p>
        </w:tc>
        <w:tc>
          <w:tcPr>
            <w:tcW w:w="708" w:type="pct"/>
            <w:shd w:val="clear" w:color="auto" w:fill="auto"/>
            <w:vAlign w:val="center"/>
          </w:tcPr>
          <w:p w14:paraId="442A5F2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H34010400128</w:t>
            </w:r>
          </w:p>
        </w:tc>
        <w:tc>
          <w:tcPr>
            <w:tcW w:w="1948" w:type="pct"/>
            <w:shd w:val="clear" w:color="auto" w:fill="auto"/>
            <w:vAlign w:val="center"/>
          </w:tcPr>
          <w:p w14:paraId="03FAB93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蜀山区西园街道社区卫生服务中心</w:t>
            </w:r>
          </w:p>
        </w:tc>
        <w:tc>
          <w:tcPr>
            <w:tcW w:w="959" w:type="pct"/>
            <w:shd w:val="clear" w:color="auto" w:fill="auto"/>
            <w:vAlign w:val="center"/>
          </w:tcPr>
          <w:p w14:paraId="38152DC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72B882A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079FC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4E9617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140</w:t>
            </w:r>
          </w:p>
        </w:tc>
        <w:tc>
          <w:tcPr>
            <w:tcW w:w="708" w:type="pct"/>
            <w:shd w:val="clear" w:color="auto" w:fill="auto"/>
            <w:vAlign w:val="center"/>
          </w:tcPr>
          <w:p w14:paraId="5092C17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H34012400318</w:t>
            </w:r>
          </w:p>
        </w:tc>
        <w:tc>
          <w:tcPr>
            <w:tcW w:w="1948" w:type="pct"/>
            <w:shd w:val="clear" w:color="auto" w:fill="auto"/>
            <w:vAlign w:val="center"/>
          </w:tcPr>
          <w:p w14:paraId="348B20B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庐江县盛桥中心卫生院</w:t>
            </w:r>
          </w:p>
        </w:tc>
        <w:tc>
          <w:tcPr>
            <w:tcW w:w="959" w:type="pct"/>
            <w:shd w:val="clear" w:color="auto" w:fill="auto"/>
            <w:vAlign w:val="center"/>
          </w:tcPr>
          <w:p w14:paraId="6F1F515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0DC7DB2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615C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E8B135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141</w:t>
            </w:r>
          </w:p>
        </w:tc>
        <w:tc>
          <w:tcPr>
            <w:tcW w:w="708" w:type="pct"/>
            <w:shd w:val="clear" w:color="auto" w:fill="auto"/>
            <w:vAlign w:val="center"/>
          </w:tcPr>
          <w:p w14:paraId="4679826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H34017200155</w:t>
            </w:r>
          </w:p>
        </w:tc>
        <w:tc>
          <w:tcPr>
            <w:tcW w:w="1948" w:type="pct"/>
            <w:shd w:val="clear" w:color="auto" w:fill="auto"/>
            <w:vAlign w:val="center"/>
          </w:tcPr>
          <w:p w14:paraId="795795A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合肥经济技术开发区高刘社区卫生服务中心</w:t>
            </w:r>
          </w:p>
        </w:tc>
        <w:tc>
          <w:tcPr>
            <w:tcW w:w="959" w:type="pct"/>
            <w:shd w:val="clear" w:color="auto" w:fill="auto"/>
            <w:vAlign w:val="center"/>
          </w:tcPr>
          <w:p w14:paraId="09F35F0D">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329A4C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38221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C5469C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142</w:t>
            </w:r>
          </w:p>
        </w:tc>
        <w:tc>
          <w:tcPr>
            <w:tcW w:w="708" w:type="pct"/>
            <w:shd w:val="clear" w:color="auto" w:fill="auto"/>
            <w:vAlign w:val="center"/>
          </w:tcPr>
          <w:p w14:paraId="2CDE5A7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H34012101340</w:t>
            </w:r>
          </w:p>
        </w:tc>
        <w:tc>
          <w:tcPr>
            <w:tcW w:w="1948" w:type="pct"/>
            <w:shd w:val="clear" w:color="auto" w:fill="auto"/>
            <w:vAlign w:val="center"/>
          </w:tcPr>
          <w:p w14:paraId="23621B2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长丰金源医院</w:t>
            </w:r>
          </w:p>
        </w:tc>
        <w:tc>
          <w:tcPr>
            <w:tcW w:w="959" w:type="pct"/>
            <w:shd w:val="clear" w:color="auto" w:fill="auto"/>
            <w:vAlign w:val="center"/>
          </w:tcPr>
          <w:p w14:paraId="0A63D0F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0B30B0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42FE6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097127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143</w:t>
            </w:r>
          </w:p>
        </w:tc>
        <w:tc>
          <w:tcPr>
            <w:tcW w:w="708" w:type="pct"/>
            <w:shd w:val="clear" w:color="auto" w:fill="auto"/>
            <w:vAlign w:val="center"/>
          </w:tcPr>
          <w:p w14:paraId="7CF0B78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H34012100458</w:t>
            </w:r>
          </w:p>
        </w:tc>
        <w:tc>
          <w:tcPr>
            <w:tcW w:w="1948" w:type="pct"/>
            <w:shd w:val="clear" w:color="auto" w:fill="auto"/>
            <w:vAlign w:val="center"/>
          </w:tcPr>
          <w:p w14:paraId="3526D5B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长丰县吴山镇卫生院</w:t>
            </w:r>
          </w:p>
        </w:tc>
        <w:tc>
          <w:tcPr>
            <w:tcW w:w="959" w:type="pct"/>
            <w:shd w:val="clear" w:color="auto" w:fill="auto"/>
            <w:vAlign w:val="center"/>
          </w:tcPr>
          <w:p w14:paraId="0020501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656314D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11F0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819968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144</w:t>
            </w:r>
          </w:p>
        </w:tc>
        <w:tc>
          <w:tcPr>
            <w:tcW w:w="708" w:type="pct"/>
            <w:shd w:val="clear" w:color="auto" w:fill="auto"/>
            <w:vAlign w:val="center"/>
          </w:tcPr>
          <w:p w14:paraId="3D0A927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H34012300017</w:t>
            </w:r>
          </w:p>
        </w:tc>
        <w:tc>
          <w:tcPr>
            <w:tcW w:w="1948" w:type="pct"/>
            <w:shd w:val="clear" w:color="auto" w:fill="auto"/>
            <w:vAlign w:val="center"/>
          </w:tcPr>
          <w:p w14:paraId="0B2B2F9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肥西县紫蓬镇卫生院（肥西县中医院紫蓬分院）</w:t>
            </w:r>
          </w:p>
        </w:tc>
        <w:tc>
          <w:tcPr>
            <w:tcW w:w="959" w:type="pct"/>
            <w:shd w:val="clear" w:color="auto" w:fill="auto"/>
            <w:vAlign w:val="center"/>
          </w:tcPr>
          <w:p w14:paraId="4F4F6D4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98F637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42D49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56D0EF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145</w:t>
            </w:r>
          </w:p>
        </w:tc>
        <w:tc>
          <w:tcPr>
            <w:tcW w:w="708" w:type="pct"/>
            <w:shd w:val="clear" w:color="auto" w:fill="auto"/>
            <w:vAlign w:val="center"/>
          </w:tcPr>
          <w:p w14:paraId="2C9CE4C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H34012100384</w:t>
            </w:r>
          </w:p>
        </w:tc>
        <w:tc>
          <w:tcPr>
            <w:tcW w:w="1948" w:type="pct"/>
            <w:shd w:val="clear" w:color="auto" w:fill="auto"/>
            <w:vAlign w:val="center"/>
          </w:tcPr>
          <w:p w14:paraId="5426F18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长丰县杜集镇卫生院</w:t>
            </w:r>
          </w:p>
        </w:tc>
        <w:tc>
          <w:tcPr>
            <w:tcW w:w="959" w:type="pct"/>
            <w:shd w:val="clear" w:color="auto" w:fill="auto"/>
            <w:vAlign w:val="center"/>
          </w:tcPr>
          <w:p w14:paraId="3B7A359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3B5E9F4">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7324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F8AE34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146</w:t>
            </w:r>
          </w:p>
        </w:tc>
        <w:tc>
          <w:tcPr>
            <w:tcW w:w="708" w:type="pct"/>
            <w:shd w:val="clear" w:color="auto" w:fill="auto"/>
            <w:vAlign w:val="center"/>
          </w:tcPr>
          <w:p w14:paraId="4B72D0A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H34012100971</w:t>
            </w:r>
          </w:p>
        </w:tc>
        <w:tc>
          <w:tcPr>
            <w:tcW w:w="1948" w:type="pct"/>
            <w:shd w:val="clear" w:color="auto" w:fill="auto"/>
            <w:vAlign w:val="center"/>
          </w:tcPr>
          <w:p w14:paraId="070C18C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长丰县左店镇卫生院</w:t>
            </w:r>
          </w:p>
        </w:tc>
        <w:tc>
          <w:tcPr>
            <w:tcW w:w="959" w:type="pct"/>
            <w:shd w:val="clear" w:color="auto" w:fill="auto"/>
            <w:vAlign w:val="center"/>
          </w:tcPr>
          <w:p w14:paraId="5BC6CC9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1A356C4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66AF0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59EBCF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147</w:t>
            </w:r>
          </w:p>
        </w:tc>
        <w:tc>
          <w:tcPr>
            <w:tcW w:w="708" w:type="pct"/>
            <w:shd w:val="clear" w:color="auto" w:fill="auto"/>
            <w:vAlign w:val="center"/>
          </w:tcPr>
          <w:p w14:paraId="12CFA84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H34012400181</w:t>
            </w:r>
          </w:p>
        </w:tc>
        <w:tc>
          <w:tcPr>
            <w:tcW w:w="1948" w:type="pct"/>
            <w:shd w:val="clear" w:color="auto" w:fill="auto"/>
            <w:vAlign w:val="center"/>
          </w:tcPr>
          <w:p w14:paraId="611D8DC4">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庐江县乐桥中心卫生院</w:t>
            </w:r>
          </w:p>
        </w:tc>
        <w:tc>
          <w:tcPr>
            <w:tcW w:w="959" w:type="pct"/>
            <w:shd w:val="clear" w:color="auto" w:fill="auto"/>
            <w:vAlign w:val="center"/>
          </w:tcPr>
          <w:p w14:paraId="068F40B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30DE05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41CF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BCFAB0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148</w:t>
            </w:r>
          </w:p>
        </w:tc>
        <w:tc>
          <w:tcPr>
            <w:tcW w:w="708" w:type="pct"/>
            <w:shd w:val="clear" w:color="auto" w:fill="auto"/>
            <w:vAlign w:val="center"/>
          </w:tcPr>
          <w:p w14:paraId="5056CDC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H34017200101</w:t>
            </w:r>
          </w:p>
        </w:tc>
        <w:tc>
          <w:tcPr>
            <w:tcW w:w="1948" w:type="pct"/>
            <w:shd w:val="clear" w:color="auto" w:fill="auto"/>
            <w:vAlign w:val="center"/>
          </w:tcPr>
          <w:p w14:paraId="3D8C68F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合肥经济技术开发区长岗社区卫生服务中心</w:t>
            </w:r>
          </w:p>
        </w:tc>
        <w:tc>
          <w:tcPr>
            <w:tcW w:w="959" w:type="pct"/>
            <w:shd w:val="clear" w:color="auto" w:fill="auto"/>
            <w:vAlign w:val="center"/>
          </w:tcPr>
          <w:p w14:paraId="3A1329F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75967D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49782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6EA440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149</w:t>
            </w:r>
          </w:p>
        </w:tc>
        <w:tc>
          <w:tcPr>
            <w:tcW w:w="708" w:type="pct"/>
            <w:shd w:val="clear" w:color="auto" w:fill="auto"/>
            <w:vAlign w:val="center"/>
          </w:tcPr>
          <w:p w14:paraId="7E578C7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H34010200794</w:t>
            </w:r>
          </w:p>
        </w:tc>
        <w:tc>
          <w:tcPr>
            <w:tcW w:w="1948" w:type="pct"/>
            <w:shd w:val="clear" w:color="auto" w:fill="auto"/>
            <w:vAlign w:val="center"/>
          </w:tcPr>
          <w:p w14:paraId="6FB2483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合肥瑶海板桥医院</w:t>
            </w:r>
          </w:p>
        </w:tc>
        <w:tc>
          <w:tcPr>
            <w:tcW w:w="959" w:type="pct"/>
            <w:shd w:val="clear" w:color="auto" w:fill="auto"/>
            <w:vAlign w:val="center"/>
          </w:tcPr>
          <w:p w14:paraId="5F85469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907538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21BF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704A3A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150</w:t>
            </w:r>
          </w:p>
        </w:tc>
        <w:tc>
          <w:tcPr>
            <w:tcW w:w="708" w:type="pct"/>
            <w:shd w:val="clear" w:color="auto" w:fill="auto"/>
            <w:vAlign w:val="center"/>
          </w:tcPr>
          <w:p w14:paraId="4716016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H34012400253</w:t>
            </w:r>
          </w:p>
        </w:tc>
        <w:tc>
          <w:tcPr>
            <w:tcW w:w="1948" w:type="pct"/>
            <w:shd w:val="clear" w:color="auto" w:fill="auto"/>
            <w:vAlign w:val="center"/>
          </w:tcPr>
          <w:p w14:paraId="6395DB2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庐江瑞德医院</w:t>
            </w:r>
          </w:p>
        </w:tc>
        <w:tc>
          <w:tcPr>
            <w:tcW w:w="959" w:type="pct"/>
            <w:shd w:val="clear" w:color="auto" w:fill="auto"/>
            <w:vAlign w:val="center"/>
          </w:tcPr>
          <w:p w14:paraId="68DDD96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1DD896F4">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604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3BDB50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151</w:t>
            </w:r>
          </w:p>
        </w:tc>
        <w:tc>
          <w:tcPr>
            <w:tcW w:w="708" w:type="pct"/>
            <w:shd w:val="clear" w:color="auto" w:fill="auto"/>
            <w:vAlign w:val="center"/>
          </w:tcPr>
          <w:p w14:paraId="760AAB3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H34012100984</w:t>
            </w:r>
          </w:p>
        </w:tc>
        <w:tc>
          <w:tcPr>
            <w:tcW w:w="1948" w:type="pct"/>
            <w:shd w:val="clear" w:color="auto" w:fill="auto"/>
            <w:vAlign w:val="center"/>
          </w:tcPr>
          <w:p w14:paraId="5671F0C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长丰县罗塘乡卫生院</w:t>
            </w:r>
          </w:p>
        </w:tc>
        <w:tc>
          <w:tcPr>
            <w:tcW w:w="959" w:type="pct"/>
            <w:shd w:val="clear" w:color="auto" w:fill="auto"/>
            <w:vAlign w:val="center"/>
          </w:tcPr>
          <w:p w14:paraId="7AFD6225">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607FD7A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2CB1D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774EDF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152</w:t>
            </w:r>
          </w:p>
        </w:tc>
        <w:tc>
          <w:tcPr>
            <w:tcW w:w="708" w:type="pct"/>
            <w:shd w:val="clear" w:color="auto" w:fill="auto"/>
            <w:vAlign w:val="center"/>
          </w:tcPr>
          <w:p w14:paraId="34F0959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H34012200862</w:t>
            </w:r>
          </w:p>
        </w:tc>
        <w:tc>
          <w:tcPr>
            <w:tcW w:w="1948" w:type="pct"/>
            <w:shd w:val="clear" w:color="auto" w:fill="auto"/>
            <w:vAlign w:val="center"/>
          </w:tcPr>
          <w:p w14:paraId="6F97EDB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肥东县包公镇卫生院</w:t>
            </w:r>
          </w:p>
        </w:tc>
        <w:tc>
          <w:tcPr>
            <w:tcW w:w="959" w:type="pct"/>
            <w:shd w:val="clear" w:color="auto" w:fill="auto"/>
            <w:vAlign w:val="center"/>
          </w:tcPr>
          <w:p w14:paraId="10F5FBE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5AA7C4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1A9FB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74846E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153</w:t>
            </w:r>
          </w:p>
        </w:tc>
        <w:tc>
          <w:tcPr>
            <w:tcW w:w="708" w:type="pct"/>
            <w:shd w:val="clear" w:color="auto" w:fill="auto"/>
            <w:vAlign w:val="center"/>
          </w:tcPr>
          <w:p w14:paraId="0C5BF5D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H34012400191</w:t>
            </w:r>
          </w:p>
        </w:tc>
        <w:tc>
          <w:tcPr>
            <w:tcW w:w="1948" w:type="pct"/>
            <w:shd w:val="clear" w:color="auto" w:fill="auto"/>
            <w:vAlign w:val="center"/>
          </w:tcPr>
          <w:p w14:paraId="09C4E75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庐江康宁医院</w:t>
            </w:r>
          </w:p>
        </w:tc>
        <w:tc>
          <w:tcPr>
            <w:tcW w:w="959" w:type="pct"/>
            <w:shd w:val="clear" w:color="auto" w:fill="auto"/>
            <w:vAlign w:val="center"/>
          </w:tcPr>
          <w:p w14:paraId="7DDBDB89">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623C5B7B">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42A7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05F79A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154</w:t>
            </w:r>
          </w:p>
        </w:tc>
        <w:tc>
          <w:tcPr>
            <w:tcW w:w="708" w:type="pct"/>
            <w:shd w:val="clear" w:color="auto" w:fill="auto"/>
            <w:vAlign w:val="center"/>
          </w:tcPr>
          <w:p w14:paraId="2B0728B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H34012400216</w:t>
            </w:r>
          </w:p>
        </w:tc>
        <w:tc>
          <w:tcPr>
            <w:tcW w:w="1948" w:type="pct"/>
            <w:shd w:val="clear" w:color="auto" w:fill="auto"/>
            <w:vAlign w:val="center"/>
          </w:tcPr>
          <w:p w14:paraId="7BFDC43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庐江泰安医院</w:t>
            </w:r>
          </w:p>
        </w:tc>
        <w:tc>
          <w:tcPr>
            <w:tcW w:w="959" w:type="pct"/>
            <w:shd w:val="clear" w:color="auto" w:fill="auto"/>
            <w:vAlign w:val="center"/>
          </w:tcPr>
          <w:p w14:paraId="76D0807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470A08B">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8380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B46BD6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155</w:t>
            </w:r>
          </w:p>
        </w:tc>
        <w:tc>
          <w:tcPr>
            <w:tcW w:w="708" w:type="pct"/>
            <w:shd w:val="clear" w:color="auto" w:fill="auto"/>
            <w:vAlign w:val="center"/>
          </w:tcPr>
          <w:p w14:paraId="0672231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H34010301081</w:t>
            </w:r>
          </w:p>
        </w:tc>
        <w:tc>
          <w:tcPr>
            <w:tcW w:w="1948" w:type="pct"/>
            <w:shd w:val="clear" w:color="auto" w:fill="auto"/>
            <w:vAlign w:val="center"/>
          </w:tcPr>
          <w:p w14:paraId="30C6432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庐阳区逍遥津街道第二社区卫生服务中心</w:t>
            </w:r>
          </w:p>
        </w:tc>
        <w:tc>
          <w:tcPr>
            <w:tcW w:w="959" w:type="pct"/>
            <w:shd w:val="clear" w:color="auto" w:fill="auto"/>
            <w:vAlign w:val="center"/>
          </w:tcPr>
          <w:p w14:paraId="359ED36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BF6EBE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09CE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6788B2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156</w:t>
            </w:r>
          </w:p>
        </w:tc>
        <w:tc>
          <w:tcPr>
            <w:tcW w:w="708" w:type="pct"/>
            <w:shd w:val="clear" w:color="auto" w:fill="auto"/>
            <w:vAlign w:val="center"/>
          </w:tcPr>
          <w:p w14:paraId="3E10DA8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H34012200043</w:t>
            </w:r>
          </w:p>
        </w:tc>
        <w:tc>
          <w:tcPr>
            <w:tcW w:w="1948" w:type="pct"/>
            <w:shd w:val="clear" w:color="auto" w:fill="auto"/>
            <w:vAlign w:val="center"/>
          </w:tcPr>
          <w:p w14:paraId="702B6A8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肥东县长临河镇卫生院</w:t>
            </w:r>
          </w:p>
        </w:tc>
        <w:tc>
          <w:tcPr>
            <w:tcW w:w="959" w:type="pct"/>
            <w:shd w:val="clear" w:color="auto" w:fill="auto"/>
            <w:vAlign w:val="center"/>
          </w:tcPr>
          <w:p w14:paraId="314E38D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18143C9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67F3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640F6F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157</w:t>
            </w:r>
          </w:p>
        </w:tc>
        <w:tc>
          <w:tcPr>
            <w:tcW w:w="708" w:type="pct"/>
            <w:shd w:val="clear" w:color="auto" w:fill="auto"/>
            <w:vAlign w:val="center"/>
          </w:tcPr>
          <w:p w14:paraId="5C33448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H34012200033</w:t>
            </w:r>
          </w:p>
        </w:tc>
        <w:tc>
          <w:tcPr>
            <w:tcW w:w="1948" w:type="pct"/>
            <w:shd w:val="clear" w:color="auto" w:fill="auto"/>
            <w:vAlign w:val="center"/>
          </w:tcPr>
          <w:p w14:paraId="098D3C1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肥东县八斗镇中心卫生院</w:t>
            </w:r>
          </w:p>
        </w:tc>
        <w:tc>
          <w:tcPr>
            <w:tcW w:w="959" w:type="pct"/>
            <w:shd w:val="clear" w:color="auto" w:fill="auto"/>
            <w:vAlign w:val="center"/>
          </w:tcPr>
          <w:p w14:paraId="6192906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648FF777">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16571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4A1572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158</w:t>
            </w:r>
          </w:p>
        </w:tc>
        <w:tc>
          <w:tcPr>
            <w:tcW w:w="708" w:type="pct"/>
            <w:shd w:val="clear" w:color="auto" w:fill="auto"/>
            <w:vAlign w:val="center"/>
          </w:tcPr>
          <w:p w14:paraId="579FB91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H34012200038</w:t>
            </w:r>
          </w:p>
        </w:tc>
        <w:tc>
          <w:tcPr>
            <w:tcW w:w="1948" w:type="pct"/>
            <w:shd w:val="clear" w:color="auto" w:fill="auto"/>
            <w:vAlign w:val="center"/>
          </w:tcPr>
          <w:p w14:paraId="086F524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肥东县响导乡卫生院</w:t>
            </w:r>
          </w:p>
        </w:tc>
        <w:tc>
          <w:tcPr>
            <w:tcW w:w="959" w:type="pct"/>
            <w:shd w:val="clear" w:color="auto" w:fill="auto"/>
            <w:vAlign w:val="center"/>
          </w:tcPr>
          <w:p w14:paraId="7792714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9CF938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2A659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87B771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159</w:t>
            </w:r>
          </w:p>
        </w:tc>
        <w:tc>
          <w:tcPr>
            <w:tcW w:w="708" w:type="pct"/>
            <w:shd w:val="clear" w:color="auto" w:fill="auto"/>
            <w:vAlign w:val="center"/>
          </w:tcPr>
          <w:p w14:paraId="6499E7B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H34012400554</w:t>
            </w:r>
          </w:p>
        </w:tc>
        <w:tc>
          <w:tcPr>
            <w:tcW w:w="1948" w:type="pct"/>
            <w:shd w:val="clear" w:color="auto" w:fill="auto"/>
            <w:vAlign w:val="center"/>
          </w:tcPr>
          <w:p w14:paraId="372233C2">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庐江县汤池中心卫生院</w:t>
            </w:r>
          </w:p>
        </w:tc>
        <w:tc>
          <w:tcPr>
            <w:tcW w:w="959" w:type="pct"/>
            <w:shd w:val="clear" w:color="auto" w:fill="auto"/>
            <w:vAlign w:val="center"/>
          </w:tcPr>
          <w:p w14:paraId="71F4DC0B">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0BDFDB08">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2E8A1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D35795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160</w:t>
            </w:r>
          </w:p>
        </w:tc>
        <w:tc>
          <w:tcPr>
            <w:tcW w:w="708" w:type="pct"/>
            <w:shd w:val="clear" w:color="auto" w:fill="auto"/>
            <w:vAlign w:val="center"/>
          </w:tcPr>
          <w:p w14:paraId="2F3115E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H34011100963</w:t>
            </w:r>
          </w:p>
        </w:tc>
        <w:tc>
          <w:tcPr>
            <w:tcW w:w="1948" w:type="pct"/>
            <w:shd w:val="clear" w:color="auto" w:fill="auto"/>
            <w:vAlign w:val="center"/>
          </w:tcPr>
          <w:p w14:paraId="134F980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合肥市包河区芜湖路街道社区卫生服务中心</w:t>
            </w:r>
          </w:p>
        </w:tc>
        <w:tc>
          <w:tcPr>
            <w:tcW w:w="959" w:type="pct"/>
            <w:shd w:val="clear" w:color="auto" w:fill="auto"/>
            <w:vAlign w:val="center"/>
          </w:tcPr>
          <w:p w14:paraId="4191A8A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6A972D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49D59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7B678D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161</w:t>
            </w:r>
          </w:p>
        </w:tc>
        <w:tc>
          <w:tcPr>
            <w:tcW w:w="708" w:type="pct"/>
            <w:shd w:val="clear" w:color="auto" w:fill="auto"/>
            <w:vAlign w:val="center"/>
          </w:tcPr>
          <w:p w14:paraId="326056B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H34010200553</w:t>
            </w:r>
          </w:p>
        </w:tc>
        <w:tc>
          <w:tcPr>
            <w:tcW w:w="1948" w:type="pct"/>
            <w:shd w:val="clear" w:color="auto" w:fill="auto"/>
            <w:vAlign w:val="center"/>
          </w:tcPr>
          <w:p w14:paraId="2F9AD7AD">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瑶海区七里站街道社区卫生服务中心</w:t>
            </w:r>
          </w:p>
        </w:tc>
        <w:tc>
          <w:tcPr>
            <w:tcW w:w="959" w:type="pct"/>
            <w:shd w:val="clear" w:color="auto" w:fill="auto"/>
            <w:vAlign w:val="center"/>
          </w:tcPr>
          <w:p w14:paraId="6872270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866A8C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0A719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7E384C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162</w:t>
            </w:r>
          </w:p>
        </w:tc>
        <w:tc>
          <w:tcPr>
            <w:tcW w:w="708" w:type="pct"/>
            <w:shd w:val="clear" w:color="auto" w:fill="auto"/>
            <w:vAlign w:val="center"/>
          </w:tcPr>
          <w:p w14:paraId="5D50A4C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H34012200042</w:t>
            </w:r>
          </w:p>
        </w:tc>
        <w:tc>
          <w:tcPr>
            <w:tcW w:w="1948" w:type="pct"/>
            <w:shd w:val="clear" w:color="auto" w:fill="auto"/>
            <w:vAlign w:val="center"/>
          </w:tcPr>
          <w:p w14:paraId="59E6580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肥东县杨店乡卫生院</w:t>
            </w:r>
          </w:p>
        </w:tc>
        <w:tc>
          <w:tcPr>
            <w:tcW w:w="959" w:type="pct"/>
            <w:shd w:val="clear" w:color="auto" w:fill="auto"/>
            <w:vAlign w:val="center"/>
          </w:tcPr>
          <w:p w14:paraId="07AAAAE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CAFBB44">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20CD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5EF6D85">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163</w:t>
            </w:r>
          </w:p>
        </w:tc>
        <w:tc>
          <w:tcPr>
            <w:tcW w:w="708" w:type="pct"/>
            <w:shd w:val="clear" w:color="auto" w:fill="auto"/>
            <w:vAlign w:val="center"/>
          </w:tcPr>
          <w:p w14:paraId="4CB36E7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H34018102626</w:t>
            </w:r>
          </w:p>
        </w:tc>
        <w:tc>
          <w:tcPr>
            <w:tcW w:w="1948" w:type="pct"/>
            <w:shd w:val="clear" w:color="auto" w:fill="auto"/>
            <w:vAlign w:val="center"/>
          </w:tcPr>
          <w:p w14:paraId="22A2E62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中铁佰和医院</w:t>
            </w:r>
          </w:p>
        </w:tc>
        <w:tc>
          <w:tcPr>
            <w:tcW w:w="959" w:type="pct"/>
            <w:shd w:val="clear" w:color="auto" w:fill="auto"/>
            <w:vAlign w:val="center"/>
          </w:tcPr>
          <w:p w14:paraId="65A02F9F">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2FE4F2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637AE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BB7120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164</w:t>
            </w:r>
          </w:p>
        </w:tc>
        <w:tc>
          <w:tcPr>
            <w:tcW w:w="708" w:type="pct"/>
            <w:shd w:val="clear" w:color="auto" w:fill="auto"/>
            <w:vAlign w:val="center"/>
          </w:tcPr>
          <w:p w14:paraId="0ECC7C2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H34012200062</w:t>
            </w:r>
          </w:p>
        </w:tc>
        <w:tc>
          <w:tcPr>
            <w:tcW w:w="1948" w:type="pct"/>
            <w:shd w:val="clear" w:color="auto" w:fill="auto"/>
            <w:vAlign w:val="center"/>
          </w:tcPr>
          <w:p w14:paraId="40BF341E">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肥东县白龙镇中心卫生院</w:t>
            </w:r>
          </w:p>
        </w:tc>
        <w:tc>
          <w:tcPr>
            <w:tcW w:w="959" w:type="pct"/>
            <w:shd w:val="clear" w:color="auto" w:fill="auto"/>
            <w:vAlign w:val="center"/>
          </w:tcPr>
          <w:p w14:paraId="0EDC05EC">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A83226E">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315F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3FB5A9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165</w:t>
            </w:r>
          </w:p>
        </w:tc>
        <w:tc>
          <w:tcPr>
            <w:tcW w:w="708" w:type="pct"/>
            <w:shd w:val="clear" w:color="auto" w:fill="auto"/>
            <w:vAlign w:val="center"/>
          </w:tcPr>
          <w:p w14:paraId="3919F74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H34012400289</w:t>
            </w:r>
          </w:p>
        </w:tc>
        <w:tc>
          <w:tcPr>
            <w:tcW w:w="1948" w:type="pct"/>
            <w:shd w:val="clear" w:color="auto" w:fill="auto"/>
            <w:vAlign w:val="center"/>
          </w:tcPr>
          <w:p w14:paraId="62242072">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庐江县万山镇卫生院</w:t>
            </w:r>
          </w:p>
        </w:tc>
        <w:tc>
          <w:tcPr>
            <w:tcW w:w="959" w:type="pct"/>
            <w:shd w:val="clear" w:color="auto" w:fill="auto"/>
            <w:vAlign w:val="center"/>
          </w:tcPr>
          <w:p w14:paraId="4A98B55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19E2CC6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C63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3DF593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166</w:t>
            </w:r>
          </w:p>
        </w:tc>
        <w:tc>
          <w:tcPr>
            <w:tcW w:w="708" w:type="pct"/>
            <w:shd w:val="clear" w:color="auto" w:fill="auto"/>
            <w:vAlign w:val="center"/>
          </w:tcPr>
          <w:p w14:paraId="43A77C7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H34012200993</w:t>
            </w:r>
          </w:p>
        </w:tc>
        <w:tc>
          <w:tcPr>
            <w:tcW w:w="1948" w:type="pct"/>
            <w:shd w:val="clear" w:color="auto" w:fill="auto"/>
            <w:vAlign w:val="center"/>
          </w:tcPr>
          <w:p w14:paraId="1429DE0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肥东县元疃镇卫生院</w:t>
            </w:r>
          </w:p>
        </w:tc>
        <w:tc>
          <w:tcPr>
            <w:tcW w:w="959" w:type="pct"/>
            <w:shd w:val="clear" w:color="auto" w:fill="auto"/>
            <w:vAlign w:val="center"/>
          </w:tcPr>
          <w:p w14:paraId="788D309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1672EF5">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3EC2B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1F20FF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167</w:t>
            </w:r>
          </w:p>
        </w:tc>
        <w:tc>
          <w:tcPr>
            <w:tcW w:w="708" w:type="pct"/>
            <w:shd w:val="clear" w:color="auto" w:fill="auto"/>
            <w:vAlign w:val="center"/>
          </w:tcPr>
          <w:p w14:paraId="2EC86DD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H34012200055</w:t>
            </w:r>
          </w:p>
        </w:tc>
        <w:tc>
          <w:tcPr>
            <w:tcW w:w="1948" w:type="pct"/>
            <w:shd w:val="clear" w:color="auto" w:fill="auto"/>
            <w:vAlign w:val="center"/>
          </w:tcPr>
          <w:p w14:paraId="011B72BE">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肥东县张集乡卫生院</w:t>
            </w:r>
          </w:p>
        </w:tc>
        <w:tc>
          <w:tcPr>
            <w:tcW w:w="959" w:type="pct"/>
            <w:shd w:val="clear" w:color="auto" w:fill="auto"/>
            <w:vAlign w:val="center"/>
          </w:tcPr>
          <w:p w14:paraId="0C79E44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61882CFA">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5AAA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21E945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168</w:t>
            </w:r>
          </w:p>
        </w:tc>
        <w:tc>
          <w:tcPr>
            <w:tcW w:w="708" w:type="pct"/>
            <w:shd w:val="clear" w:color="auto" w:fill="auto"/>
            <w:vAlign w:val="center"/>
          </w:tcPr>
          <w:p w14:paraId="0772CD0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H34012100372</w:t>
            </w:r>
          </w:p>
        </w:tc>
        <w:tc>
          <w:tcPr>
            <w:tcW w:w="1948" w:type="pct"/>
            <w:shd w:val="clear" w:color="auto" w:fill="auto"/>
            <w:vAlign w:val="center"/>
          </w:tcPr>
          <w:p w14:paraId="14B394EA">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长丰县陶楼镇卫生院</w:t>
            </w:r>
          </w:p>
        </w:tc>
        <w:tc>
          <w:tcPr>
            <w:tcW w:w="959" w:type="pct"/>
            <w:shd w:val="clear" w:color="auto" w:fill="auto"/>
            <w:vAlign w:val="center"/>
          </w:tcPr>
          <w:p w14:paraId="0C0E4ED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7604D9F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107C1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56B4A9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169</w:t>
            </w:r>
          </w:p>
        </w:tc>
        <w:tc>
          <w:tcPr>
            <w:tcW w:w="708" w:type="pct"/>
            <w:shd w:val="clear" w:color="auto" w:fill="auto"/>
            <w:vAlign w:val="center"/>
          </w:tcPr>
          <w:p w14:paraId="20DCE9B8">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H34012400595</w:t>
            </w:r>
          </w:p>
        </w:tc>
        <w:tc>
          <w:tcPr>
            <w:tcW w:w="1948" w:type="pct"/>
            <w:shd w:val="clear" w:color="auto" w:fill="auto"/>
            <w:vAlign w:val="center"/>
          </w:tcPr>
          <w:p w14:paraId="4BC999F3">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庐江平安康复医院</w:t>
            </w:r>
          </w:p>
        </w:tc>
        <w:tc>
          <w:tcPr>
            <w:tcW w:w="959" w:type="pct"/>
            <w:shd w:val="clear" w:color="auto" w:fill="auto"/>
            <w:vAlign w:val="center"/>
          </w:tcPr>
          <w:p w14:paraId="1641A7B4">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6B2453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78B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7574A65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170</w:t>
            </w:r>
          </w:p>
        </w:tc>
        <w:tc>
          <w:tcPr>
            <w:tcW w:w="708" w:type="pct"/>
            <w:shd w:val="clear" w:color="auto" w:fill="auto"/>
            <w:vAlign w:val="center"/>
          </w:tcPr>
          <w:p w14:paraId="501DE62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H34012100452</w:t>
            </w:r>
          </w:p>
        </w:tc>
        <w:tc>
          <w:tcPr>
            <w:tcW w:w="1948" w:type="pct"/>
            <w:shd w:val="clear" w:color="auto" w:fill="auto"/>
            <w:vAlign w:val="center"/>
          </w:tcPr>
          <w:p w14:paraId="30F6B7E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长丰县造甲乡卫生院</w:t>
            </w:r>
          </w:p>
        </w:tc>
        <w:tc>
          <w:tcPr>
            <w:tcW w:w="959" w:type="pct"/>
            <w:shd w:val="clear" w:color="auto" w:fill="auto"/>
            <w:vAlign w:val="center"/>
          </w:tcPr>
          <w:p w14:paraId="4D8ABBE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32418F1">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0C733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43E8C4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171</w:t>
            </w:r>
          </w:p>
        </w:tc>
        <w:tc>
          <w:tcPr>
            <w:tcW w:w="708" w:type="pct"/>
            <w:shd w:val="clear" w:color="auto" w:fill="auto"/>
            <w:vAlign w:val="center"/>
          </w:tcPr>
          <w:p w14:paraId="6EBFFBF3">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H34012100392</w:t>
            </w:r>
          </w:p>
        </w:tc>
        <w:tc>
          <w:tcPr>
            <w:tcW w:w="1948" w:type="pct"/>
            <w:shd w:val="clear" w:color="auto" w:fill="auto"/>
            <w:vAlign w:val="center"/>
          </w:tcPr>
          <w:p w14:paraId="1D13C489">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长丰县义井镇卫生院</w:t>
            </w:r>
          </w:p>
        </w:tc>
        <w:tc>
          <w:tcPr>
            <w:tcW w:w="959" w:type="pct"/>
            <w:shd w:val="clear" w:color="auto" w:fill="auto"/>
            <w:vAlign w:val="center"/>
          </w:tcPr>
          <w:p w14:paraId="4FFEF6C7">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E30BF5B">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8A8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6EEE8B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172</w:t>
            </w:r>
          </w:p>
        </w:tc>
        <w:tc>
          <w:tcPr>
            <w:tcW w:w="708" w:type="pct"/>
            <w:shd w:val="clear" w:color="auto" w:fill="auto"/>
            <w:vAlign w:val="center"/>
          </w:tcPr>
          <w:p w14:paraId="577F53E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H34018100072</w:t>
            </w:r>
          </w:p>
        </w:tc>
        <w:tc>
          <w:tcPr>
            <w:tcW w:w="1948" w:type="pct"/>
            <w:shd w:val="clear" w:color="auto" w:fill="auto"/>
            <w:vAlign w:val="center"/>
          </w:tcPr>
          <w:p w14:paraId="5F96711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巢湖市栏杆集镇骨科医院</w:t>
            </w:r>
          </w:p>
        </w:tc>
        <w:tc>
          <w:tcPr>
            <w:tcW w:w="959" w:type="pct"/>
            <w:shd w:val="clear" w:color="auto" w:fill="auto"/>
            <w:vAlign w:val="center"/>
          </w:tcPr>
          <w:p w14:paraId="5F06D2B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B16E650">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2E417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99A508B">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173</w:t>
            </w:r>
          </w:p>
        </w:tc>
        <w:tc>
          <w:tcPr>
            <w:tcW w:w="708" w:type="pct"/>
            <w:shd w:val="clear" w:color="auto" w:fill="auto"/>
            <w:vAlign w:val="center"/>
          </w:tcPr>
          <w:p w14:paraId="175872F7">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H34012200108</w:t>
            </w:r>
          </w:p>
        </w:tc>
        <w:tc>
          <w:tcPr>
            <w:tcW w:w="1948" w:type="pct"/>
            <w:shd w:val="clear" w:color="auto" w:fill="auto"/>
            <w:vAlign w:val="center"/>
          </w:tcPr>
          <w:p w14:paraId="686B899E">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肥东县马湖乡卫生院</w:t>
            </w:r>
          </w:p>
        </w:tc>
        <w:tc>
          <w:tcPr>
            <w:tcW w:w="959" w:type="pct"/>
            <w:shd w:val="clear" w:color="auto" w:fill="auto"/>
            <w:vAlign w:val="center"/>
          </w:tcPr>
          <w:p w14:paraId="03A8FFE9">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1014A2CA">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05173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AE4D09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174</w:t>
            </w:r>
          </w:p>
        </w:tc>
        <w:tc>
          <w:tcPr>
            <w:tcW w:w="708" w:type="pct"/>
            <w:shd w:val="clear" w:color="auto" w:fill="auto"/>
            <w:vAlign w:val="center"/>
          </w:tcPr>
          <w:p w14:paraId="11B16F8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H34010302758</w:t>
            </w:r>
          </w:p>
        </w:tc>
        <w:tc>
          <w:tcPr>
            <w:tcW w:w="1948" w:type="pct"/>
            <w:shd w:val="clear" w:color="auto" w:fill="auto"/>
            <w:vAlign w:val="center"/>
          </w:tcPr>
          <w:p w14:paraId="35C4030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合肥慧视眼科医院</w:t>
            </w:r>
          </w:p>
        </w:tc>
        <w:tc>
          <w:tcPr>
            <w:tcW w:w="959" w:type="pct"/>
            <w:shd w:val="clear" w:color="auto" w:fill="auto"/>
            <w:vAlign w:val="center"/>
          </w:tcPr>
          <w:p w14:paraId="78CFD683">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45A04F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417E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6674DAF">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175</w:t>
            </w:r>
          </w:p>
        </w:tc>
        <w:tc>
          <w:tcPr>
            <w:tcW w:w="708" w:type="pct"/>
            <w:shd w:val="clear" w:color="auto" w:fill="auto"/>
            <w:vAlign w:val="center"/>
          </w:tcPr>
          <w:p w14:paraId="5CF3657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H34012200044</w:t>
            </w:r>
          </w:p>
        </w:tc>
        <w:tc>
          <w:tcPr>
            <w:tcW w:w="1948" w:type="pct"/>
            <w:shd w:val="clear" w:color="auto" w:fill="auto"/>
            <w:vAlign w:val="center"/>
          </w:tcPr>
          <w:p w14:paraId="150A16AF">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肥东东泰医院</w:t>
            </w:r>
          </w:p>
        </w:tc>
        <w:tc>
          <w:tcPr>
            <w:tcW w:w="959" w:type="pct"/>
            <w:shd w:val="clear" w:color="auto" w:fill="auto"/>
            <w:vAlign w:val="center"/>
          </w:tcPr>
          <w:p w14:paraId="19B9F762">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327BD62">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26A2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11CABF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176</w:t>
            </w:r>
          </w:p>
        </w:tc>
        <w:tc>
          <w:tcPr>
            <w:tcW w:w="708" w:type="pct"/>
            <w:shd w:val="clear" w:color="auto" w:fill="auto"/>
            <w:vAlign w:val="center"/>
          </w:tcPr>
          <w:p w14:paraId="4A9B159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H34012200156</w:t>
            </w:r>
          </w:p>
        </w:tc>
        <w:tc>
          <w:tcPr>
            <w:tcW w:w="1948" w:type="pct"/>
            <w:shd w:val="clear" w:color="auto" w:fill="auto"/>
            <w:vAlign w:val="center"/>
          </w:tcPr>
          <w:p w14:paraId="1DA691DB">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肥东县撮镇镇中心卫生院龙塘分院</w:t>
            </w:r>
          </w:p>
        </w:tc>
        <w:tc>
          <w:tcPr>
            <w:tcW w:w="959" w:type="pct"/>
            <w:shd w:val="clear" w:color="auto" w:fill="auto"/>
            <w:vAlign w:val="center"/>
          </w:tcPr>
          <w:p w14:paraId="15B5CD00">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60BB44BD">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7277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E53971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177</w:t>
            </w:r>
          </w:p>
        </w:tc>
        <w:tc>
          <w:tcPr>
            <w:tcW w:w="708" w:type="pct"/>
            <w:shd w:val="clear" w:color="auto" w:fill="auto"/>
            <w:vAlign w:val="center"/>
          </w:tcPr>
          <w:p w14:paraId="1F73378D">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H34012200049</w:t>
            </w:r>
          </w:p>
        </w:tc>
        <w:tc>
          <w:tcPr>
            <w:tcW w:w="1948" w:type="pct"/>
            <w:shd w:val="clear" w:color="auto" w:fill="auto"/>
            <w:vAlign w:val="center"/>
          </w:tcPr>
          <w:p w14:paraId="59CDCF56">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肥东县石塘镇中心卫生院龙城分院</w:t>
            </w:r>
          </w:p>
        </w:tc>
        <w:tc>
          <w:tcPr>
            <w:tcW w:w="959" w:type="pct"/>
            <w:shd w:val="clear" w:color="auto" w:fill="auto"/>
            <w:vAlign w:val="center"/>
          </w:tcPr>
          <w:p w14:paraId="45DA438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3473BFDC">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3224A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42D34F80">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178</w:t>
            </w:r>
          </w:p>
        </w:tc>
        <w:tc>
          <w:tcPr>
            <w:tcW w:w="708" w:type="pct"/>
            <w:shd w:val="clear" w:color="auto" w:fill="auto"/>
            <w:vAlign w:val="center"/>
          </w:tcPr>
          <w:p w14:paraId="7BAC955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H34010200541</w:t>
            </w:r>
          </w:p>
        </w:tc>
        <w:tc>
          <w:tcPr>
            <w:tcW w:w="1948" w:type="pct"/>
            <w:shd w:val="clear" w:color="auto" w:fill="auto"/>
            <w:vAlign w:val="center"/>
          </w:tcPr>
          <w:p w14:paraId="1C464305">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瑶海区三里街街道社区卫生服务中心</w:t>
            </w:r>
          </w:p>
        </w:tc>
        <w:tc>
          <w:tcPr>
            <w:tcW w:w="959" w:type="pct"/>
            <w:shd w:val="clear" w:color="auto" w:fill="auto"/>
            <w:vAlign w:val="center"/>
          </w:tcPr>
          <w:p w14:paraId="150E5E3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5033BC0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55736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350405AC">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179</w:t>
            </w:r>
          </w:p>
        </w:tc>
        <w:tc>
          <w:tcPr>
            <w:tcW w:w="708" w:type="pct"/>
            <w:shd w:val="clear" w:color="auto" w:fill="auto"/>
            <w:vAlign w:val="center"/>
          </w:tcPr>
          <w:p w14:paraId="04CB0FC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H34010400248</w:t>
            </w:r>
          </w:p>
        </w:tc>
        <w:tc>
          <w:tcPr>
            <w:tcW w:w="1948" w:type="pct"/>
            <w:shd w:val="clear" w:color="auto" w:fill="auto"/>
            <w:vAlign w:val="center"/>
          </w:tcPr>
          <w:p w14:paraId="69864E6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蜀山区经济技术开发区社区卫生服务中心</w:t>
            </w:r>
          </w:p>
        </w:tc>
        <w:tc>
          <w:tcPr>
            <w:tcW w:w="959" w:type="pct"/>
            <w:shd w:val="clear" w:color="auto" w:fill="auto"/>
            <w:vAlign w:val="center"/>
          </w:tcPr>
          <w:p w14:paraId="1B8879C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7FE8FAF7">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AFAD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08D6472">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180</w:t>
            </w:r>
          </w:p>
        </w:tc>
        <w:tc>
          <w:tcPr>
            <w:tcW w:w="708" w:type="pct"/>
            <w:shd w:val="clear" w:color="auto" w:fill="auto"/>
            <w:vAlign w:val="center"/>
          </w:tcPr>
          <w:p w14:paraId="58C460A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H34012400220</w:t>
            </w:r>
          </w:p>
        </w:tc>
        <w:tc>
          <w:tcPr>
            <w:tcW w:w="1948" w:type="pct"/>
            <w:shd w:val="clear" w:color="auto" w:fill="auto"/>
            <w:vAlign w:val="center"/>
          </w:tcPr>
          <w:p w14:paraId="648AF50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庐江县郭河镇卫生院</w:t>
            </w:r>
          </w:p>
        </w:tc>
        <w:tc>
          <w:tcPr>
            <w:tcW w:w="959" w:type="pct"/>
            <w:shd w:val="clear" w:color="auto" w:fill="auto"/>
            <w:vAlign w:val="center"/>
          </w:tcPr>
          <w:p w14:paraId="036AA56A">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1C92D88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0A447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6586EF8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181</w:t>
            </w:r>
          </w:p>
        </w:tc>
        <w:tc>
          <w:tcPr>
            <w:tcW w:w="708" w:type="pct"/>
            <w:shd w:val="clear" w:color="auto" w:fill="auto"/>
            <w:vAlign w:val="center"/>
          </w:tcPr>
          <w:p w14:paraId="719DC204">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H34012400282</w:t>
            </w:r>
          </w:p>
        </w:tc>
        <w:tc>
          <w:tcPr>
            <w:tcW w:w="1948" w:type="pct"/>
            <w:shd w:val="clear" w:color="auto" w:fill="auto"/>
            <w:vAlign w:val="center"/>
          </w:tcPr>
          <w:p w14:paraId="673F9B60">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庐江县白山中心卫生院</w:t>
            </w:r>
          </w:p>
        </w:tc>
        <w:tc>
          <w:tcPr>
            <w:tcW w:w="959" w:type="pct"/>
            <w:shd w:val="clear" w:color="auto" w:fill="auto"/>
            <w:vAlign w:val="center"/>
          </w:tcPr>
          <w:p w14:paraId="28D41C2E">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61CEE27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6B6D9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21B97F8A">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182</w:t>
            </w:r>
          </w:p>
        </w:tc>
        <w:tc>
          <w:tcPr>
            <w:tcW w:w="708" w:type="pct"/>
            <w:shd w:val="clear" w:color="auto" w:fill="auto"/>
            <w:vAlign w:val="center"/>
          </w:tcPr>
          <w:p w14:paraId="4072FB0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H34010302930</w:t>
            </w:r>
          </w:p>
        </w:tc>
        <w:tc>
          <w:tcPr>
            <w:tcW w:w="1948" w:type="pct"/>
            <w:shd w:val="clear" w:color="auto" w:fill="auto"/>
            <w:vAlign w:val="center"/>
          </w:tcPr>
          <w:p w14:paraId="36055E57">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合肥福倍护康复医疗中心</w:t>
            </w:r>
          </w:p>
        </w:tc>
        <w:tc>
          <w:tcPr>
            <w:tcW w:w="959" w:type="pct"/>
            <w:shd w:val="clear" w:color="auto" w:fill="auto"/>
            <w:vAlign w:val="center"/>
          </w:tcPr>
          <w:p w14:paraId="2AAB1F9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138E1E9">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33654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0B60E30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183</w:t>
            </w:r>
          </w:p>
        </w:tc>
        <w:tc>
          <w:tcPr>
            <w:tcW w:w="708" w:type="pct"/>
            <w:shd w:val="clear" w:color="auto" w:fill="auto"/>
            <w:vAlign w:val="center"/>
          </w:tcPr>
          <w:p w14:paraId="2CAC21D1">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H34012400221</w:t>
            </w:r>
          </w:p>
        </w:tc>
        <w:tc>
          <w:tcPr>
            <w:tcW w:w="1948" w:type="pct"/>
            <w:shd w:val="clear" w:color="auto" w:fill="auto"/>
            <w:vAlign w:val="center"/>
          </w:tcPr>
          <w:p w14:paraId="130FF53C">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庐江县庐城镇卫生院</w:t>
            </w:r>
          </w:p>
        </w:tc>
        <w:tc>
          <w:tcPr>
            <w:tcW w:w="959" w:type="pct"/>
            <w:shd w:val="clear" w:color="auto" w:fill="auto"/>
            <w:vAlign w:val="center"/>
          </w:tcPr>
          <w:p w14:paraId="0EE33F71">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7DE28E5F">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7C76A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11BB027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184</w:t>
            </w:r>
          </w:p>
        </w:tc>
        <w:tc>
          <w:tcPr>
            <w:tcW w:w="708" w:type="pct"/>
            <w:shd w:val="clear" w:color="auto" w:fill="auto"/>
            <w:vAlign w:val="center"/>
          </w:tcPr>
          <w:p w14:paraId="22E734D6">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H34012101304</w:t>
            </w:r>
          </w:p>
        </w:tc>
        <w:tc>
          <w:tcPr>
            <w:tcW w:w="1948" w:type="pct"/>
            <w:shd w:val="clear" w:color="auto" w:fill="auto"/>
            <w:vAlign w:val="center"/>
          </w:tcPr>
          <w:p w14:paraId="514DD798">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长丰凤霞医院</w:t>
            </w:r>
          </w:p>
        </w:tc>
        <w:tc>
          <w:tcPr>
            <w:tcW w:w="959" w:type="pct"/>
            <w:shd w:val="clear" w:color="auto" w:fill="auto"/>
            <w:vAlign w:val="center"/>
          </w:tcPr>
          <w:p w14:paraId="0122B206">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43E7B163">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r w14:paraId="37F17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09" w:type="pct"/>
            <w:shd w:val="clear" w:color="auto" w:fill="auto"/>
            <w:vAlign w:val="center"/>
          </w:tcPr>
          <w:p w14:paraId="52A62439">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185</w:t>
            </w:r>
          </w:p>
        </w:tc>
        <w:tc>
          <w:tcPr>
            <w:tcW w:w="708" w:type="pct"/>
            <w:shd w:val="clear" w:color="auto" w:fill="auto"/>
            <w:vAlign w:val="center"/>
          </w:tcPr>
          <w:p w14:paraId="5D16C6BE">
            <w:pPr>
              <w:overflowPunct w:val="0"/>
              <w:spacing w:line="400" w:lineRule="exact"/>
              <w:jc w:val="center"/>
              <w:textAlignment w:val="center"/>
              <w:rPr>
                <w:rFonts w:ascii="仿宋" w:hAnsi="仿宋" w:eastAsia="仿宋" w:cs="仿宋"/>
                <w:color w:val="000000"/>
                <w:sz w:val="24"/>
                <w:szCs w:val="24"/>
              </w:rPr>
            </w:pPr>
            <w:r>
              <w:rPr>
                <w:rFonts w:hint="eastAsia" w:ascii="仿宋" w:hAnsi="仿宋" w:cs="仿宋"/>
                <w:color w:val="000000"/>
                <w:kern w:val="0"/>
                <w:sz w:val="24"/>
                <w:szCs w:val="24"/>
              </w:rPr>
              <w:t>H34012400247</w:t>
            </w:r>
          </w:p>
        </w:tc>
        <w:tc>
          <w:tcPr>
            <w:tcW w:w="1948" w:type="pct"/>
            <w:shd w:val="clear" w:color="auto" w:fill="auto"/>
            <w:vAlign w:val="center"/>
          </w:tcPr>
          <w:p w14:paraId="37AF1931">
            <w:pPr>
              <w:overflowPunct w:val="0"/>
              <w:spacing w:line="400" w:lineRule="exact"/>
              <w:jc w:val="left"/>
              <w:textAlignment w:val="center"/>
              <w:rPr>
                <w:rFonts w:ascii="仿宋" w:hAnsi="仿宋" w:eastAsia="仿宋" w:cs="仿宋"/>
                <w:color w:val="000000"/>
                <w:sz w:val="24"/>
                <w:szCs w:val="24"/>
              </w:rPr>
            </w:pPr>
            <w:r>
              <w:rPr>
                <w:rFonts w:hint="eastAsia" w:ascii="仿宋" w:hAnsi="仿宋" w:cs="仿宋"/>
                <w:color w:val="000000"/>
                <w:kern w:val="0"/>
                <w:sz w:val="24"/>
                <w:szCs w:val="24"/>
              </w:rPr>
              <w:t>庐江县矾山镇卫生院</w:t>
            </w:r>
          </w:p>
        </w:tc>
        <w:tc>
          <w:tcPr>
            <w:tcW w:w="959" w:type="pct"/>
            <w:shd w:val="clear" w:color="auto" w:fill="auto"/>
            <w:vAlign w:val="center"/>
          </w:tcPr>
          <w:p w14:paraId="33EDA128">
            <w:pPr>
              <w:overflowPunct w:val="0"/>
              <w:spacing w:line="400" w:lineRule="exact"/>
              <w:jc w:val="center"/>
              <w:textAlignment w:val="center"/>
              <w:rPr>
                <w:rFonts w:ascii="仿宋" w:hAnsi="仿宋" w:eastAsia="仿宋" w:cs="仿宋"/>
                <w:color w:val="000000"/>
                <w:kern w:val="0"/>
                <w:sz w:val="24"/>
                <w:szCs w:val="24"/>
              </w:rPr>
            </w:pPr>
            <w:r>
              <w:rPr>
                <w:rFonts w:hint="eastAsia" w:ascii="仿宋" w:hAnsi="仿宋" w:cs="仿宋"/>
                <w:color w:val="000000"/>
                <w:kern w:val="0"/>
                <w:sz w:val="24"/>
                <w:szCs w:val="24"/>
              </w:rPr>
              <w:t>一级及以下医疗机构</w:t>
            </w:r>
          </w:p>
        </w:tc>
        <w:tc>
          <w:tcPr>
            <w:tcW w:w="1076" w:type="pct"/>
            <w:shd w:val="clear" w:color="auto" w:fill="auto"/>
            <w:vAlign w:val="center"/>
          </w:tcPr>
          <w:p w14:paraId="29DF1BA6">
            <w:pPr>
              <w:overflowPunct w:val="0"/>
              <w:spacing w:line="400" w:lineRule="exact"/>
              <w:jc w:val="center"/>
              <w:textAlignment w:val="center"/>
              <w:rPr>
                <w:rFonts w:ascii="仿宋" w:hAnsi="仿宋" w:cs="仿宋"/>
                <w:color w:val="000000"/>
                <w:sz w:val="24"/>
                <w:szCs w:val="24"/>
              </w:rPr>
            </w:pPr>
            <w:r>
              <w:rPr>
                <w:rFonts w:hint="eastAsia" w:ascii="仿宋" w:hAnsi="仿宋" w:cs="仿宋"/>
                <w:color w:val="000000"/>
                <w:kern w:val="0"/>
                <w:sz w:val="24"/>
                <w:szCs w:val="24"/>
              </w:rPr>
              <w:t>一级</w:t>
            </w:r>
          </w:p>
        </w:tc>
      </w:tr>
    </w:tbl>
    <w:p w14:paraId="1E50E871">
      <w:pPr>
        <w:overflowPunct w:val="0"/>
        <w:spacing w:line="592" w:lineRule="exact"/>
        <w:ind w:firstLine="632" w:firstLineChars="200"/>
        <w:rPr>
          <w:b/>
          <w:color w:val="000000"/>
          <w:szCs w:val="32"/>
        </w:rPr>
        <w:sectPr>
          <w:footerReference r:id="rId5" w:type="default"/>
          <w:footerReference r:id="rId6" w:type="even"/>
          <w:pgSz w:w="16838" w:h="11906" w:orient="landscape"/>
          <w:pgMar w:top="1701" w:right="1503" w:bottom="1701" w:left="1503" w:header="851" w:footer="1134" w:gutter="0"/>
          <w:cols w:space="720" w:num="1"/>
          <w:docGrid w:type="linesAndChars" w:linePitch="592" w:charSpace="-849"/>
        </w:sectPr>
      </w:pPr>
    </w:p>
    <w:p w14:paraId="5AE76EFA">
      <w:pPr>
        <w:overflowPunct w:val="0"/>
        <w:spacing w:line="592" w:lineRule="exact"/>
        <w:ind w:firstLine="643" w:firstLineChars="200"/>
        <w:rPr>
          <w:b/>
          <w:color w:val="000000"/>
          <w:szCs w:val="32"/>
        </w:rPr>
      </w:pPr>
    </w:p>
    <w:p w14:paraId="050E645E">
      <w:pPr>
        <w:overflowPunct w:val="0"/>
        <w:spacing w:line="592" w:lineRule="exact"/>
        <w:ind w:firstLine="643" w:firstLineChars="200"/>
        <w:rPr>
          <w:b/>
          <w:color w:val="000000"/>
          <w:szCs w:val="32"/>
        </w:rPr>
      </w:pPr>
    </w:p>
    <w:p w14:paraId="31AA1F48">
      <w:pPr>
        <w:overflowPunct w:val="0"/>
        <w:spacing w:line="592" w:lineRule="exact"/>
        <w:ind w:firstLine="643" w:firstLineChars="200"/>
        <w:rPr>
          <w:b/>
          <w:color w:val="000000"/>
          <w:szCs w:val="32"/>
        </w:rPr>
      </w:pPr>
    </w:p>
    <w:p w14:paraId="793F1C2A">
      <w:pPr>
        <w:overflowPunct w:val="0"/>
        <w:spacing w:line="592" w:lineRule="exact"/>
        <w:ind w:firstLine="643" w:firstLineChars="200"/>
        <w:rPr>
          <w:b/>
          <w:color w:val="000000"/>
          <w:szCs w:val="32"/>
        </w:rPr>
      </w:pPr>
    </w:p>
    <w:p w14:paraId="48E16F34">
      <w:pPr>
        <w:overflowPunct w:val="0"/>
        <w:spacing w:line="592" w:lineRule="exact"/>
        <w:ind w:firstLine="643" w:firstLineChars="200"/>
        <w:rPr>
          <w:b/>
          <w:color w:val="000000"/>
          <w:szCs w:val="32"/>
        </w:rPr>
      </w:pPr>
    </w:p>
    <w:p w14:paraId="765000A7">
      <w:pPr>
        <w:overflowPunct w:val="0"/>
        <w:spacing w:line="592" w:lineRule="exact"/>
        <w:ind w:firstLine="643" w:firstLineChars="200"/>
        <w:rPr>
          <w:b/>
          <w:color w:val="000000"/>
          <w:szCs w:val="32"/>
        </w:rPr>
      </w:pPr>
    </w:p>
    <w:p w14:paraId="7341B2EE">
      <w:pPr>
        <w:overflowPunct w:val="0"/>
        <w:spacing w:line="592" w:lineRule="exact"/>
        <w:ind w:firstLine="643" w:firstLineChars="200"/>
        <w:rPr>
          <w:b/>
          <w:color w:val="000000"/>
          <w:szCs w:val="32"/>
        </w:rPr>
      </w:pPr>
    </w:p>
    <w:p w14:paraId="07F9570C">
      <w:pPr>
        <w:overflowPunct w:val="0"/>
        <w:spacing w:line="592" w:lineRule="exact"/>
        <w:ind w:firstLine="643" w:firstLineChars="200"/>
        <w:rPr>
          <w:b/>
          <w:color w:val="000000"/>
          <w:szCs w:val="32"/>
        </w:rPr>
      </w:pPr>
    </w:p>
    <w:p w14:paraId="09E661CC">
      <w:pPr>
        <w:overflowPunct w:val="0"/>
        <w:spacing w:line="592" w:lineRule="exact"/>
        <w:ind w:firstLine="643" w:firstLineChars="200"/>
        <w:rPr>
          <w:b/>
          <w:color w:val="000000"/>
          <w:szCs w:val="32"/>
        </w:rPr>
      </w:pPr>
    </w:p>
    <w:p w14:paraId="0BFFAC62">
      <w:pPr>
        <w:overflowPunct w:val="0"/>
        <w:spacing w:line="592" w:lineRule="exact"/>
        <w:ind w:firstLine="643" w:firstLineChars="200"/>
        <w:rPr>
          <w:b/>
          <w:color w:val="000000"/>
          <w:szCs w:val="32"/>
        </w:rPr>
      </w:pPr>
    </w:p>
    <w:p w14:paraId="770D1B24">
      <w:pPr>
        <w:overflowPunct w:val="0"/>
        <w:spacing w:line="592" w:lineRule="exact"/>
        <w:ind w:firstLine="643" w:firstLineChars="200"/>
        <w:rPr>
          <w:b/>
          <w:color w:val="000000"/>
          <w:szCs w:val="32"/>
        </w:rPr>
      </w:pPr>
    </w:p>
    <w:p w14:paraId="5B657686">
      <w:pPr>
        <w:overflowPunct w:val="0"/>
        <w:spacing w:line="592" w:lineRule="exact"/>
        <w:ind w:firstLine="643" w:firstLineChars="200"/>
        <w:rPr>
          <w:b/>
          <w:color w:val="000000"/>
          <w:szCs w:val="32"/>
        </w:rPr>
      </w:pPr>
    </w:p>
    <w:p w14:paraId="31969C29">
      <w:pPr>
        <w:overflowPunct w:val="0"/>
        <w:spacing w:line="592" w:lineRule="exact"/>
        <w:ind w:firstLine="643" w:firstLineChars="200"/>
        <w:rPr>
          <w:b/>
          <w:color w:val="000000"/>
          <w:szCs w:val="32"/>
        </w:rPr>
      </w:pPr>
    </w:p>
    <w:p w14:paraId="4D220C19">
      <w:pPr>
        <w:overflowPunct w:val="0"/>
        <w:spacing w:line="592" w:lineRule="exact"/>
        <w:ind w:firstLine="643" w:firstLineChars="200"/>
        <w:rPr>
          <w:b/>
          <w:color w:val="000000"/>
          <w:szCs w:val="32"/>
        </w:rPr>
      </w:pPr>
    </w:p>
    <w:p w14:paraId="5142A319">
      <w:pPr>
        <w:overflowPunct w:val="0"/>
        <w:spacing w:line="592" w:lineRule="exact"/>
        <w:ind w:firstLine="643" w:firstLineChars="200"/>
        <w:rPr>
          <w:b/>
          <w:color w:val="000000"/>
          <w:szCs w:val="32"/>
        </w:rPr>
      </w:pPr>
    </w:p>
    <w:p w14:paraId="17FF8FDF">
      <w:pPr>
        <w:overflowPunct w:val="0"/>
        <w:spacing w:line="592" w:lineRule="exact"/>
        <w:ind w:firstLine="643" w:firstLineChars="200"/>
        <w:rPr>
          <w:b/>
          <w:color w:val="000000"/>
          <w:szCs w:val="32"/>
        </w:rPr>
      </w:pPr>
    </w:p>
    <w:p w14:paraId="1DC63222">
      <w:pPr>
        <w:overflowPunct w:val="0"/>
        <w:spacing w:line="592" w:lineRule="exact"/>
        <w:ind w:firstLine="643" w:firstLineChars="200"/>
        <w:rPr>
          <w:b/>
          <w:color w:val="000000"/>
          <w:szCs w:val="32"/>
        </w:rPr>
      </w:pPr>
    </w:p>
    <w:p w14:paraId="6EA11590">
      <w:pPr>
        <w:overflowPunct w:val="0"/>
        <w:spacing w:line="592" w:lineRule="exact"/>
        <w:ind w:firstLine="643" w:firstLineChars="200"/>
        <w:rPr>
          <w:b/>
          <w:color w:val="000000"/>
          <w:szCs w:val="32"/>
        </w:rPr>
      </w:pPr>
    </w:p>
    <w:p w14:paraId="197B5E29">
      <w:pPr>
        <w:overflowPunct w:val="0"/>
        <w:spacing w:line="592" w:lineRule="exact"/>
        <w:ind w:firstLine="643" w:firstLineChars="200"/>
        <w:rPr>
          <w:b/>
          <w:color w:val="000000"/>
          <w:szCs w:val="32"/>
        </w:rPr>
      </w:pPr>
    </w:p>
    <w:p w14:paraId="46B2B15A">
      <w:pPr>
        <w:overflowPunct w:val="0"/>
        <w:spacing w:line="592" w:lineRule="exact"/>
        <w:ind w:firstLine="643" w:firstLineChars="200"/>
        <w:rPr>
          <w:b/>
          <w:color w:val="000000"/>
          <w:szCs w:val="32"/>
        </w:rPr>
      </w:pPr>
    </w:p>
    <w:p w14:paraId="66F57533">
      <w:pPr>
        <w:overflowPunct w:val="0"/>
        <w:spacing w:line="592" w:lineRule="exact"/>
        <w:ind w:firstLine="643" w:firstLineChars="200"/>
        <w:rPr>
          <w:b/>
          <w:color w:val="000000"/>
          <w:szCs w:val="32"/>
        </w:rPr>
      </w:pPr>
    </w:p>
    <w:p w14:paraId="317355E3">
      <w:pPr>
        <w:overflowPunct w:val="0"/>
        <w:spacing w:line="520" w:lineRule="exact"/>
        <w:ind w:right="259" w:rightChars="81" w:firstLine="280" w:firstLineChars="100"/>
        <w:rPr>
          <w:b/>
          <w:color w:val="000000"/>
          <w:szCs w:val="32"/>
        </w:rPr>
      </w:pPr>
      <w:r>
        <w:rPr>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20320</wp:posOffset>
                </wp:positionV>
                <wp:extent cx="5615940" cy="0"/>
                <wp:effectExtent l="0" t="6350" r="0" b="6350"/>
                <wp:wrapNone/>
                <wp:docPr id="2" name="Line 46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462" o:spid="_x0000_s1026" o:spt="20" style="position:absolute;left:0pt;margin-top:1.6pt;height:0pt;width:442.2pt;mso-position-horizontal:center;z-index:251659264;mso-width-relative:page;mso-height-relative:page;" filled="f" stroked="t" coordsize="21600,21600" o:gfxdata="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t2fd1AAAAAQBAAAPAAAAAAAAAAEAIAAAACIA&#10;AABkcnMvZG93bnJldi54bWxQSwECFAAUAAAACACHTuJAwPdxk9QBAADQAwAADgAAAAAAAAABACAA&#10;AAAjAQAAZHJzL2Uyb0RvYy54bWxQSwUGAAAAAAYABgBZAQAAaQUAAAAA&#10;">
                <v:fill on="f" focussize="0,0"/>
                <v:stroke weight="1pt" color="#000000" joinstyle="round"/>
                <v:imagedata o:title=""/>
                <o:lock v:ext="edit" aspectratio="f"/>
              </v:line>
            </w:pict>
          </mc:Fallback>
        </mc:AlternateContent>
      </w:r>
      <w:r>
        <w:rPr>
          <w:rFonts w:eastAsia="宋体"/>
          <w:color w:val="000000"/>
          <w:sz w:val="21"/>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361315</wp:posOffset>
                </wp:positionV>
                <wp:extent cx="5615940" cy="0"/>
                <wp:effectExtent l="0" t="6350" r="0" b="6350"/>
                <wp:wrapNone/>
                <wp:docPr id="3" name="直线 463"/>
                <wp:cNvGraphicFramePr/>
                <a:graphic xmlns:a="http://schemas.openxmlformats.org/drawingml/2006/main">
                  <a:graphicData uri="http://schemas.microsoft.com/office/word/2010/wordprocessingShape">
                    <wps:wsp>
                      <wps:cNvCnPr/>
                      <wps:spPr>
                        <a:xfrm flipV="1">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63" o:spid="_x0000_s1026" o:spt="20" style="position:absolute;left:0pt;flip:y;margin-top:28.45pt;height:0pt;width:442.2pt;mso-position-horizontal:center;z-index:251659264;mso-width-relative:page;mso-height-relative:page;" filled="f" stroked="t" coordsize="21600,21600" o:gfxdata="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YSU69YA&#10;AAAGAQAADwAAAAAAAAABACAAAAAiAAAAZHJzL2Rvd25yZXYueG1sUEsBAhQAFAAAAAgAh07iQCjP&#10;ALLoAQAA3AMAAA4AAAAAAAAAAQAgAAAAJQEAAGRycy9lMm9Eb2MueG1sUEsFBgAAAAAGAAYAWQEA&#10;AH8FAAAAAA==&#10;">
                <v:fill on="f" focussize="0,0"/>
                <v:stroke weight="1pt" color="#000000" joinstyle="round"/>
                <v:imagedata o:title=""/>
                <o:lock v:ext="edit" aspectratio="f"/>
              </v:line>
            </w:pict>
          </mc:Fallback>
        </mc:AlternateContent>
      </w:r>
      <w:r>
        <w:rPr>
          <w:color w:val="000000"/>
          <w:kern w:val="0"/>
          <w:sz w:val="28"/>
          <w:szCs w:val="28"/>
        </w:rPr>
        <w:t>合肥市医疗保障局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202</w:t>
      </w:r>
      <w:r>
        <w:rPr>
          <w:rFonts w:hint="eastAsia"/>
          <w:color w:val="000000"/>
          <w:sz w:val="28"/>
          <w:szCs w:val="28"/>
        </w:rPr>
        <w:t>5</w:t>
      </w:r>
      <w:r>
        <w:rPr>
          <w:color w:val="000000"/>
          <w:sz w:val="28"/>
          <w:szCs w:val="28"/>
        </w:rPr>
        <w:t>年</w:t>
      </w:r>
      <w:r>
        <w:rPr>
          <w:rFonts w:hint="eastAsia"/>
          <w:color w:val="000000"/>
          <w:sz w:val="28"/>
          <w:szCs w:val="28"/>
        </w:rPr>
        <w:t>3</w:t>
      </w:r>
      <w:r>
        <w:rPr>
          <w:color w:val="000000"/>
          <w:sz w:val="28"/>
          <w:szCs w:val="28"/>
        </w:rPr>
        <w:t>月</w:t>
      </w:r>
      <w:r>
        <w:rPr>
          <w:rFonts w:hint="eastAsia"/>
          <w:color w:val="000000"/>
          <w:sz w:val="28"/>
          <w:szCs w:val="28"/>
        </w:rPr>
        <w:t>6</w:t>
      </w:r>
      <w:r>
        <w:rPr>
          <w:color w:val="000000"/>
          <w:sz w:val="28"/>
          <w:szCs w:val="28"/>
        </w:rPr>
        <w:t>日印发</w:t>
      </w:r>
    </w:p>
    <w:sectPr>
      <w:footerReference r:id="rId7" w:type="even"/>
      <w:pgSz w:w="11906" w:h="16838"/>
      <w:pgMar w:top="1985" w:right="1503" w:bottom="1758" w:left="1503" w:header="851" w:footer="1361" w:gutter="0"/>
      <w:cols w:space="720"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FF4797-79E0-4AF3-A146-032FE99C6E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C790DF1-E085-43DC-80DC-CFFBA588B3FF}"/>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670035DC-0C9C-4E02-AA85-EC551595DC43}"/>
  </w:font>
  <w:font w:name="楷体_GB2312">
    <w:panose1 w:val="02010609030101010101"/>
    <w:charset w:val="86"/>
    <w:family w:val="modern"/>
    <w:pitch w:val="default"/>
    <w:sig w:usb0="00000001" w:usb1="080E0000" w:usb2="00000000" w:usb3="00000000" w:csb0="00040000" w:csb1="00000000"/>
    <w:embedRegular r:id="rId4" w:fontKey="{8D0EA820-10A4-4B66-9421-6AB5061A47AE}"/>
  </w:font>
  <w:font w:name="微软雅黑">
    <w:panose1 w:val="020B0503020204020204"/>
    <w:charset w:val="86"/>
    <w:family w:val="swiss"/>
    <w:pitch w:val="default"/>
    <w:sig w:usb0="80000287" w:usb1="2ACF3C50" w:usb2="00000016" w:usb3="00000000" w:csb0="0004001F" w:csb1="00000000"/>
    <w:embedRegular r:id="rId5" w:fontKey="{F9DD6CBF-7045-4DBC-9D38-E25460A118F3}"/>
  </w:font>
  <w:font w:name="仿宋">
    <w:panose1 w:val="02010609060101010101"/>
    <w:charset w:val="86"/>
    <w:family w:val="modern"/>
    <w:pitch w:val="default"/>
    <w:sig w:usb0="800002BF" w:usb1="38CF7CFA" w:usb2="00000016" w:usb3="00000000" w:csb0="00040001" w:csb1="00000000"/>
    <w:embedRegular r:id="rId6" w:fontKey="{5CA584D0-8EA7-488A-81F4-63C46A4B99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49CF9">
    <w:pPr>
      <w:pStyle w:val="18"/>
      <w:wordWrap w:val="0"/>
      <w:jc w:val="right"/>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21</w:t>
    </w:r>
    <w:r>
      <w:rPr>
        <w:rFonts w:ascii="宋体" w:hAnsi="宋体"/>
        <w:kern w:val="0"/>
        <w:sz w:val="28"/>
        <w:szCs w:val="28"/>
      </w:rPr>
      <w:fldChar w:fldCharType="end"/>
    </w:r>
    <w:r>
      <w:rPr>
        <w:rFonts w:hint="eastAsia"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3855">
    <w:pPr>
      <w:pStyle w:val="18"/>
      <w:spacing w:line="60" w:lineRule="exact"/>
      <w:ind w:firstLine="280" w:firstLineChars="100"/>
      <w:jc w:val="both"/>
      <w:rPr>
        <w:rFonts w:ascii="宋体" w:hAnsi="宋体"/>
        <w:kern w:val="0"/>
        <w:sz w:val="28"/>
        <w:szCs w:val="28"/>
      </w:rPr>
    </w:pPr>
  </w:p>
  <w:p w14:paraId="02CF0BDA">
    <w:pPr>
      <w:pStyle w:val="18"/>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22</w:t>
    </w:r>
    <w:r>
      <w:rPr>
        <w:rFonts w:ascii="宋体" w:hAnsi="宋体"/>
        <w:kern w:val="0"/>
        <w:sz w:val="28"/>
        <w:szCs w:val="28"/>
      </w:rPr>
      <w:fldChar w:fldCharType="end"/>
    </w:r>
    <w:r>
      <w:rPr>
        <w:rFonts w:hint="eastAsia"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66C5">
    <w:pPr>
      <w:pStyle w:val="18"/>
      <w:wordWrap w:val="0"/>
      <w:jc w:val="cente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25</w:t>
    </w:r>
    <w:r>
      <w:rPr>
        <w:rFonts w:ascii="宋体" w:hAnsi="宋体"/>
        <w:kern w:val="0"/>
        <w:sz w:val="28"/>
        <w:szCs w:val="28"/>
      </w:rPr>
      <w:fldChar w:fldCharType="end"/>
    </w:r>
    <w:r>
      <w:rPr>
        <w:rFonts w:hint="eastAsia"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D32A">
    <w:pPr>
      <w:pStyle w:val="18"/>
      <w:spacing w:line="60" w:lineRule="exact"/>
      <w:ind w:firstLine="280" w:firstLineChars="100"/>
      <w:jc w:val="both"/>
      <w:rPr>
        <w:rFonts w:ascii="宋体" w:hAnsi="宋体"/>
        <w:kern w:val="0"/>
        <w:sz w:val="28"/>
        <w:szCs w:val="28"/>
      </w:rPr>
    </w:pPr>
  </w:p>
  <w:p w14:paraId="143AEDB8">
    <w:pPr>
      <w:pStyle w:val="18"/>
      <w:jc w:val="center"/>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24</w:t>
    </w:r>
    <w:r>
      <w:rPr>
        <w:rFonts w:ascii="宋体" w:hAnsi="宋体"/>
        <w:kern w:val="0"/>
        <w:sz w:val="28"/>
        <w:szCs w:val="28"/>
      </w:rPr>
      <w:fldChar w:fldCharType="end"/>
    </w:r>
    <w:r>
      <w:rPr>
        <w:rFonts w:hint="eastAsia"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72CB">
    <w:pPr>
      <w:pStyle w:val="18"/>
      <w:spacing w:line="60" w:lineRule="exact"/>
      <w:ind w:firstLine="280" w:firstLineChars="100"/>
      <w:jc w:val="both"/>
      <w:rPr>
        <w:rFonts w:ascii="宋体" w:hAnsi="宋体"/>
        <w:kern w:val="0"/>
        <w:sz w:val="28"/>
        <w:szCs w:val="28"/>
      </w:rPr>
    </w:pPr>
  </w:p>
  <w:p w14:paraId="13360A83">
    <w:pPr>
      <w:pStyle w:val="18"/>
      <w:ind w:firstLine="280" w:firstLineChars="100"/>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34</w:t>
    </w:r>
    <w:r>
      <w:rPr>
        <w:rFonts w:ascii="宋体" w:hAnsi="宋体"/>
        <w:kern w:val="0"/>
        <w:sz w:val="28"/>
        <w:szCs w:val="28"/>
      </w:rPr>
      <w:fldChar w:fldCharType="end"/>
    </w:r>
    <w:r>
      <w:rPr>
        <w:rFonts w:hint="eastAsia"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evenAndOddHeaders w:val="1"/>
  <w:drawingGridHorizontalSpacing w:val="158"/>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39"/>
    <w:rsid w:val="0000015B"/>
    <w:rsid w:val="00001607"/>
    <w:rsid w:val="0000275B"/>
    <w:rsid w:val="00003A50"/>
    <w:rsid w:val="0000414C"/>
    <w:rsid w:val="00005969"/>
    <w:rsid w:val="0000599E"/>
    <w:rsid w:val="00005BF3"/>
    <w:rsid w:val="0000696A"/>
    <w:rsid w:val="000074B9"/>
    <w:rsid w:val="00012D49"/>
    <w:rsid w:val="00015471"/>
    <w:rsid w:val="0001564D"/>
    <w:rsid w:val="000179D1"/>
    <w:rsid w:val="00020903"/>
    <w:rsid w:val="000213F8"/>
    <w:rsid w:val="000234B8"/>
    <w:rsid w:val="00023B70"/>
    <w:rsid w:val="00024675"/>
    <w:rsid w:val="000249D5"/>
    <w:rsid w:val="000250FB"/>
    <w:rsid w:val="0002644B"/>
    <w:rsid w:val="00031494"/>
    <w:rsid w:val="00033D22"/>
    <w:rsid w:val="000363A7"/>
    <w:rsid w:val="000371C3"/>
    <w:rsid w:val="00037B0E"/>
    <w:rsid w:val="0004487A"/>
    <w:rsid w:val="0004505A"/>
    <w:rsid w:val="00045646"/>
    <w:rsid w:val="000476E6"/>
    <w:rsid w:val="00051662"/>
    <w:rsid w:val="000553FA"/>
    <w:rsid w:val="00056C09"/>
    <w:rsid w:val="000572AE"/>
    <w:rsid w:val="000618C7"/>
    <w:rsid w:val="00061B8A"/>
    <w:rsid w:val="00061F59"/>
    <w:rsid w:val="00062294"/>
    <w:rsid w:val="0006283B"/>
    <w:rsid w:val="0006420B"/>
    <w:rsid w:val="00065057"/>
    <w:rsid w:val="00065F85"/>
    <w:rsid w:val="000676ED"/>
    <w:rsid w:val="00073433"/>
    <w:rsid w:val="00073E1F"/>
    <w:rsid w:val="00080CDD"/>
    <w:rsid w:val="00080D00"/>
    <w:rsid w:val="000830A2"/>
    <w:rsid w:val="00085042"/>
    <w:rsid w:val="000858D0"/>
    <w:rsid w:val="0009067D"/>
    <w:rsid w:val="00094B1F"/>
    <w:rsid w:val="00094BB3"/>
    <w:rsid w:val="00095A55"/>
    <w:rsid w:val="000965BE"/>
    <w:rsid w:val="000A4BB5"/>
    <w:rsid w:val="000A5A48"/>
    <w:rsid w:val="000A7605"/>
    <w:rsid w:val="000B1D89"/>
    <w:rsid w:val="000B1F52"/>
    <w:rsid w:val="000B231A"/>
    <w:rsid w:val="000B2DBE"/>
    <w:rsid w:val="000B604A"/>
    <w:rsid w:val="000C2AD4"/>
    <w:rsid w:val="000C3B14"/>
    <w:rsid w:val="000C55FF"/>
    <w:rsid w:val="000C5FF7"/>
    <w:rsid w:val="000C6660"/>
    <w:rsid w:val="000C75D4"/>
    <w:rsid w:val="000C7760"/>
    <w:rsid w:val="000D0FB2"/>
    <w:rsid w:val="000D250A"/>
    <w:rsid w:val="000D31A4"/>
    <w:rsid w:val="000D3985"/>
    <w:rsid w:val="000D3B88"/>
    <w:rsid w:val="000D4F7B"/>
    <w:rsid w:val="000D6385"/>
    <w:rsid w:val="000D64AF"/>
    <w:rsid w:val="000D6FB8"/>
    <w:rsid w:val="000E1495"/>
    <w:rsid w:val="000E1E45"/>
    <w:rsid w:val="000E4981"/>
    <w:rsid w:val="000E5CA6"/>
    <w:rsid w:val="000E6252"/>
    <w:rsid w:val="000E62AE"/>
    <w:rsid w:val="000F0A94"/>
    <w:rsid w:val="000F6723"/>
    <w:rsid w:val="000F6D36"/>
    <w:rsid w:val="000F7B54"/>
    <w:rsid w:val="0010022F"/>
    <w:rsid w:val="00100548"/>
    <w:rsid w:val="00100970"/>
    <w:rsid w:val="00101581"/>
    <w:rsid w:val="00101EE7"/>
    <w:rsid w:val="00107F3C"/>
    <w:rsid w:val="00111831"/>
    <w:rsid w:val="0011341D"/>
    <w:rsid w:val="00113D1F"/>
    <w:rsid w:val="00115116"/>
    <w:rsid w:val="001303DC"/>
    <w:rsid w:val="00130BF4"/>
    <w:rsid w:val="001323B8"/>
    <w:rsid w:val="00132CFD"/>
    <w:rsid w:val="0013308D"/>
    <w:rsid w:val="0013326D"/>
    <w:rsid w:val="00135007"/>
    <w:rsid w:val="00136471"/>
    <w:rsid w:val="001367FD"/>
    <w:rsid w:val="001413A3"/>
    <w:rsid w:val="00144168"/>
    <w:rsid w:val="00145ACB"/>
    <w:rsid w:val="00146340"/>
    <w:rsid w:val="00146578"/>
    <w:rsid w:val="00146C17"/>
    <w:rsid w:val="00147C01"/>
    <w:rsid w:val="00147DEB"/>
    <w:rsid w:val="0015317D"/>
    <w:rsid w:val="0015344D"/>
    <w:rsid w:val="00157A80"/>
    <w:rsid w:val="0016048E"/>
    <w:rsid w:val="00160534"/>
    <w:rsid w:val="001619C9"/>
    <w:rsid w:val="00162F39"/>
    <w:rsid w:val="00163170"/>
    <w:rsid w:val="001670EF"/>
    <w:rsid w:val="00167703"/>
    <w:rsid w:val="0017084A"/>
    <w:rsid w:val="0017300E"/>
    <w:rsid w:val="001743EC"/>
    <w:rsid w:val="00176CDB"/>
    <w:rsid w:val="00176DE7"/>
    <w:rsid w:val="00177EA0"/>
    <w:rsid w:val="00183BF9"/>
    <w:rsid w:val="00183FB4"/>
    <w:rsid w:val="00184574"/>
    <w:rsid w:val="00184B9C"/>
    <w:rsid w:val="001855EF"/>
    <w:rsid w:val="00185E37"/>
    <w:rsid w:val="00186076"/>
    <w:rsid w:val="001912CB"/>
    <w:rsid w:val="001933E8"/>
    <w:rsid w:val="00194B32"/>
    <w:rsid w:val="00197DAD"/>
    <w:rsid w:val="001A1F28"/>
    <w:rsid w:val="001A4102"/>
    <w:rsid w:val="001A4EB3"/>
    <w:rsid w:val="001B0AAB"/>
    <w:rsid w:val="001B1CC2"/>
    <w:rsid w:val="001B237E"/>
    <w:rsid w:val="001B2C10"/>
    <w:rsid w:val="001B2CCF"/>
    <w:rsid w:val="001B5B00"/>
    <w:rsid w:val="001C0F49"/>
    <w:rsid w:val="001C1475"/>
    <w:rsid w:val="001C1D61"/>
    <w:rsid w:val="001C36D7"/>
    <w:rsid w:val="001C3AC8"/>
    <w:rsid w:val="001C3B10"/>
    <w:rsid w:val="001C408C"/>
    <w:rsid w:val="001C68C2"/>
    <w:rsid w:val="001C699D"/>
    <w:rsid w:val="001C73E1"/>
    <w:rsid w:val="001C7B2A"/>
    <w:rsid w:val="001D3967"/>
    <w:rsid w:val="001E07B8"/>
    <w:rsid w:val="001E120B"/>
    <w:rsid w:val="001E2A90"/>
    <w:rsid w:val="001F0B7F"/>
    <w:rsid w:val="001F17ED"/>
    <w:rsid w:val="001F1F3F"/>
    <w:rsid w:val="001F267A"/>
    <w:rsid w:val="001F3139"/>
    <w:rsid w:val="001F58A8"/>
    <w:rsid w:val="002009F7"/>
    <w:rsid w:val="00201E6D"/>
    <w:rsid w:val="002047A9"/>
    <w:rsid w:val="0021232A"/>
    <w:rsid w:val="00213054"/>
    <w:rsid w:val="00214212"/>
    <w:rsid w:val="00214E0B"/>
    <w:rsid w:val="00215B13"/>
    <w:rsid w:val="00216E6E"/>
    <w:rsid w:val="00217E79"/>
    <w:rsid w:val="00222925"/>
    <w:rsid w:val="00222D04"/>
    <w:rsid w:val="00222E8E"/>
    <w:rsid w:val="00227A81"/>
    <w:rsid w:val="00230CAD"/>
    <w:rsid w:val="0023172D"/>
    <w:rsid w:val="00231ABF"/>
    <w:rsid w:val="00232ED8"/>
    <w:rsid w:val="002352A9"/>
    <w:rsid w:val="00242A0C"/>
    <w:rsid w:val="0024332F"/>
    <w:rsid w:val="0024419C"/>
    <w:rsid w:val="00244468"/>
    <w:rsid w:val="00244EB5"/>
    <w:rsid w:val="002529AB"/>
    <w:rsid w:val="00252D27"/>
    <w:rsid w:val="0025412B"/>
    <w:rsid w:val="00254C6C"/>
    <w:rsid w:val="0025583B"/>
    <w:rsid w:val="00256E2B"/>
    <w:rsid w:val="0026028C"/>
    <w:rsid w:val="002620A8"/>
    <w:rsid w:val="00262B3F"/>
    <w:rsid w:val="002634D6"/>
    <w:rsid w:val="00271943"/>
    <w:rsid w:val="00273030"/>
    <w:rsid w:val="002730FE"/>
    <w:rsid w:val="00277216"/>
    <w:rsid w:val="002801E2"/>
    <w:rsid w:val="00280C9C"/>
    <w:rsid w:val="0028180F"/>
    <w:rsid w:val="00282065"/>
    <w:rsid w:val="00282438"/>
    <w:rsid w:val="00285FC5"/>
    <w:rsid w:val="002863C5"/>
    <w:rsid w:val="00290AE6"/>
    <w:rsid w:val="00290C42"/>
    <w:rsid w:val="00291A90"/>
    <w:rsid w:val="00293095"/>
    <w:rsid w:val="002931A0"/>
    <w:rsid w:val="00293657"/>
    <w:rsid w:val="00293E76"/>
    <w:rsid w:val="00296342"/>
    <w:rsid w:val="00296C65"/>
    <w:rsid w:val="0029706E"/>
    <w:rsid w:val="002A1157"/>
    <w:rsid w:val="002A1EFA"/>
    <w:rsid w:val="002A2734"/>
    <w:rsid w:val="002A3084"/>
    <w:rsid w:val="002A4DE9"/>
    <w:rsid w:val="002A4F14"/>
    <w:rsid w:val="002A4F1F"/>
    <w:rsid w:val="002A7583"/>
    <w:rsid w:val="002B230C"/>
    <w:rsid w:val="002B47DE"/>
    <w:rsid w:val="002B52A1"/>
    <w:rsid w:val="002C02C3"/>
    <w:rsid w:val="002C147C"/>
    <w:rsid w:val="002C2F3E"/>
    <w:rsid w:val="002C4DD1"/>
    <w:rsid w:val="002C5093"/>
    <w:rsid w:val="002C5101"/>
    <w:rsid w:val="002C65B8"/>
    <w:rsid w:val="002C671C"/>
    <w:rsid w:val="002C686F"/>
    <w:rsid w:val="002C6B0E"/>
    <w:rsid w:val="002D17DE"/>
    <w:rsid w:val="002D1EED"/>
    <w:rsid w:val="002D2068"/>
    <w:rsid w:val="002D2507"/>
    <w:rsid w:val="002D4328"/>
    <w:rsid w:val="002D5D4A"/>
    <w:rsid w:val="002D7CC6"/>
    <w:rsid w:val="002E2F91"/>
    <w:rsid w:val="002E4FEC"/>
    <w:rsid w:val="002E6504"/>
    <w:rsid w:val="002E66E1"/>
    <w:rsid w:val="002F0205"/>
    <w:rsid w:val="002F2249"/>
    <w:rsid w:val="002F2A86"/>
    <w:rsid w:val="002F3585"/>
    <w:rsid w:val="002F4E75"/>
    <w:rsid w:val="002F60A7"/>
    <w:rsid w:val="00300F94"/>
    <w:rsid w:val="00300FDA"/>
    <w:rsid w:val="00301AB3"/>
    <w:rsid w:val="0030390D"/>
    <w:rsid w:val="00306157"/>
    <w:rsid w:val="00306A60"/>
    <w:rsid w:val="003107CA"/>
    <w:rsid w:val="00312E93"/>
    <w:rsid w:val="00313AFE"/>
    <w:rsid w:val="00313B2B"/>
    <w:rsid w:val="00314131"/>
    <w:rsid w:val="00315A74"/>
    <w:rsid w:val="0032092B"/>
    <w:rsid w:val="003215D2"/>
    <w:rsid w:val="00322890"/>
    <w:rsid w:val="00323CF6"/>
    <w:rsid w:val="0032698A"/>
    <w:rsid w:val="00326A1A"/>
    <w:rsid w:val="00326B89"/>
    <w:rsid w:val="00332042"/>
    <w:rsid w:val="003331A8"/>
    <w:rsid w:val="00333512"/>
    <w:rsid w:val="00333693"/>
    <w:rsid w:val="00335700"/>
    <w:rsid w:val="00337754"/>
    <w:rsid w:val="00340AF3"/>
    <w:rsid w:val="00340C29"/>
    <w:rsid w:val="00340E36"/>
    <w:rsid w:val="00343F1A"/>
    <w:rsid w:val="00344AE8"/>
    <w:rsid w:val="00345CBE"/>
    <w:rsid w:val="0034681F"/>
    <w:rsid w:val="00346D36"/>
    <w:rsid w:val="00346EE3"/>
    <w:rsid w:val="003509E5"/>
    <w:rsid w:val="00350F40"/>
    <w:rsid w:val="00351FED"/>
    <w:rsid w:val="00353157"/>
    <w:rsid w:val="003541B1"/>
    <w:rsid w:val="00354DF0"/>
    <w:rsid w:val="00360F5E"/>
    <w:rsid w:val="0036252E"/>
    <w:rsid w:val="00362956"/>
    <w:rsid w:val="0036427E"/>
    <w:rsid w:val="00365339"/>
    <w:rsid w:val="00365A09"/>
    <w:rsid w:val="00365CA0"/>
    <w:rsid w:val="00366EB3"/>
    <w:rsid w:val="00367AD3"/>
    <w:rsid w:val="0037004B"/>
    <w:rsid w:val="0037265C"/>
    <w:rsid w:val="00372FAA"/>
    <w:rsid w:val="00373A00"/>
    <w:rsid w:val="00375E7A"/>
    <w:rsid w:val="003802BF"/>
    <w:rsid w:val="0038119C"/>
    <w:rsid w:val="00381912"/>
    <w:rsid w:val="003832FF"/>
    <w:rsid w:val="00385F6C"/>
    <w:rsid w:val="0038672F"/>
    <w:rsid w:val="00387845"/>
    <w:rsid w:val="00390473"/>
    <w:rsid w:val="00390EB6"/>
    <w:rsid w:val="00392690"/>
    <w:rsid w:val="003940C8"/>
    <w:rsid w:val="003958E6"/>
    <w:rsid w:val="00396080"/>
    <w:rsid w:val="003973D3"/>
    <w:rsid w:val="003A1EA2"/>
    <w:rsid w:val="003A2DA3"/>
    <w:rsid w:val="003A2EF3"/>
    <w:rsid w:val="003A41CF"/>
    <w:rsid w:val="003A4741"/>
    <w:rsid w:val="003B08B2"/>
    <w:rsid w:val="003B0B51"/>
    <w:rsid w:val="003B27CB"/>
    <w:rsid w:val="003B3654"/>
    <w:rsid w:val="003B5475"/>
    <w:rsid w:val="003B597D"/>
    <w:rsid w:val="003B6D90"/>
    <w:rsid w:val="003C06AB"/>
    <w:rsid w:val="003C10DC"/>
    <w:rsid w:val="003C411F"/>
    <w:rsid w:val="003D0CA2"/>
    <w:rsid w:val="003D1251"/>
    <w:rsid w:val="003D1405"/>
    <w:rsid w:val="003D3148"/>
    <w:rsid w:val="003D3FB0"/>
    <w:rsid w:val="003D6041"/>
    <w:rsid w:val="003E0428"/>
    <w:rsid w:val="003E2363"/>
    <w:rsid w:val="003E3231"/>
    <w:rsid w:val="003E53CF"/>
    <w:rsid w:val="003F2F07"/>
    <w:rsid w:val="003F449A"/>
    <w:rsid w:val="004026ED"/>
    <w:rsid w:val="0040293C"/>
    <w:rsid w:val="00403AA5"/>
    <w:rsid w:val="00404E99"/>
    <w:rsid w:val="00406ADA"/>
    <w:rsid w:val="00410624"/>
    <w:rsid w:val="00414B52"/>
    <w:rsid w:val="00414D23"/>
    <w:rsid w:val="00415C86"/>
    <w:rsid w:val="004165B0"/>
    <w:rsid w:val="00417029"/>
    <w:rsid w:val="00417E67"/>
    <w:rsid w:val="004222A4"/>
    <w:rsid w:val="00422FD0"/>
    <w:rsid w:val="004238F4"/>
    <w:rsid w:val="00424155"/>
    <w:rsid w:val="00427217"/>
    <w:rsid w:val="00430246"/>
    <w:rsid w:val="00430434"/>
    <w:rsid w:val="0043056A"/>
    <w:rsid w:val="00431FCE"/>
    <w:rsid w:val="004341AD"/>
    <w:rsid w:val="00440B66"/>
    <w:rsid w:val="0044234B"/>
    <w:rsid w:val="00442FBD"/>
    <w:rsid w:val="00447DCD"/>
    <w:rsid w:val="004508DA"/>
    <w:rsid w:val="00452B04"/>
    <w:rsid w:val="004557E6"/>
    <w:rsid w:val="00457824"/>
    <w:rsid w:val="00461DB9"/>
    <w:rsid w:val="00464655"/>
    <w:rsid w:val="00464E14"/>
    <w:rsid w:val="004654F4"/>
    <w:rsid w:val="00466611"/>
    <w:rsid w:val="00467389"/>
    <w:rsid w:val="0047057B"/>
    <w:rsid w:val="0047171D"/>
    <w:rsid w:val="004744BD"/>
    <w:rsid w:val="00474EDA"/>
    <w:rsid w:val="0047557B"/>
    <w:rsid w:val="00476F71"/>
    <w:rsid w:val="0047777E"/>
    <w:rsid w:val="00480C3A"/>
    <w:rsid w:val="004811DC"/>
    <w:rsid w:val="004816AD"/>
    <w:rsid w:val="00481AE4"/>
    <w:rsid w:val="00482572"/>
    <w:rsid w:val="0048423C"/>
    <w:rsid w:val="0048440C"/>
    <w:rsid w:val="0049065B"/>
    <w:rsid w:val="00490AC8"/>
    <w:rsid w:val="00490ACF"/>
    <w:rsid w:val="004924E8"/>
    <w:rsid w:val="00495E6B"/>
    <w:rsid w:val="004A03FB"/>
    <w:rsid w:val="004A07A1"/>
    <w:rsid w:val="004A17C8"/>
    <w:rsid w:val="004A26B4"/>
    <w:rsid w:val="004A2756"/>
    <w:rsid w:val="004A2A05"/>
    <w:rsid w:val="004A3082"/>
    <w:rsid w:val="004A3322"/>
    <w:rsid w:val="004A3960"/>
    <w:rsid w:val="004A4B96"/>
    <w:rsid w:val="004A4F69"/>
    <w:rsid w:val="004B0173"/>
    <w:rsid w:val="004B14FF"/>
    <w:rsid w:val="004B463B"/>
    <w:rsid w:val="004B6D0A"/>
    <w:rsid w:val="004B72C4"/>
    <w:rsid w:val="004B7682"/>
    <w:rsid w:val="004C20A9"/>
    <w:rsid w:val="004C26C1"/>
    <w:rsid w:val="004C509C"/>
    <w:rsid w:val="004C7302"/>
    <w:rsid w:val="004D17BF"/>
    <w:rsid w:val="004D25C7"/>
    <w:rsid w:val="004D485F"/>
    <w:rsid w:val="004D5379"/>
    <w:rsid w:val="004E03FF"/>
    <w:rsid w:val="004E27E4"/>
    <w:rsid w:val="004E390F"/>
    <w:rsid w:val="004E3948"/>
    <w:rsid w:val="004E5FA0"/>
    <w:rsid w:val="004E699E"/>
    <w:rsid w:val="004E7209"/>
    <w:rsid w:val="004E785D"/>
    <w:rsid w:val="004F1352"/>
    <w:rsid w:val="004F2754"/>
    <w:rsid w:val="004F2C39"/>
    <w:rsid w:val="004F30CB"/>
    <w:rsid w:val="004F67CF"/>
    <w:rsid w:val="00500388"/>
    <w:rsid w:val="00503554"/>
    <w:rsid w:val="00503EBB"/>
    <w:rsid w:val="005053EA"/>
    <w:rsid w:val="005103A0"/>
    <w:rsid w:val="00510EF5"/>
    <w:rsid w:val="005120FC"/>
    <w:rsid w:val="00512A01"/>
    <w:rsid w:val="005133A5"/>
    <w:rsid w:val="00513FB0"/>
    <w:rsid w:val="00514CCA"/>
    <w:rsid w:val="005152B1"/>
    <w:rsid w:val="00515C8B"/>
    <w:rsid w:val="00520837"/>
    <w:rsid w:val="00523162"/>
    <w:rsid w:val="00523D6F"/>
    <w:rsid w:val="00524F72"/>
    <w:rsid w:val="005268AB"/>
    <w:rsid w:val="00533A38"/>
    <w:rsid w:val="0053518A"/>
    <w:rsid w:val="00535BE7"/>
    <w:rsid w:val="0054106D"/>
    <w:rsid w:val="005417A9"/>
    <w:rsid w:val="005419E3"/>
    <w:rsid w:val="0054315A"/>
    <w:rsid w:val="005460A7"/>
    <w:rsid w:val="00552F13"/>
    <w:rsid w:val="005542BD"/>
    <w:rsid w:val="005547F7"/>
    <w:rsid w:val="00557213"/>
    <w:rsid w:val="00560106"/>
    <w:rsid w:val="00563AB5"/>
    <w:rsid w:val="00564581"/>
    <w:rsid w:val="00564EFE"/>
    <w:rsid w:val="005652A5"/>
    <w:rsid w:val="005658BC"/>
    <w:rsid w:val="005677FD"/>
    <w:rsid w:val="00571B25"/>
    <w:rsid w:val="00571F5E"/>
    <w:rsid w:val="005722E3"/>
    <w:rsid w:val="005724E1"/>
    <w:rsid w:val="005758AD"/>
    <w:rsid w:val="00576FA9"/>
    <w:rsid w:val="0057742D"/>
    <w:rsid w:val="00580B2E"/>
    <w:rsid w:val="00581EE9"/>
    <w:rsid w:val="005832EE"/>
    <w:rsid w:val="005904F3"/>
    <w:rsid w:val="00590D70"/>
    <w:rsid w:val="005918F6"/>
    <w:rsid w:val="0059245B"/>
    <w:rsid w:val="0059311E"/>
    <w:rsid w:val="00593D9F"/>
    <w:rsid w:val="005948CE"/>
    <w:rsid w:val="00595845"/>
    <w:rsid w:val="005961D4"/>
    <w:rsid w:val="005962B9"/>
    <w:rsid w:val="0059634D"/>
    <w:rsid w:val="00596693"/>
    <w:rsid w:val="00597E53"/>
    <w:rsid w:val="005A019E"/>
    <w:rsid w:val="005A1202"/>
    <w:rsid w:val="005A25CF"/>
    <w:rsid w:val="005A2AC2"/>
    <w:rsid w:val="005A5188"/>
    <w:rsid w:val="005A7E8C"/>
    <w:rsid w:val="005B0304"/>
    <w:rsid w:val="005B0515"/>
    <w:rsid w:val="005B2D99"/>
    <w:rsid w:val="005B4CC2"/>
    <w:rsid w:val="005B4D43"/>
    <w:rsid w:val="005B4FD6"/>
    <w:rsid w:val="005B50A2"/>
    <w:rsid w:val="005B5E88"/>
    <w:rsid w:val="005B6130"/>
    <w:rsid w:val="005C070C"/>
    <w:rsid w:val="005C3936"/>
    <w:rsid w:val="005C6384"/>
    <w:rsid w:val="005C6778"/>
    <w:rsid w:val="005C7A6F"/>
    <w:rsid w:val="005D158C"/>
    <w:rsid w:val="005D1CC0"/>
    <w:rsid w:val="005D4726"/>
    <w:rsid w:val="005D5F8A"/>
    <w:rsid w:val="005D6F06"/>
    <w:rsid w:val="005D79DA"/>
    <w:rsid w:val="005D7C77"/>
    <w:rsid w:val="005E08B7"/>
    <w:rsid w:val="005E0D22"/>
    <w:rsid w:val="005E0D57"/>
    <w:rsid w:val="005E256E"/>
    <w:rsid w:val="005E4F6E"/>
    <w:rsid w:val="005E5EF4"/>
    <w:rsid w:val="005E63DD"/>
    <w:rsid w:val="005E73BC"/>
    <w:rsid w:val="005F0A54"/>
    <w:rsid w:val="005F10B2"/>
    <w:rsid w:val="005F3D30"/>
    <w:rsid w:val="005F5F25"/>
    <w:rsid w:val="006041A8"/>
    <w:rsid w:val="0060522D"/>
    <w:rsid w:val="006067FA"/>
    <w:rsid w:val="00610325"/>
    <w:rsid w:val="00610DF8"/>
    <w:rsid w:val="0061169D"/>
    <w:rsid w:val="00613F47"/>
    <w:rsid w:val="0061519B"/>
    <w:rsid w:val="00615A85"/>
    <w:rsid w:val="00617B41"/>
    <w:rsid w:val="00623ECE"/>
    <w:rsid w:val="00624351"/>
    <w:rsid w:val="00625A78"/>
    <w:rsid w:val="00627667"/>
    <w:rsid w:val="00630485"/>
    <w:rsid w:val="0063141B"/>
    <w:rsid w:val="00634893"/>
    <w:rsid w:val="00634E28"/>
    <w:rsid w:val="00636240"/>
    <w:rsid w:val="00636BEC"/>
    <w:rsid w:val="00637709"/>
    <w:rsid w:val="00640732"/>
    <w:rsid w:val="00641019"/>
    <w:rsid w:val="00641377"/>
    <w:rsid w:val="00642A14"/>
    <w:rsid w:val="00642C17"/>
    <w:rsid w:val="00645554"/>
    <w:rsid w:val="00645D0C"/>
    <w:rsid w:val="00650627"/>
    <w:rsid w:val="006510A6"/>
    <w:rsid w:val="00651D2F"/>
    <w:rsid w:val="00653576"/>
    <w:rsid w:val="0065668C"/>
    <w:rsid w:val="006572AF"/>
    <w:rsid w:val="0065773D"/>
    <w:rsid w:val="00660EDB"/>
    <w:rsid w:val="0066123B"/>
    <w:rsid w:val="00662D98"/>
    <w:rsid w:val="006644F0"/>
    <w:rsid w:val="0066467D"/>
    <w:rsid w:val="00666FA8"/>
    <w:rsid w:val="00671187"/>
    <w:rsid w:val="0067437E"/>
    <w:rsid w:val="006755A7"/>
    <w:rsid w:val="0067604B"/>
    <w:rsid w:val="0067680F"/>
    <w:rsid w:val="00680236"/>
    <w:rsid w:val="00680781"/>
    <w:rsid w:val="00681936"/>
    <w:rsid w:val="006824D0"/>
    <w:rsid w:val="00682A97"/>
    <w:rsid w:val="006835A1"/>
    <w:rsid w:val="00683EF8"/>
    <w:rsid w:val="00686001"/>
    <w:rsid w:val="006861E8"/>
    <w:rsid w:val="00687AAD"/>
    <w:rsid w:val="00690400"/>
    <w:rsid w:val="00690AE9"/>
    <w:rsid w:val="0069188C"/>
    <w:rsid w:val="00692759"/>
    <w:rsid w:val="00692D1C"/>
    <w:rsid w:val="006A06F0"/>
    <w:rsid w:val="006A10B7"/>
    <w:rsid w:val="006A1ECA"/>
    <w:rsid w:val="006A21C8"/>
    <w:rsid w:val="006A3563"/>
    <w:rsid w:val="006A3E84"/>
    <w:rsid w:val="006A520F"/>
    <w:rsid w:val="006A5305"/>
    <w:rsid w:val="006A671F"/>
    <w:rsid w:val="006B1116"/>
    <w:rsid w:val="006B17F5"/>
    <w:rsid w:val="006B266A"/>
    <w:rsid w:val="006B29A4"/>
    <w:rsid w:val="006B52B8"/>
    <w:rsid w:val="006B690B"/>
    <w:rsid w:val="006B71A6"/>
    <w:rsid w:val="006C00CF"/>
    <w:rsid w:val="006C0AF0"/>
    <w:rsid w:val="006C2062"/>
    <w:rsid w:val="006C3162"/>
    <w:rsid w:val="006C3753"/>
    <w:rsid w:val="006C3982"/>
    <w:rsid w:val="006C3AAE"/>
    <w:rsid w:val="006C6314"/>
    <w:rsid w:val="006D016C"/>
    <w:rsid w:val="006D3FC2"/>
    <w:rsid w:val="006D4997"/>
    <w:rsid w:val="006D573C"/>
    <w:rsid w:val="006E1AA5"/>
    <w:rsid w:val="006E2649"/>
    <w:rsid w:val="006E2A0E"/>
    <w:rsid w:val="006E4366"/>
    <w:rsid w:val="006E57E5"/>
    <w:rsid w:val="006E5E3E"/>
    <w:rsid w:val="006E784F"/>
    <w:rsid w:val="006F093A"/>
    <w:rsid w:val="006F118D"/>
    <w:rsid w:val="006F3DF6"/>
    <w:rsid w:val="006F51B3"/>
    <w:rsid w:val="006F5E2E"/>
    <w:rsid w:val="006F7E29"/>
    <w:rsid w:val="00701601"/>
    <w:rsid w:val="00704E8E"/>
    <w:rsid w:val="00704FD2"/>
    <w:rsid w:val="00705240"/>
    <w:rsid w:val="00710757"/>
    <w:rsid w:val="00713D3F"/>
    <w:rsid w:val="00714011"/>
    <w:rsid w:val="0071440E"/>
    <w:rsid w:val="00714730"/>
    <w:rsid w:val="00714FE4"/>
    <w:rsid w:val="00715830"/>
    <w:rsid w:val="00716110"/>
    <w:rsid w:val="00716E48"/>
    <w:rsid w:val="00720597"/>
    <w:rsid w:val="00720F65"/>
    <w:rsid w:val="00721D41"/>
    <w:rsid w:val="00727F46"/>
    <w:rsid w:val="00727F57"/>
    <w:rsid w:val="00732496"/>
    <w:rsid w:val="00732606"/>
    <w:rsid w:val="00733553"/>
    <w:rsid w:val="00733BF9"/>
    <w:rsid w:val="00734028"/>
    <w:rsid w:val="00740167"/>
    <w:rsid w:val="00742D5C"/>
    <w:rsid w:val="0074669A"/>
    <w:rsid w:val="00747283"/>
    <w:rsid w:val="00750783"/>
    <w:rsid w:val="00750D96"/>
    <w:rsid w:val="00752F1E"/>
    <w:rsid w:val="007537C2"/>
    <w:rsid w:val="00753CB9"/>
    <w:rsid w:val="00755485"/>
    <w:rsid w:val="00757E61"/>
    <w:rsid w:val="00762670"/>
    <w:rsid w:val="007628C8"/>
    <w:rsid w:val="00762AB2"/>
    <w:rsid w:val="0076300D"/>
    <w:rsid w:val="00763CD6"/>
    <w:rsid w:val="00764E25"/>
    <w:rsid w:val="0076589F"/>
    <w:rsid w:val="007661B3"/>
    <w:rsid w:val="007670B4"/>
    <w:rsid w:val="00767DB3"/>
    <w:rsid w:val="00771606"/>
    <w:rsid w:val="007731F3"/>
    <w:rsid w:val="00776F9B"/>
    <w:rsid w:val="007816D6"/>
    <w:rsid w:val="0078195C"/>
    <w:rsid w:val="00783380"/>
    <w:rsid w:val="0078620C"/>
    <w:rsid w:val="007924D6"/>
    <w:rsid w:val="007950D8"/>
    <w:rsid w:val="00795699"/>
    <w:rsid w:val="00795FFB"/>
    <w:rsid w:val="00797177"/>
    <w:rsid w:val="00797FC4"/>
    <w:rsid w:val="007A1876"/>
    <w:rsid w:val="007A1A61"/>
    <w:rsid w:val="007A4A99"/>
    <w:rsid w:val="007A7893"/>
    <w:rsid w:val="007A7CCC"/>
    <w:rsid w:val="007B0445"/>
    <w:rsid w:val="007B05C9"/>
    <w:rsid w:val="007B0693"/>
    <w:rsid w:val="007B2DB4"/>
    <w:rsid w:val="007B3302"/>
    <w:rsid w:val="007B36F6"/>
    <w:rsid w:val="007B3CE7"/>
    <w:rsid w:val="007B47A3"/>
    <w:rsid w:val="007B5674"/>
    <w:rsid w:val="007B6C60"/>
    <w:rsid w:val="007B7DD2"/>
    <w:rsid w:val="007C4979"/>
    <w:rsid w:val="007D004A"/>
    <w:rsid w:val="007D18ED"/>
    <w:rsid w:val="007D4332"/>
    <w:rsid w:val="007D4D80"/>
    <w:rsid w:val="007E0F5B"/>
    <w:rsid w:val="007E1495"/>
    <w:rsid w:val="007E3D02"/>
    <w:rsid w:val="007E3F3C"/>
    <w:rsid w:val="007E4069"/>
    <w:rsid w:val="007E407F"/>
    <w:rsid w:val="007E6F5F"/>
    <w:rsid w:val="007F1F6A"/>
    <w:rsid w:val="007F2974"/>
    <w:rsid w:val="007F33F0"/>
    <w:rsid w:val="007F37F6"/>
    <w:rsid w:val="007F6237"/>
    <w:rsid w:val="00801036"/>
    <w:rsid w:val="008019A6"/>
    <w:rsid w:val="0080262F"/>
    <w:rsid w:val="00802E2F"/>
    <w:rsid w:val="008035BE"/>
    <w:rsid w:val="0080369F"/>
    <w:rsid w:val="00805EC8"/>
    <w:rsid w:val="0080644F"/>
    <w:rsid w:val="00807791"/>
    <w:rsid w:val="00810234"/>
    <w:rsid w:val="00811A8C"/>
    <w:rsid w:val="00812273"/>
    <w:rsid w:val="008140B9"/>
    <w:rsid w:val="00815617"/>
    <w:rsid w:val="00815668"/>
    <w:rsid w:val="00815A75"/>
    <w:rsid w:val="00817860"/>
    <w:rsid w:val="00820F1F"/>
    <w:rsid w:val="00824576"/>
    <w:rsid w:val="008301F4"/>
    <w:rsid w:val="008305BE"/>
    <w:rsid w:val="00830692"/>
    <w:rsid w:val="00832E55"/>
    <w:rsid w:val="00833064"/>
    <w:rsid w:val="00834DB1"/>
    <w:rsid w:val="00835EE3"/>
    <w:rsid w:val="00841BCD"/>
    <w:rsid w:val="00843BB8"/>
    <w:rsid w:val="0084402F"/>
    <w:rsid w:val="00846D37"/>
    <w:rsid w:val="00847042"/>
    <w:rsid w:val="00847259"/>
    <w:rsid w:val="00850540"/>
    <w:rsid w:val="00850C69"/>
    <w:rsid w:val="008511F3"/>
    <w:rsid w:val="008524CC"/>
    <w:rsid w:val="00852789"/>
    <w:rsid w:val="00855BBC"/>
    <w:rsid w:val="0085657D"/>
    <w:rsid w:val="00856D62"/>
    <w:rsid w:val="008573DF"/>
    <w:rsid w:val="00863243"/>
    <w:rsid w:val="008647A3"/>
    <w:rsid w:val="00865529"/>
    <w:rsid w:val="0086554C"/>
    <w:rsid w:val="00866074"/>
    <w:rsid w:val="008718DA"/>
    <w:rsid w:val="008722D2"/>
    <w:rsid w:val="00880646"/>
    <w:rsid w:val="0088159A"/>
    <w:rsid w:val="008818B0"/>
    <w:rsid w:val="00882663"/>
    <w:rsid w:val="00883DD4"/>
    <w:rsid w:val="00884ED8"/>
    <w:rsid w:val="008946C1"/>
    <w:rsid w:val="008969F6"/>
    <w:rsid w:val="00897701"/>
    <w:rsid w:val="00897B9F"/>
    <w:rsid w:val="008A0824"/>
    <w:rsid w:val="008A1F70"/>
    <w:rsid w:val="008A27A5"/>
    <w:rsid w:val="008A42DE"/>
    <w:rsid w:val="008A5CE0"/>
    <w:rsid w:val="008A6349"/>
    <w:rsid w:val="008B01F1"/>
    <w:rsid w:val="008B1A57"/>
    <w:rsid w:val="008B52AB"/>
    <w:rsid w:val="008C350F"/>
    <w:rsid w:val="008C364F"/>
    <w:rsid w:val="008C3C18"/>
    <w:rsid w:val="008C4824"/>
    <w:rsid w:val="008C49A5"/>
    <w:rsid w:val="008C59A0"/>
    <w:rsid w:val="008C6605"/>
    <w:rsid w:val="008D318B"/>
    <w:rsid w:val="008D45FE"/>
    <w:rsid w:val="008D4F63"/>
    <w:rsid w:val="008D7467"/>
    <w:rsid w:val="008D77B4"/>
    <w:rsid w:val="008E080B"/>
    <w:rsid w:val="008E2575"/>
    <w:rsid w:val="008E37DF"/>
    <w:rsid w:val="008E5947"/>
    <w:rsid w:val="008E6422"/>
    <w:rsid w:val="008E6472"/>
    <w:rsid w:val="008E6E0A"/>
    <w:rsid w:val="008E746D"/>
    <w:rsid w:val="008F19CF"/>
    <w:rsid w:val="008F3008"/>
    <w:rsid w:val="008F3860"/>
    <w:rsid w:val="008F674A"/>
    <w:rsid w:val="00901C19"/>
    <w:rsid w:val="00902FC5"/>
    <w:rsid w:val="009030FC"/>
    <w:rsid w:val="00905808"/>
    <w:rsid w:val="0090623E"/>
    <w:rsid w:val="00906483"/>
    <w:rsid w:val="00906A73"/>
    <w:rsid w:val="009108D8"/>
    <w:rsid w:val="00915DD3"/>
    <w:rsid w:val="009210EF"/>
    <w:rsid w:val="0092285C"/>
    <w:rsid w:val="00922D9A"/>
    <w:rsid w:val="009232E1"/>
    <w:rsid w:val="0092607D"/>
    <w:rsid w:val="009264BC"/>
    <w:rsid w:val="009276C7"/>
    <w:rsid w:val="00930A49"/>
    <w:rsid w:val="009312A3"/>
    <w:rsid w:val="00932171"/>
    <w:rsid w:val="0093617B"/>
    <w:rsid w:val="009369C0"/>
    <w:rsid w:val="009377FD"/>
    <w:rsid w:val="00943B19"/>
    <w:rsid w:val="00944113"/>
    <w:rsid w:val="009451F1"/>
    <w:rsid w:val="009469EB"/>
    <w:rsid w:val="0095003C"/>
    <w:rsid w:val="009523FA"/>
    <w:rsid w:val="00954548"/>
    <w:rsid w:val="00956163"/>
    <w:rsid w:val="009563A7"/>
    <w:rsid w:val="00956730"/>
    <w:rsid w:val="00957F59"/>
    <w:rsid w:val="00960BDF"/>
    <w:rsid w:val="009614CA"/>
    <w:rsid w:val="009618B5"/>
    <w:rsid w:val="00962A3B"/>
    <w:rsid w:val="00964493"/>
    <w:rsid w:val="00965983"/>
    <w:rsid w:val="00966CB1"/>
    <w:rsid w:val="00966D4F"/>
    <w:rsid w:val="009723E4"/>
    <w:rsid w:val="00974D0D"/>
    <w:rsid w:val="00976195"/>
    <w:rsid w:val="00976F7B"/>
    <w:rsid w:val="0097715A"/>
    <w:rsid w:val="00980465"/>
    <w:rsid w:val="0098588B"/>
    <w:rsid w:val="0098680C"/>
    <w:rsid w:val="00987588"/>
    <w:rsid w:val="00991844"/>
    <w:rsid w:val="009919F1"/>
    <w:rsid w:val="00992409"/>
    <w:rsid w:val="00993E6A"/>
    <w:rsid w:val="00994C49"/>
    <w:rsid w:val="00997F89"/>
    <w:rsid w:val="009A116E"/>
    <w:rsid w:val="009A1B73"/>
    <w:rsid w:val="009A20FE"/>
    <w:rsid w:val="009A286D"/>
    <w:rsid w:val="009A48A8"/>
    <w:rsid w:val="009A6EFB"/>
    <w:rsid w:val="009A7BED"/>
    <w:rsid w:val="009B0172"/>
    <w:rsid w:val="009B0CE2"/>
    <w:rsid w:val="009B1DFF"/>
    <w:rsid w:val="009B4C4A"/>
    <w:rsid w:val="009B561C"/>
    <w:rsid w:val="009C29F7"/>
    <w:rsid w:val="009C4219"/>
    <w:rsid w:val="009C4225"/>
    <w:rsid w:val="009C6A37"/>
    <w:rsid w:val="009D07DF"/>
    <w:rsid w:val="009D0F8D"/>
    <w:rsid w:val="009D1005"/>
    <w:rsid w:val="009D1307"/>
    <w:rsid w:val="009D174F"/>
    <w:rsid w:val="009D34B6"/>
    <w:rsid w:val="009D48A4"/>
    <w:rsid w:val="009D5EEB"/>
    <w:rsid w:val="009D73D4"/>
    <w:rsid w:val="009E0401"/>
    <w:rsid w:val="009E0760"/>
    <w:rsid w:val="009E093A"/>
    <w:rsid w:val="009E21EF"/>
    <w:rsid w:val="009E3A7D"/>
    <w:rsid w:val="009E41BA"/>
    <w:rsid w:val="009E4A6D"/>
    <w:rsid w:val="009E5083"/>
    <w:rsid w:val="009E6192"/>
    <w:rsid w:val="009E70E2"/>
    <w:rsid w:val="009F034A"/>
    <w:rsid w:val="009F09D6"/>
    <w:rsid w:val="009F1238"/>
    <w:rsid w:val="009F2B67"/>
    <w:rsid w:val="009F35DD"/>
    <w:rsid w:val="00A01783"/>
    <w:rsid w:val="00A02451"/>
    <w:rsid w:val="00A02D96"/>
    <w:rsid w:val="00A03AC7"/>
    <w:rsid w:val="00A03EA5"/>
    <w:rsid w:val="00A04907"/>
    <w:rsid w:val="00A05F42"/>
    <w:rsid w:val="00A063B7"/>
    <w:rsid w:val="00A0646F"/>
    <w:rsid w:val="00A064EF"/>
    <w:rsid w:val="00A07C78"/>
    <w:rsid w:val="00A11D8C"/>
    <w:rsid w:val="00A1596A"/>
    <w:rsid w:val="00A1726B"/>
    <w:rsid w:val="00A20C73"/>
    <w:rsid w:val="00A2116A"/>
    <w:rsid w:val="00A21602"/>
    <w:rsid w:val="00A21B6B"/>
    <w:rsid w:val="00A2346A"/>
    <w:rsid w:val="00A23957"/>
    <w:rsid w:val="00A26448"/>
    <w:rsid w:val="00A272C2"/>
    <w:rsid w:val="00A275D8"/>
    <w:rsid w:val="00A302D3"/>
    <w:rsid w:val="00A30F62"/>
    <w:rsid w:val="00A31227"/>
    <w:rsid w:val="00A345DB"/>
    <w:rsid w:val="00A35F84"/>
    <w:rsid w:val="00A3624C"/>
    <w:rsid w:val="00A37B3A"/>
    <w:rsid w:val="00A40CB2"/>
    <w:rsid w:val="00A40F6C"/>
    <w:rsid w:val="00A42B38"/>
    <w:rsid w:val="00A4349E"/>
    <w:rsid w:val="00A446DA"/>
    <w:rsid w:val="00A447E6"/>
    <w:rsid w:val="00A449EF"/>
    <w:rsid w:val="00A528A3"/>
    <w:rsid w:val="00A53148"/>
    <w:rsid w:val="00A533A8"/>
    <w:rsid w:val="00A542B2"/>
    <w:rsid w:val="00A5551F"/>
    <w:rsid w:val="00A56C48"/>
    <w:rsid w:val="00A56D35"/>
    <w:rsid w:val="00A56F56"/>
    <w:rsid w:val="00A63E3C"/>
    <w:rsid w:val="00A64B6D"/>
    <w:rsid w:val="00A65926"/>
    <w:rsid w:val="00A665F4"/>
    <w:rsid w:val="00A7097A"/>
    <w:rsid w:val="00A75383"/>
    <w:rsid w:val="00A75E1F"/>
    <w:rsid w:val="00A76738"/>
    <w:rsid w:val="00A76A66"/>
    <w:rsid w:val="00A804FE"/>
    <w:rsid w:val="00A82234"/>
    <w:rsid w:val="00A8290B"/>
    <w:rsid w:val="00A8544D"/>
    <w:rsid w:val="00A87510"/>
    <w:rsid w:val="00A90F62"/>
    <w:rsid w:val="00A923B7"/>
    <w:rsid w:val="00A92511"/>
    <w:rsid w:val="00A93CE0"/>
    <w:rsid w:val="00A94BD3"/>
    <w:rsid w:val="00A94F98"/>
    <w:rsid w:val="00A959D0"/>
    <w:rsid w:val="00A97006"/>
    <w:rsid w:val="00A97049"/>
    <w:rsid w:val="00AA1F10"/>
    <w:rsid w:val="00AA75C2"/>
    <w:rsid w:val="00AB0300"/>
    <w:rsid w:val="00AB0313"/>
    <w:rsid w:val="00AB155F"/>
    <w:rsid w:val="00AB2493"/>
    <w:rsid w:val="00AB2AF4"/>
    <w:rsid w:val="00AB313E"/>
    <w:rsid w:val="00AB3195"/>
    <w:rsid w:val="00AB54D9"/>
    <w:rsid w:val="00AB6056"/>
    <w:rsid w:val="00AB678C"/>
    <w:rsid w:val="00AC3487"/>
    <w:rsid w:val="00AC4B3C"/>
    <w:rsid w:val="00AC631C"/>
    <w:rsid w:val="00AC7515"/>
    <w:rsid w:val="00AC7DA7"/>
    <w:rsid w:val="00AD318A"/>
    <w:rsid w:val="00AD433B"/>
    <w:rsid w:val="00AD45F2"/>
    <w:rsid w:val="00AD482C"/>
    <w:rsid w:val="00AE3016"/>
    <w:rsid w:val="00AE5274"/>
    <w:rsid w:val="00AE5402"/>
    <w:rsid w:val="00AE556F"/>
    <w:rsid w:val="00AE5E99"/>
    <w:rsid w:val="00AE756B"/>
    <w:rsid w:val="00AF06F9"/>
    <w:rsid w:val="00AF0A2B"/>
    <w:rsid w:val="00AF0EC8"/>
    <w:rsid w:val="00AF24F5"/>
    <w:rsid w:val="00AF2551"/>
    <w:rsid w:val="00AF3087"/>
    <w:rsid w:val="00AF4714"/>
    <w:rsid w:val="00AF4EFF"/>
    <w:rsid w:val="00AF61CF"/>
    <w:rsid w:val="00AF6C25"/>
    <w:rsid w:val="00AF701C"/>
    <w:rsid w:val="00B011E1"/>
    <w:rsid w:val="00B051DB"/>
    <w:rsid w:val="00B0621F"/>
    <w:rsid w:val="00B0737F"/>
    <w:rsid w:val="00B0785E"/>
    <w:rsid w:val="00B079E4"/>
    <w:rsid w:val="00B07D27"/>
    <w:rsid w:val="00B10757"/>
    <w:rsid w:val="00B17EEB"/>
    <w:rsid w:val="00B20EC0"/>
    <w:rsid w:val="00B21926"/>
    <w:rsid w:val="00B2193A"/>
    <w:rsid w:val="00B22C6E"/>
    <w:rsid w:val="00B232E6"/>
    <w:rsid w:val="00B252EE"/>
    <w:rsid w:val="00B2745E"/>
    <w:rsid w:val="00B326D4"/>
    <w:rsid w:val="00B32A93"/>
    <w:rsid w:val="00B33670"/>
    <w:rsid w:val="00B3611C"/>
    <w:rsid w:val="00B36476"/>
    <w:rsid w:val="00B36D17"/>
    <w:rsid w:val="00B371BF"/>
    <w:rsid w:val="00B44E1F"/>
    <w:rsid w:val="00B46304"/>
    <w:rsid w:val="00B47C90"/>
    <w:rsid w:val="00B54C47"/>
    <w:rsid w:val="00B56A97"/>
    <w:rsid w:val="00B61B77"/>
    <w:rsid w:val="00B61EC8"/>
    <w:rsid w:val="00B63783"/>
    <w:rsid w:val="00B64A6C"/>
    <w:rsid w:val="00B67601"/>
    <w:rsid w:val="00B67BA0"/>
    <w:rsid w:val="00B71359"/>
    <w:rsid w:val="00B7291C"/>
    <w:rsid w:val="00B74031"/>
    <w:rsid w:val="00B743D8"/>
    <w:rsid w:val="00B76993"/>
    <w:rsid w:val="00B76B22"/>
    <w:rsid w:val="00B774D1"/>
    <w:rsid w:val="00B777C6"/>
    <w:rsid w:val="00B82045"/>
    <w:rsid w:val="00B83CE5"/>
    <w:rsid w:val="00B860C3"/>
    <w:rsid w:val="00B860F4"/>
    <w:rsid w:val="00B90EF3"/>
    <w:rsid w:val="00B912E8"/>
    <w:rsid w:val="00B91E18"/>
    <w:rsid w:val="00B9538D"/>
    <w:rsid w:val="00B96FAD"/>
    <w:rsid w:val="00B97C59"/>
    <w:rsid w:val="00BA13F5"/>
    <w:rsid w:val="00BA3635"/>
    <w:rsid w:val="00BA4165"/>
    <w:rsid w:val="00BA6108"/>
    <w:rsid w:val="00BA6827"/>
    <w:rsid w:val="00BA7310"/>
    <w:rsid w:val="00BB2545"/>
    <w:rsid w:val="00BB3F19"/>
    <w:rsid w:val="00BB50F5"/>
    <w:rsid w:val="00BB700F"/>
    <w:rsid w:val="00BB7072"/>
    <w:rsid w:val="00BC352C"/>
    <w:rsid w:val="00BC4383"/>
    <w:rsid w:val="00BC57A1"/>
    <w:rsid w:val="00BD008C"/>
    <w:rsid w:val="00BD223B"/>
    <w:rsid w:val="00BD2379"/>
    <w:rsid w:val="00BD32A8"/>
    <w:rsid w:val="00BD4F88"/>
    <w:rsid w:val="00BD5543"/>
    <w:rsid w:val="00BD574B"/>
    <w:rsid w:val="00BD5DAE"/>
    <w:rsid w:val="00BD6860"/>
    <w:rsid w:val="00BD7B5F"/>
    <w:rsid w:val="00BE0875"/>
    <w:rsid w:val="00BE117F"/>
    <w:rsid w:val="00BE1B8F"/>
    <w:rsid w:val="00BE1FE9"/>
    <w:rsid w:val="00BE2A60"/>
    <w:rsid w:val="00BE2E40"/>
    <w:rsid w:val="00BE3957"/>
    <w:rsid w:val="00BE39A6"/>
    <w:rsid w:val="00BE3BBB"/>
    <w:rsid w:val="00BE6FBA"/>
    <w:rsid w:val="00BE749F"/>
    <w:rsid w:val="00BF06EE"/>
    <w:rsid w:val="00BF1856"/>
    <w:rsid w:val="00BF2979"/>
    <w:rsid w:val="00BF3DE2"/>
    <w:rsid w:val="00BF405A"/>
    <w:rsid w:val="00BF5AE0"/>
    <w:rsid w:val="00BF5C42"/>
    <w:rsid w:val="00BF6A3D"/>
    <w:rsid w:val="00C0036C"/>
    <w:rsid w:val="00C00617"/>
    <w:rsid w:val="00C00E4E"/>
    <w:rsid w:val="00C0295C"/>
    <w:rsid w:val="00C06658"/>
    <w:rsid w:val="00C0761C"/>
    <w:rsid w:val="00C07690"/>
    <w:rsid w:val="00C10C78"/>
    <w:rsid w:val="00C15AB9"/>
    <w:rsid w:val="00C16EBA"/>
    <w:rsid w:val="00C17115"/>
    <w:rsid w:val="00C177C0"/>
    <w:rsid w:val="00C222B8"/>
    <w:rsid w:val="00C24032"/>
    <w:rsid w:val="00C2412C"/>
    <w:rsid w:val="00C27C94"/>
    <w:rsid w:val="00C3106F"/>
    <w:rsid w:val="00C32CD1"/>
    <w:rsid w:val="00C346F7"/>
    <w:rsid w:val="00C3482F"/>
    <w:rsid w:val="00C348E4"/>
    <w:rsid w:val="00C376FB"/>
    <w:rsid w:val="00C40690"/>
    <w:rsid w:val="00C430B3"/>
    <w:rsid w:val="00C439AF"/>
    <w:rsid w:val="00C4504E"/>
    <w:rsid w:val="00C45874"/>
    <w:rsid w:val="00C458AB"/>
    <w:rsid w:val="00C45C87"/>
    <w:rsid w:val="00C469D3"/>
    <w:rsid w:val="00C50040"/>
    <w:rsid w:val="00C5035E"/>
    <w:rsid w:val="00C51D75"/>
    <w:rsid w:val="00C60183"/>
    <w:rsid w:val="00C6119E"/>
    <w:rsid w:val="00C61EEF"/>
    <w:rsid w:val="00C62854"/>
    <w:rsid w:val="00C62B27"/>
    <w:rsid w:val="00C63C09"/>
    <w:rsid w:val="00C64320"/>
    <w:rsid w:val="00C655AC"/>
    <w:rsid w:val="00C71A54"/>
    <w:rsid w:val="00C722D9"/>
    <w:rsid w:val="00C74872"/>
    <w:rsid w:val="00C75D2F"/>
    <w:rsid w:val="00C75DFF"/>
    <w:rsid w:val="00C820D5"/>
    <w:rsid w:val="00C86CAD"/>
    <w:rsid w:val="00C92531"/>
    <w:rsid w:val="00C93C1E"/>
    <w:rsid w:val="00C9501E"/>
    <w:rsid w:val="00C963E5"/>
    <w:rsid w:val="00C97BC3"/>
    <w:rsid w:val="00CA09F1"/>
    <w:rsid w:val="00CA1A39"/>
    <w:rsid w:val="00CA1ED0"/>
    <w:rsid w:val="00CA1F08"/>
    <w:rsid w:val="00CA3928"/>
    <w:rsid w:val="00CA49EC"/>
    <w:rsid w:val="00CA5B43"/>
    <w:rsid w:val="00CA5BA4"/>
    <w:rsid w:val="00CA6B87"/>
    <w:rsid w:val="00CB174D"/>
    <w:rsid w:val="00CB3811"/>
    <w:rsid w:val="00CB620C"/>
    <w:rsid w:val="00CB74F1"/>
    <w:rsid w:val="00CC0D56"/>
    <w:rsid w:val="00CC1DCF"/>
    <w:rsid w:val="00CC469E"/>
    <w:rsid w:val="00CC5734"/>
    <w:rsid w:val="00CD4092"/>
    <w:rsid w:val="00CD50A5"/>
    <w:rsid w:val="00CD72FC"/>
    <w:rsid w:val="00CE00FC"/>
    <w:rsid w:val="00CE1D4D"/>
    <w:rsid w:val="00CE33AA"/>
    <w:rsid w:val="00CE3FE9"/>
    <w:rsid w:val="00CE4841"/>
    <w:rsid w:val="00CE6B91"/>
    <w:rsid w:val="00CF04D3"/>
    <w:rsid w:val="00CF05E4"/>
    <w:rsid w:val="00CF48B8"/>
    <w:rsid w:val="00CF52A4"/>
    <w:rsid w:val="00CF77ED"/>
    <w:rsid w:val="00D003E7"/>
    <w:rsid w:val="00D0058B"/>
    <w:rsid w:val="00D01C95"/>
    <w:rsid w:val="00D0525E"/>
    <w:rsid w:val="00D07484"/>
    <w:rsid w:val="00D11845"/>
    <w:rsid w:val="00D123FD"/>
    <w:rsid w:val="00D13901"/>
    <w:rsid w:val="00D155EF"/>
    <w:rsid w:val="00D20E4A"/>
    <w:rsid w:val="00D20F62"/>
    <w:rsid w:val="00D242DF"/>
    <w:rsid w:val="00D24DAF"/>
    <w:rsid w:val="00D25406"/>
    <w:rsid w:val="00D26444"/>
    <w:rsid w:val="00D26CBE"/>
    <w:rsid w:val="00D2753F"/>
    <w:rsid w:val="00D30739"/>
    <w:rsid w:val="00D32081"/>
    <w:rsid w:val="00D34DAF"/>
    <w:rsid w:val="00D36DAA"/>
    <w:rsid w:val="00D42D4C"/>
    <w:rsid w:val="00D5180D"/>
    <w:rsid w:val="00D51EEC"/>
    <w:rsid w:val="00D52FFC"/>
    <w:rsid w:val="00D53F1A"/>
    <w:rsid w:val="00D54AAA"/>
    <w:rsid w:val="00D554CA"/>
    <w:rsid w:val="00D567A9"/>
    <w:rsid w:val="00D57007"/>
    <w:rsid w:val="00D600EC"/>
    <w:rsid w:val="00D625AC"/>
    <w:rsid w:val="00D62FDC"/>
    <w:rsid w:val="00D63CD4"/>
    <w:rsid w:val="00D66901"/>
    <w:rsid w:val="00D6742E"/>
    <w:rsid w:val="00D70021"/>
    <w:rsid w:val="00D71F0F"/>
    <w:rsid w:val="00D72313"/>
    <w:rsid w:val="00D739B3"/>
    <w:rsid w:val="00D74151"/>
    <w:rsid w:val="00D7416D"/>
    <w:rsid w:val="00D777EB"/>
    <w:rsid w:val="00D77C4C"/>
    <w:rsid w:val="00D77FA7"/>
    <w:rsid w:val="00D80121"/>
    <w:rsid w:val="00D820BD"/>
    <w:rsid w:val="00D8292B"/>
    <w:rsid w:val="00D82FF3"/>
    <w:rsid w:val="00D83F83"/>
    <w:rsid w:val="00D85B9D"/>
    <w:rsid w:val="00D87070"/>
    <w:rsid w:val="00D87148"/>
    <w:rsid w:val="00D87651"/>
    <w:rsid w:val="00D90DE6"/>
    <w:rsid w:val="00D9171C"/>
    <w:rsid w:val="00D9199C"/>
    <w:rsid w:val="00D94576"/>
    <w:rsid w:val="00D946EB"/>
    <w:rsid w:val="00D96FBE"/>
    <w:rsid w:val="00DA0166"/>
    <w:rsid w:val="00DA0929"/>
    <w:rsid w:val="00DA0F96"/>
    <w:rsid w:val="00DA12D6"/>
    <w:rsid w:val="00DA1434"/>
    <w:rsid w:val="00DA3E91"/>
    <w:rsid w:val="00DA45B6"/>
    <w:rsid w:val="00DA47CF"/>
    <w:rsid w:val="00DA6091"/>
    <w:rsid w:val="00DA7948"/>
    <w:rsid w:val="00DB0AC5"/>
    <w:rsid w:val="00DB0DC3"/>
    <w:rsid w:val="00DB2AF8"/>
    <w:rsid w:val="00DB4298"/>
    <w:rsid w:val="00DB46AC"/>
    <w:rsid w:val="00DB47C5"/>
    <w:rsid w:val="00DB56FC"/>
    <w:rsid w:val="00DB5DCF"/>
    <w:rsid w:val="00DB7AF7"/>
    <w:rsid w:val="00DC0ADE"/>
    <w:rsid w:val="00DC17F5"/>
    <w:rsid w:val="00DC2DC2"/>
    <w:rsid w:val="00DC4430"/>
    <w:rsid w:val="00DC6023"/>
    <w:rsid w:val="00DD0202"/>
    <w:rsid w:val="00DD0A74"/>
    <w:rsid w:val="00DD32B2"/>
    <w:rsid w:val="00DD4E4A"/>
    <w:rsid w:val="00DD6544"/>
    <w:rsid w:val="00DE0D80"/>
    <w:rsid w:val="00DE233C"/>
    <w:rsid w:val="00DE39A3"/>
    <w:rsid w:val="00DE4453"/>
    <w:rsid w:val="00DE454E"/>
    <w:rsid w:val="00DE4728"/>
    <w:rsid w:val="00DE4D38"/>
    <w:rsid w:val="00DE5D74"/>
    <w:rsid w:val="00DE5E87"/>
    <w:rsid w:val="00DE671F"/>
    <w:rsid w:val="00DE69FB"/>
    <w:rsid w:val="00DE708B"/>
    <w:rsid w:val="00DF150C"/>
    <w:rsid w:val="00DF22D7"/>
    <w:rsid w:val="00DF3FC8"/>
    <w:rsid w:val="00DF55E5"/>
    <w:rsid w:val="00DF63C0"/>
    <w:rsid w:val="00E00176"/>
    <w:rsid w:val="00E00900"/>
    <w:rsid w:val="00E00CFD"/>
    <w:rsid w:val="00E023DE"/>
    <w:rsid w:val="00E035B0"/>
    <w:rsid w:val="00E050D2"/>
    <w:rsid w:val="00E06885"/>
    <w:rsid w:val="00E07DA4"/>
    <w:rsid w:val="00E105DB"/>
    <w:rsid w:val="00E108B8"/>
    <w:rsid w:val="00E12095"/>
    <w:rsid w:val="00E1254A"/>
    <w:rsid w:val="00E1351E"/>
    <w:rsid w:val="00E14374"/>
    <w:rsid w:val="00E14D35"/>
    <w:rsid w:val="00E153EF"/>
    <w:rsid w:val="00E16BCD"/>
    <w:rsid w:val="00E20100"/>
    <w:rsid w:val="00E2158E"/>
    <w:rsid w:val="00E237C1"/>
    <w:rsid w:val="00E251B5"/>
    <w:rsid w:val="00E30C18"/>
    <w:rsid w:val="00E31ADB"/>
    <w:rsid w:val="00E31FB3"/>
    <w:rsid w:val="00E33EE5"/>
    <w:rsid w:val="00E3663F"/>
    <w:rsid w:val="00E37C9F"/>
    <w:rsid w:val="00E40441"/>
    <w:rsid w:val="00E42AF9"/>
    <w:rsid w:val="00E45A12"/>
    <w:rsid w:val="00E461D9"/>
    <w:rsid w:val="00E463F2"/>
    <w:rsid w:val="00E4657C"/>
    <w:rsid w:val="00E46746"/>
    <w:rsid w:val="00E537CF"/>
    <w:rsid w:val="00E5389A"/>
    <w:rsid w:val="00E56210"/>
    <w:rsid w:val="00E567DA"/>
    <w:rsid w:val="00E56C51"/>
    <w:rsid w:val="00E571AC"/>
    <w:rsid w:val="00E5792D"/>
    <w:rsid w:val="00E604AE"/>
    <w:rsid w:val="00E60BE9"/>
    <w:rsid w:val="00E60D2A"/>
    <w:rsid w:val="00E61A8A"/>
    <w:rsid w:val="00E61F62"/>
    <w:rsid w:val="00E6355A"/>
    <w:rsid w:val="00E65E0F"/>
    <w:rsid w:val="00E70EB4"/>
    <w:rsid w:val="00E740E6"/>
    <w:rsid w:val="00E75E73"/>
    <w:rsid w:val="00E85580"/>
    <w:rsid w:val="00E85858"/>
    <w:rsid w:val="00E85C96"/>
    <w:rsid w:val="00E929E0"/>
    <w:rsid w:val="00E92E70"/>
    <w:rsid w:val="00E952C8"/>
    <w:rsid w:val="00E95CA9"/>
    <w:rsid w:val="00E95DBF"/>
    <w:rsid w:val="00E96FEF"/>
    <w:rsid w:val="00EA09F8"/>
    <w:rsid w:val="00EA2924"/>
    <w:rsid w:val="00EA2E65"/>
    <w:rsid w:val="00EA4ADB"/>
    <w:rsid w:val="00EA75A2"/>
    <w:rsid w:val="00EB0310"/>
    <w:rsid w:val="00EB4E30"/>
    <w:rsid w:val="00EB559E"/>
    <w:rsid w:val="00EC12B4"/>
    <w:rsid w:val="00EC157C"/>
    <w:rsid w:val="00EC2132"/>
    <w:rsid w:val="00EC62D0"/>
    <w:rsid w:val="00EC7540"/>
    <w:rsid w:val="00EC7A6B"/>
    <w:rsid w:val="00ED08B7"/>
    <w:rsid w:val="00ED0F04"/>
    <w:rsid w:val="00ED0FA4"/>
    <w:rsid w:val="00ED350D"/>
    <w:rsid w:val="00ED3DF9"/>
    <w:rsid w:val="00ED6D89"/>
    <w:rsid w:val="00EE0C60"/>
    <w:rsid w:val="00EE13C2"/>
    <w:rsid w:val="00EE2486"/>
    <w:rsid w:val="00EE2750"/>
    <w:rsid w:val="00EE2A80"/>
    <w:rsid w:val="00EE3704"/>
    <w:rsid w:val="00EE3CF8"/>
    <w:rsid w:val="00EE40A6"/>
    <w:rsid w:val="00EE4704"/>
    <w:rsid w:val="00EE4BFA"/>
    <w:rsid w:val="00EE594E"/>
    <w:rsid w:val="00EE5D79"/>
    <w:rsid w:val="00EE7890"/>
    <w:rsid w:val="00EF19AD"/>
    <w:rsid w:val="00EF509E"/>
    <w:rsid w:val="00EF6416"/>
    <w:rsid w:val="00EF6723"/>
    <w:rsid w:val="00EF702D"/>
    <w:rsid w:val="00F002E3"/>
    <w:rsid w:val="00F004F9"/>
    <w:rsid w:val="00F03052"/>
    <w:rsid w:val="00F03131"/>
    <w:rsid w:val="00F03657"/>
    <w:rsid w:val="00F03DB4"/>
    <w:rsid w:val="00F05110"/>
    <w:rsid w:val="00F05263"/>
    <w:rsid w:val="00F05ED2"/>
    <w:rsid w:val="00F06CC9"/>
    <w:rsid w:val="00F10AB3"/>
    <w:rsid w:val="00F11793"/>
    <w:rsid w:val="00F123FF"/>
    <w:rsid w:val="00F13559"/>
    <w:rsid w:val="00F15D60"/>
    <w:rsid w:val="00F16574"/>
    <w:rsid w:val="00F1700C"/>
    <w:rsid w:val="00F172A8"/>
    <w:rsid w:val="00F2035D"/>
    <w:rsid w:val="00F226AD"/>
    <w:rsid w:val="00F2397C"/>
    <w:rsid w:val="00F23BF1"/>
    <w:rsid w:val="00F24E02"/>
    <w:rsid w:val="00F26AB7"/>
    <w:rsid w:val="00F26FE5"/>
    <w:rsid w:val="00F30082"/>
    <w:rsid w:val="00F305E3"/>
    <w:rsid w:val="00F33226"/>
    <w:rsid w:val="00F33DD5"/>
    <w:rsid w:val="00F340FC"/>
    <w:rsid w:val="00F34A25"/>
    <w:rsid w:val="00F35401"/>
    <w:rsid w:val="00F35EAA"/>
    <w:rsid w:val="00F410E6"/>
    <w:rsid w:val="00F45A16"/>
    <w:rsid w:val="00F470A4"/>
    <w:rsid w:val="00F470D0"/>
    <w:rsid w:val="00F510F3"/>
    <w:rsid w:val="00F512D2"/>
    <w:rsid w:val="00F519DF"/>
    <w:rsid w:val="00F5319D"/>
    <w:rsid w:val="00F538F8"/>
    <w:rsid w:val="00F539BA"/>
    <w:rsid w:val="00F53C25"/>
    <w:rsid w:val="00F5523A"/>
    <w:rsid w:val="00F55E71"/>
    <w:rsid w:val="00F56AD7"/>
    <w:rsid w:val="00F570D8"/>
    <w:rsid w:val="00F57395"/>
    <w:rsid w:val="00F57D51"/>
    <w:rsid w:val="00F60BB8"/>
    <w:rsid w:val="00F60F64"/>
    <w:rsid w:val="00F63C28"/>
    <w:rsid w:val="00F6436A"/>
    <w:rsid w:val="00F66A4B"/>
    <w:rsid w:val="00F70292"/>
    <w:rsid w:val="00F730ED"/>
    <w:rsid w:val="00F7515E"/>
    <w:rsid w:val="00F75A96"/>
    <w:rsid w:val="00F77A65"/>
    <w:rsid w:val="00F81A64"/>
    <w:rsid w:val="00F8251C"/>
    <w:rsid w:val="00F82D20"/>
    <w:rsid w:val="00F82FC5"/>
    <w:rsid w:val="00F85E86"/>
    <w:rsid w:val="00F85EE8"/>
    <w:rsid w:val="00F872BE"/>
    <w:rsid w:val="00F908D3"/>
    <w:rsid w:val="00F91564"/>
    <w:rsid w:val="00F9190C"/>
    <w:rsid w:val="00F94613"/>
    <w:rsid w:val="00F971F4"/>
    <w:rsid w:val="00FA0554"/>
    <w:rsid w:val="00FA1C85"/>
    <w:rsid w:val="00FA3D32"/>
    <w:rsid w:val="00FA4729"/>
    <w:rsid w:val="00FA7D5C"/>
    <w:rsid w:val="00FB17FB"/>
    <w:rsid w:val="00FB47A3"/>
    <w:rsid w:val="00FB51AD"/>
    <w:rsid w:val="00FB5C23"/>
    <w:rsid w:val="00FB7F8B"/>
    <w:rsid w:val="00FC08E1"/>
    <w:rsid w:val="00FC0E13"/>
    <w:rsid w:val="00FC1673"/>
    <w:rsid w:val="00FC1FC6"/>
    <w:rsid w:val="00FC34D4"/>
    <w:rsid w:val="00FC3BD6"/>
    <w:rsid w:val="00FC3DE5"/>
    <w:rsid w:val="00FC44D6"/>
    <w:rsid w:val="00FC453A"/>
    <w:rsid w:val="00FC7496"/>
    <w:rsid w:val="00FC7979"/>
    <w:rsid w:val="00FC7FDA"/>
    <w:rsid w:val="00FD1963"/>
    <w:rsid w:val="00FD3855"/>
    <w:rsid w:val="00FD39FA"/>
    <w:rsid w:val="00FD45D2"/>
    <w:rsid w:val="00FD5219"/>
    <w:rsid w:val="00FD58E3"/>
    <w:rsid w:val="00FD726F"/>
    <w:rsid w:val="00FD74CD"/>
    <w:rsid w:val="00FE1892"/>
    <w:rsid w:val="00FE19D4"/>
    <w:rsid w:val="00FE2678"/>
    <w:rsid w:val="00FE28A5"/>
    <w:rsid w:val="00FE2E5C"/>
    <w:rsid w:val="00FE585E"/>
    <w:rsid w:val="00FF0A00"/>
    <w:rsid w:val="00FF6FA8"/>
    <w:rsid w:val="029748AF"/>
    <w:rsid w:val="053C7FA0"/>
    <w:rsid w:val="0B2E3E24"/>
    <w:rsid w:val="123C4589"/>
    <w:rsid w:val="1349204C"/>
    <w:rsid w:val="14707B0C"/>
    <w:rsid w:val="1D7876C1"/>
    <w:rsid w:val="21EB5ABA"/>
    <w:rsid w:val="29422104"/>
    <w:rsid w:val="2D740220"/>
    <w:rsid w:val="2E0F01A8"/>
    <w:rsid w:val="309E0101"/>
    <w:rsid w:val="40FB7670"/>
    <w:rsid w:val="4A313BB2"/>
    <w:rsid w:val="4DD52FE5"/>
    <w:rsid w:val="4EC056E3"/>
    <w:rsid w:val="4F0E61D4"/>
    <w:rsid w:val="56ED1AAC"/>
    <w:rsid w:val="75423EE8"/>
    <w:rsid w:val="7934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62"/>
    <w:qFormat/>
    <w:uiPriority w:val="9"/>
    <w:pPr>
      <w:keepNext/>
      <w:jc w:val="center"/>
      <w:outlineLvl w:val="0"/>
    </w:pPr>
    <w:rPr>
      <w:rFonts w:ascii="宋体"/>
      <w:sz w:val="44"/>
    </w:rPr>
  </w:style>
  <w:style w:type="paragraph" w:styleId="3">
    <w:name w:val="heading 2"/>
    <w:basedOn w:val="1"/>
    <w:next w:val="1"/>
    <w:link w:val="49"/>
    <w:semiHidden/>
    <w:unhideWhenUsed/>
    <w:qFormat/>
    <w:uiPriority w:val="9"/>
    <w:pPr>
      <w:keepNext/>
      <w:keepLines/>
      <w:widowControl/>
      <w:spacing w:before="160" w:after="80" w:line="594" w:lineRule="exact"/>
      <w:ind w:firstLine="200" w:firstLineChars="200"/>
      <w:outlineLvl w:val="1"/>
    </w:pPr>
    <w:rPr>
      <w:rFonts w:ascii="等线 Light" w:hAnsi="等线 Light" w:eastAsia="等线 Light" w:cs="黑体"/>
      <w:color w:val="2E5394"/>
      <w:sz w:val="40"/>
      <w:szCs w:val="40"/>
    </w:rPr>
  </w:style>
  <w:style w:type="paragraph" w:styleId="4">
    <w:name w:val="heading 3"/>
    <w:basedOn w:val="1"/>
    <w:next w:val="1"/>
    <w:link w:val="50"/>
    <w:semiHidden/>
    <w:unhideWhenUsed/>
    <w:qFormat/>
    <w:uiPriority w:val="9"/>
    <w:pPr>
      <w:keepNext/>
      <w:keepLines/>
      <w:widowControl/>
      <w:spacing w:before="160" w:after="80" w:line="594" w:lineRule="exact"/>
      <w:ind w:firstLine="200" w:firstLineChars="200"/>
      <w:outlineLvl w:val="2"/>
    </w:pPr>
    <w:rPr>
      <w:rFonts w:ascii="等线 Light" w:hAnsi="等线 Light" w:eastAsia="等线 Light" w:cs="黑体"/>
      <w:color w:val="2E5394"/>
      <w:szCs w:val="32"/>
    </w:rPr>
  </w:style>
  <w:style w:type="paragraph" w:styleId="5">
    <w:name w:val="heading 4"/>
    <w:basedOn w:val="1"/>
    <w:next w:val="1"/>
    <w:link w:val="51"/>
    <w:semiHidden/>
    <w:unhideWhenUsed/>
    <w:qFormat/>
    <w:uiPriority w:val="9"/>
    <w:pPr>
      <w:keepNext/>
      <w:keepLines/>
      <w:widowControl/>
      <w:spacing w:before="80" w:after="40" w:line="594" w:lineRule="exact"/>
      <w:ind w:firstLine="200" w:firstLineChars="200"/>
      <w:outlineLvl w:val="3"/>
    </w:pPr>
    <w:rPr>
      <w:rFonts w:ascii="等线" w:hAnsi="等线" w:eastAsia="等线" w:cs="黑体"/>
      <w:color w:val="2E5394"/>
      <w:sz w:val="28"/>
      <w:szCs w:val="28"/>
    </w:rPr>
  </w:style>
  <w:style w:type="paragraph" w:styleId="6">
    <w:name w:val="heading 5"/>
    <w:basedOn w:val="1"/>
    <w:next w:val="1"/>
    <w:link w:val="52"/>
    <w:semiHidden/>
    <w:unhideWhenUsed/>
    <w:qFormat/>
    <w:uiPriority w:val="9"/>
    <w:pPr>
      <w:keepNext/>
      <w:keepLines/>
      <w:widowControl/>
      <w:spacing w:before="80" w:after="40" w:line="594" w:lineRule="exact"/>
      <w:ind w:firstLine="200" w:firstLineChars="200"/>
      <w:outlineLvl w:val="4"/>
    </w:pPr>
    <w:rPr>
      <w:rFonts w:ascii="等线" w:hAnsi="等线" w:eastAsia="等线" w:cs="黑体"/>
      <w:color w:val="2E5394"/>
      <w:sz w:val="24"/>
      <w:szCs w:val="24"/>
    </w:rPr>
  </w:style>
  <w:style w:type="paragraph" w:styleId="7">
    <w:name w:val="heading 6"/>
    <w:basedOn w:val="1"/>
    <w:next w:val="1"/>
    <w:link w:val="53"/>
    <w:semiHidden/>
    <w:unhideWhenUsed/>
    <w:qFormat/>
    <w:uiPriority w:val="9"/>
    <w:pPr>
      <w:keepNext/>
      <w:keepLines/>
      <w:widowControl/>
      <w:spacing w:before="40" w:line="594" w:lineRule="exact"/>
      <w:ind w:firstLine="200" w:firstLineChars="200"/>
      <w:outlineLvl w:val="5"/>
    </w:pPr>
    <w:rPr>
      <w:rFonts w:ascii="等线" w:hAnsi="等线" w:eastAsia="等线" w:cs="黑体"/>
      <w:b/>
      <w:bCs/>
      <w:color w:val="2E5394"/>
      <w:szCs w:val="22"/>
    </w:rPr>
  </w:style>
  <w:style w:type="paragraph" w:styleId="8">
    <w:name w:val="heading 7"/>
    <w:basedOn w:val="1"/>
    <w:next w:val="1"/>
    <w:link w:val="54"/>
    <w:semiHidden/>
    <w:unhideWhenUsed/>
    <w:qFormat/>
    <w:uiPriority w:val="9"/>
    <w:pPr>
      <w:keepNext/>
      <w:keepLines/>
      <w:widowControl/>
      <w:spacing w:before="40" w:line="594" w:lineRule="exact"/>
      <w:ind w:firstLine="200" w:firstLineChars="200"/>
      <w:outlineLvl w:val="6"/>
    </w:pPr>
    <w:rPr>
      <w:rFonts w:ascii="等线" w:hAnsi="等线" w:eastAsia="等线" w:cs="黑体"/>
      <w:b/>
      <w:bCs/>
      <w:color w:val="565656"/>
      <w:szCs w:val="22"/>
    </w:rPr>
  </w:style>
  <w:style w:type="paragraph" w:styleId="9">
    <w:name w:val="heading 8"/>
    <w:basedOn w:val="1"/>
    <w:next w:val="1"/>
    <w:link w:val="55"/>
    <w:semiHidden/>
    <w:unhideWhenUsed/>
    <w:qFormat/>
    <w:uiPriority w:val="9"/>
    <w:pPr>
      <w:keepNext/>
      <w:keepLines/>
      <w:widowControl/>
      <w:spacing w:line="594" w:lineRule="exact"/>
      <w:ind w:firstLine="200" w:firstLineChars="200"/>
      <w:outlineLvl w:val="7"/>
    </w:pPr>
    <w:rPr>
      <w:rFonts w:ascii="等线" w:hAnsi="等线" w:eastAsia="等线" w:cs="黑体"/>
      <w:color w:val="565656"/>
      <w:szCs w:val="22"/>
    </w:rPr>
  </w:style>
  <w:style w:type="paragraph" w:styleId="10">
    <w:name w:val="heading 9"/>
    <w:basedOn w:val="1"/>
    <w:next w:val="1"/>
    <w:link w:val="56"/>
    <w:semiHidden/>
    <w:unhideWhenUsed/>
    <w:qFormat/>
    <w:uiPriority w:val="9"/>
    <w:pPr>
      <w:keepNext/>
      <w:keepLines/>
      <w:widowControl/>
      <w:spacing w:line="594" w:lineRule="exact"/>
      <w:ind w:firstLine="200" w:firstLineChars="200"/>
      <w:outlineLvl w:val="8"/>
    </w:pPr>
    <w:rPr>
      <w:rFonts w:ascii="等线" w:hAnsi="等线" w:eastAsia="等线 Light" w:cs="黑体"/>
      <w:color w:val="565656"/>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qFormat/>
    <w:uiPriority w:val="0"/>
    <w:pPr>
      <w:jc w:val="left"/>
    </w:pPr>
  </w:style>
  <w:style w:type="paragraph" w:styleId="12">
    <w:name w:val="Body Text 3"/>
    <w:basedOn w:val="1"/>
    <w:qFormat/>
    <w:uiPriority w:val="0"/>
    <w:pPr>
      <w:spacing w:after="120"/>
    </w:pPr>
    <w:rPr>
      <w:sz w:val="16"/>
      <w:szCs w:val="16"/>
    </w:rPr>
  </w:style>
  <w:style w:type="paragraph" w:styleId="13">
    <w:name w:val="Body Text"/>
    <w:basedOn w:val="1"/>
    <w:qFormat/>
    <w:uiPriority w:val="0"/>
    <w:pPr>
      <w:jc w:val="center"/>
    </w:pPr>
    <w:rPr>
      <w:b/>
      <w:bCs/>
      <w:sz w:val="44"/>
    </w:rPr>
  </w:style>
  <w:style w:type="paragraph" w:styleId="14">
    <w:name w:val="Body Text Indent"/>
    <w:basedOn w:val="1"/>
    <w:qFormat/>
    <w:uiPriority w:val="0"/>
    <w:pPr>
      <w:ind w:firstLine="645"/>
    </w:pPr>
  </w:style>
  <w:style w:type="paragraph" w:styleId="15">
    <w:name w:val="Plain Text"/>
    <w:basedOn w:val="1"/>
    <w:qFormat/>
    <w:uiPriority w:val="0"/>
    <w:rPr>
      <w:rFonts w:ascii="宋体" w:hAnsi="Courier New" w:cs="Courier New"/>
      <w:szCs w:val="21"/>
    </w:rPr>
  </w:style>
  <w:style w:type="paragraph" w:styleId="16">
    <w:name w:val="Date"/>
    <w:basedOn w:val="1"/>
    <w:next w:val="1"/>
    <w:qFormat/>
    <w:uiPriority w:val="0"/>
  </w:style>
  <w:style w:type="paragraph" w:styleId="17">
    <w:name w:val="Balloon Text"/>
    <w:basedOn w:val="1"/>
    <w:link w:val="69"/>
    <w:semiHidden/>
    <w:qFormat/>
    <w:uiPriority w:val="0"/>
    <w:rPr>
      <w:sz w:val="18"/>
      <w:szCs w:val="18"/>
    </w:rPr>
  </w:style>
  <w:style w:type="paragraph" w:styleId="18">
    <w:name w:val="footer"/>
    <w:basedOn w:val="1"/>
    <w:link w:val="68"/>
    <w:qFormat/>
    <w:uiPriority w:val="99"/>
    <w:pPr>
      <w:tabs>
        <w:tab w:val="center" w:pos="4153"/>
        <w:tab w:val="right" w:pos="8306"/>
      </w:tabs>
      <w:snapToGrid w:val="0"/>
      <w:jc w:val="left"/>
    </w:pPr>
    <w:rPr>
      <w:sz w:val="18"/>
      <w:szCs w:val="18"/>
    </w:rPr>
  </w:style>
  <w:style w:type="paragraph" w:styleId="1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57"/>
    <w:qFormat/>
    <w:uiPriority w:val="11"/>
    <w:pPr>
      <w:widowControl/>
      <w:spacing w:after="160" w:line="594" w:lineRule="exact"/>
      <w:ind w:firstLine="200" w:firstLineChars="200"/>
      <w:jc w:val="center"/>
    </w:pPr>
    <w:rPr>
      <w:rFonts w:ascii="等线 Light" w:hAnsi="等线 Light" w:eastAsia="等线 Light" w:cs="黑体"/>
      <w:color w:val="565656"/>
      <w:spacing w:val="15"/>
      <w:sz w:val="28"/>
      <w:szCs w:val="28"/>
    </w:rPr>
  </w:style>
  <w:style w:type="paragraph" w:styleId="21">
    <w:name w:val="Body Text 2"/>
    <w:basedOn w:val="1"/>
    <w:qFormat/>
    <w:uiPriority w:val="0"/>
    <w:pPr>
      <w:spacing w:after="120" w:line="480" w:lineRule="auto"/>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link w:val="58"/>
    <w:qFormat/>
    <w:uiPriority w:val="10"/>
    <w:pPr>
      <w:widowControl/>
      <w:spacing w:after="80"/>
      <w:ind w:firstLine="200" w:firstLineChars="200"/>
      <w:contextualSpacing/>
      <w:jc w:val="center"/>
    </w:pPr>
    <w:rPr>
      <w:rFonts w:ascii="等线 Light" w:hAnsi="等线 Light" w:eastAsia="等线 Light" w:cs="黑体"/>
      <w:spacing w:val="-10"/>
      <w:kern w:val="28"/>
      <w:sz w:val="56"/>
      <w:szCs w:val="56"/>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semiHidden/>
    <w:qFormat/>
    <w:uiPriority w:val="0"/>
    <w:rPr>
      <w:sz w:val="21"/>
      <w:szCs w:val="21"/>
    </w:rPr>
  </w:style>
  <w:style w:type="character" w:customStyle="1" w:styleId="30">
    <w:name w:val="tpc_content"/>
    <w:basedOn w:val="26"/>
    <w:qFormat/>
    <w:uiPriority w:val="0"/>
  </w:style>
  <w:style w:type="character" w:customStyle="1" w:styleId="31">
    <w:name w:val="page_text"/>
    <w:basedOn w:val="26"/>
    <w:qFormat/>
    <w:uiPriority w:val="0"/>
  </w:style>
  <w:style w:type="character" w:customStyle="1" w:styleId="32">
    <w:name w:val="样式8 Char"/>
    <w:link w:val="33"/>
    <w:qFormat/>
    <w:locked/>
    <w:uiPriority w:val="0"/>
    <w:rPr>
      <w:rFonts w:ascii="方正仿宋_GBK" w:eastAsia="方正仿宋_GBK"/>
      <w:snapToGrid w:val="0"/>
      <w:sz w:val="32"/>
      <w:lang w:bidi="ar-SA"/>
    </w:rPr>
  </w:style>
  <w:style w:type="paragraph" w:customStyle="1" w:styleId="33">
    <w:name w:val="样式8"/>
    <w:basedOn w:val="1"/>
    <w:link w:val="32"/>
    <w:qFormat/>
    <w:uiPriority w:val="0"/>
    <w:pPr>
      <w:autoSpaceDE w:val="0"/>
      <w:autoSpaceDN w:val="0"/>
      <w:snapToGrid w:val="0"/>
      <w:spacing w:line="567" w:lineRule="exact"/>
      <w:ind w:firstLine="200" w:firstLineChars="200"/>
    </w:pPr>
    <w:rPr>
      <w:rFonts w:ascii="方正仿宋_GBK" w:eastAsia="方正仿宋_GBK"/>
      <w:snapToGrid w:val="0"/>
      <w:kern w:val="0"/>
    </w:rPr>
  </w:style>
  <w:style w:type="paragraph" w:customStyle="1" w:styleId="34">
    <w:name w:val="Char"/>
    <w:basedOn w:val="1"/>
    <w:qFormat/>
    <w:uiPriority w:val="0"/>
    <w:rPr>
      <w:rFonts w:ascii="Tahoma" w:hAnsi="Tahoma"/>
      <w:sz w:val="24"/>
    </w:rPr>
  </w:style>
  <w:style w:type="paragraph" w:customStyle="1" w:styleId="35">
    <w:name w:val="Char Char Char"/>
    <w:basedOn w:val="1"/>
    <w:semiHidden/>
    <w:qFormat/>
    <w:uiPriority w:val="0"/>
  </w:style>
  <w:style w:type="paragraph" w:customStyle="1" w:styleId="36">
    <w:name w:val="p0"/>
    <w:basedOn w:val="1"/>
    <w:qFormat/>
    <w:uiPriority w:val="0"/>
    <w:pPr>
      <w:widowControl/>
    </w:pPr>
    <w:rPr>
      <w:kern w:val="0"/>
      <w:szCs w:val="21"/>
    </w:rPr>
  </w:style>
  <w:style w:type="paragraph" w:customStyle="1" w:styleId="37">
    <w:name w:val="Char6 Char Char Char"/>
    <w:basedOn w:val="1"/>
    <w:next w:val="1"/>
    <w:qFormat/>
    <w:uiPriority w:val="0"/>
    <w:pPr>
      <w:widowControl/>
      <w:spacing w:line="360" w:lineRule="auto"/>
      <w:jc w:val="left"/>
    </w:pPr>
    <w:rPr>
      <w:kern w:val="0"/>
      <w:lang w:eastAsia="en-US"/>
    </w:rPr>
  </w:style>
  <w:style w:type="paragraph" w:customStyle="1" w:styleId="38">
    <w:name w:val="WW-普通文字"/>
    <w:basedOn w:val="1"/>
    <w:qFormat/>
    <w:uiPriority w:val="0"/>
    <w:pPr>
      <w:suppressAutoHyphens/>
      <w:overflowPunct w:val="0"/>
    </w:pPr>
    <w:rPr>
      <w:rFonts w:ascii="宋体" w:hAnsi="宋体"/>
      <w:kern w:val="1"/>
      <w:lang w:eastAsia="ar-SA"/>
    </w:rPr>
  </w:style>
  <w:style w:type="paragraph" w:customStyle="1" w:styleId="39">
    <w:name w:val="_Style 3"/>
    <w:basedOn w:val="1"/>
    <w:qFormat/>
    <w:uiPriority w:val="0"/>
  </w:style>
  <w:style w:type="paragraph" w:customStyle="1" w:styleId="40">
    <w:name w:val="Char Char Char Char"/>
    <w:basedOn w:val="1"/>
    <w:qFormat/>
    <w:uiPriority w:val="0"/>
    <w:rPr>
      <w:rFonts w:ascii="Tahoma" w:hAnsi="Tahoma"/>
      <w:sz w:val="24"/>
    </w:rPr>
  </w:style>
  <w:style w:type="paragraph" w:customStyle="1" w:styleId="4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Char Char Char Char Char Char Char Char Char Char"/>
    <w:basedOn w:val="1"/>
    <w:qFormat/>
    <w:uiPriority w:val="0"/>
    <w:rPr>
      <w:szCs w:val="32"/>
    </w:rPr>
  </w:style>
  <w:style w:type="paragraph" w:customStyle="1" w:styleId="43">
    <w:name w:val="Default Paragraph Char Char Char Char"/>
    <w:basedOn w:val="1"/>
    <w:next w:val="1"/>
    <w:qFormat/>
    <w:uiPriority w:val="0"/>
    <w:pPr>
      <w:widowControl/>
      <w:spacing w:line="360" w:lineRule="auto"/>
      <w:jc w:val="left"/>
    </w:pPr>
    <w:rPr>
      <w:kern w:val="0"/>
      <w:lang w:eastAsia="en-US"/>
    </w:rPr>
  </w:style>
  <w:style w:type="paragraph" w:customStyle="1" w:styleId="44">
    <w:name w:val="Char6 Char Char Char1"/>
    <w:basedOn w:val="1"/>
    <w:next w:val="1"/>
    <w:qFormat/>
    <w:uiPriority w:val="0"/>
    <w:pPr>
      <w:widowControl/>
      <w:spacing w:line="360" w:lineRule="auto"/>
      <w:jc w:val="left"/>
    </w:pPr>
    <w:rPr>
      <w:kern w:val="0"/>
      <w:lang w:eastAsia="en-US"/>
    </w:rPr>
  </w:style>
  <w:style w:type="paragraph" w:customStyle="1" w:styleId="45">
    <w:name w:val="Char1"/>
    <w:basedOn w:val="1"/>
    <w:qFormat/>
    <w:uiPriority w:val="0"/>
    <w:pPr>
      <w:spacing w:line="360" w:lineRule="auto"/>
    </w:pPr>
    <w:rPr>
      <w:rFonts w:ascii="仿宋_GB2312"/>
      <w:b/>
    </w:rPr>
  </w:style>
  <w:style w:type="paragraph" w:customStyle="1" w:styleId="46">
    <w:name w:val="列出段落1"/>
    <w:basedOn w:val="1"/>
    <w:qFormat/>
    <w:uiPriority w:val="34"/>
    <w:pPr>
      <w:ind w:firstLine="420" w:firstLineChars="200"/>
    </w:pPr>
    <w:rPr>
      <w:rFonts w:ascii="Calibri" w:hAnsi="Calibri"/>
      <w:szCs w:val="22"/>
    </w:rPr>
  </w:style>
  <w:style w:type="table" w:customStyle="1" w:styleId="47">
    <w:name w:val="网格型2"/>
    <w:basedOn w:val="2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网格型1"/>
    <w:basedOn w:val="24"/>
    <w:qFormat/>
    <w:uiPriority w:val="39"/>
    <w:pPr>
      <w:jc w:val="both"/>
    </w:pPr>
    <w:rPr>
      <w:rFonts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9">
    <w:name w:val="标题 2 Char"/>
    <w:link w:val="3"/>
    <w:semiHidden/>
    <w:qFormat/>
    <w:uiPriority w:val="9"/>
    <w:rPr>
      <w:rFonts w:ascii="等线 Light" w:hAnsi="等线 Light" w:eastAsia="等线 Light" w:cs="黑体"/>
      <w:color w:val="2E5394"/>
      <w:kern w:val="2"/>
      <w:sz w:val="40"/>
      <w:szCs w:val="40"/>
    </w:rPr>
  </w:style>
  <w:style w:type="character" w:customStyle="1" w:styleId="50">
    <w:name w:val="标题 3 Char"/>
    <w:link w:val="4"/>
    <w:semiHidden/>
    <w:qFormat/>
    <w:uiPriority w:val="9"/>
    <w:rPr>
      <w:rFonts w:ascii="等线 Light" w:hAnsi="等线 Light" w:eastAsia="等线 Light" w:cs="黑体"/>
      <w:color w:val="2E5394"/>
      <w:kern w:val="2"/>
      <w:sz w:val="32"/>
      <w:szCs w:val="32"/>
    </w:rPr>
  </w:style>
  <w:style w:type="character" w:customStyle="1" w:styleId="51">
    <w:name w:val="标题 4 Char"/>
    <w:link w:val="5"/>
    <w:semiHidden/>
    <w:qFormat/>
    <w:uiPriority w:val="9"/>
    <w:rPr>
      <w:rFonts w:ascii="等线" w:hAnsi="等线" w:eastAsia="等线" w:cs="黑体"/>
      <w:color w:val="2E5394"/>
      <w:kern w:val="2"/>
      <w:sz w:val="28"/>
      <w:szCs w:val="28"/>
    </w:rPr>
  </w:style>
  <w:style w:type="character" w:customStyle="1" w:styleId="52">
    <w:name w:val="标题 5 Char"/>
    <w:link w:val="6"/>
    <w:semiHidden/>
    <w:qFormat/>
    <w:uiPriority w:val="9"/>
    <w:rPr>
      <w:rFonts w:ascii="等线" w:hAnsi="等线" w:eastAsia="等线" w:cs="黑体"/>
      <w:color w:val="2E5394"/>
      <w:kern w:val="2"/>
      <w:sz w:val="24"/>
      <w:szCs w:val="24"/>
    </w:rPr>
  </w:style>
  <w:style w:type="character" w:customStyle="1" w:styleId="53">
    <w:name w:val="标题 6 Char"/>
    <w:link w:val="7"/>
    <w:semiHidden/>
    <w:qFormat/>
    <w:uiPriority w:val="9"/>
    <w:rPr>
      <w:rFonts w:ascii="等线" w:hAnsi="等线" w:eastAsia="等线" w:cs="黑体"/>
      <w:b/>
      <w:bCs/>
      <w:color w:val="2E5394"/>
      <w:kern w:val="2"/>
      <w:sz w:val="32"/>
      <w:szCs w:val="22"/>
    </w:rPr>
  </w:style>
  <w:style w:type="character" w:customStyle="1" w:styleId="54">
    <w:name w:val="标题 7 Char"/>
    <w:link w:val="8"/>
    <w:semiHidden/>
    <w:qFormat/>
    <w:uiPriority w:val="9"/>
    <w:rPr>
      <w:rFonts w:ascii="等线" w:hAnsi="等线" w:eastAsia="等线" w:cs="黑体"/>
      <w:b/>
      <w:bCs/>
      <w:color w:val="565656"/>
      <w:kern w:val="2"/>
      <w:sz w:val="32"/>
      <w:szCs w:val="22"/>
    </w:rPr>
  </w:style>
  <w:style w:type="character" w:customStyle="1" w:styleId="55">
    <w:name w:val="标题 8 Char"/>
    <w:link w:val="9"/>
    <w:semiHidden/>
    <w:qFormat/>
    <w:uiPriority w:val="9"/>
    <w:rPr>
      <w:rFonts w:ascii="等线" w:hAnsi="等线" w:eastAsia="等线" w:cs="黑体"/>
      <w:color w:val="565656"/>
      <w:kern w:val="2"/>
      <w:sz w:val="32"/>
      <w:szCs w:val="22"/>
    </w:rPr>
  </w:style>
  <w:style w:type="character" w:customStyle="1" w:styleId="56">
    <w:name w:val="标题 9 Char"/>
    <w:link w:val="10"/>
    <w:semiHidden/>
    <w:qFormat/>
    <w:uiPriority w:val="9"/>
    <w:rPr>
      <w:rFonts w:ascii="等线" w:hAnsi="等线" w:eastAsia="等线 Light" w:cs="黑体"/>
      <w:color w:val="565656"/>
      <w:kern w:val="2"/>
      <w:sz w:val="32"/>
      <w:szCs w:val="22"/>
    </w:rPr>
  </w:style>
  <w:style w:type="character" w:customStyle="1" w:styleId="57">
    <w:name w:val="副标题 Char"/>
    <w:link w:val="20"/>
    <w:qFormat/>
    <w:uiPriority w:val="11"/>
    <w:rPr>
      <w:rFonts w:ascii="等线 Light" w:hAnsi="等线 Light" w:eastAsia="等线 Light" w:cs="黑体"/>
      <w:color w:val="565656"/>
      <w:spacing w:val="15"/>
      <w:kern w:val="2"/>
      <w:sz w:val="28"/>
      <w:szCs w:val="28"/>
    </w:rPr>
  </w:style>
  <w:style w:type="character" w:customStyle="1" w:styleId="58">
    <w:name w:val="标题 Char"/>
    <w:link w:val="23"/>
    <w:qFormat/>
    <w:uiPriority w:val="10"/>
    <w:rPr>
      <w:rFonts w:ascii="等线 Light" w:hAnsi="等线 Light" w:eastAsia="等线 Light" w:cs="黑体"/>
      <w:spacing w:val="-10"/>
      <w:kern w:val="28"/>
      <w:sz w:val="56"/>
      <w:szCs w:val="56"/>
    </w:rPr>
  </w:style>
  <w:style w:type="paragraph" w:customStyle="1" w:styleId="59">
    <w:name w:val="引用1"/>
    <w:basedOn w:val="1"/>
    <w:next w:val="1"/>
    <w:link w:val="63"/>
    <w:qFormat/>
    <w:uiPriority w:val="29"/>
    <w:pPr>
      <w:widowControl/>
      <w:spacing w:before="160" w:after="160" w:line="594" w:lineRule="exact"/>
      <w:ind w:firstLine="200" w:firstLineChars="200"/>
      <w:jc w:val="center"/>
    </w:pPr>
    <w:rPr>
      <w:i/>
      <w:iCs/>
      <w:color w:val="3F3F3F"/>
      <w:szCs w:val="22"/>
    </w:rPr>
  </w:style>
  <w:style w:type="paragraph" w:customStyle="1" w:styleId="60">
    <w:name w:val="明显引用1"/>
    <w:basedOn w:val="1"/>
    <w:next w:val="1"/>
    <w:link w:val="65"/>
    <w:qFormat/>
    <w:uiPriority w:val="30"/>
    <w:pPr>
      <w:widowControl/>
      <w:pBdr>
        <w:top w:val="single" w:color="2F5496" w:sz="4" w:space="10"/>
        <w:bottom w:val="single" w:color="2F5496" w:sz="4" w:space="10"/>
      </w:pBdr>
      <w:spacing w:before="360" w:after="360" w:line="594" w:lineRule="exact"/>
      <w:ind w:left="864" w:right="864" w:firstLine="200" w:firstLineChars="200"/>
      <w:jc w:val="center"/>
    </w:pPr>
    <w:rPr>
      <w:i/>
      <w:iCs/>
      <w:color w:val="2E5394"/>
      <w:szCs w:val="22"/>
    </w:rPr>
  </w:style>
  <w:style w:type="paragraph" w:customStyle="1" w:styleId="61">
    <w:name w:val="列出段落2"/>
    <w:basedOn w:val="1"/>
    <w:unhideWhenUsed/>
    <w:qFormat/>
    <w:uiPriority w:val="99"/>
    <w:pPr>
      <w:widowControl/>
      <w:spacing w:line="594" w:lineRule="exact"/>
      <w:ind w:firstLine="420" w:firstLineChars="200"/>
    </w:pPr>
    <w:rPr>
      <w:rFonts w:cs="黑体"/>
      <w:szCs w:val="22"/>
    </w:rPr>
  </w:style>
  <w:style w:type="character" w:customStyle="1" w:styleId="62">
    <w:name w:val="标题 1 Char"/>
    <w:link w:val="2"/>
    <w:qFormat/>
    <w:uiPriority w:val="9"/>
    <w:rPr>
      <w:rFonts w:ascii="宋体" w:eastAsia="仿宋_GB2312"/>
      <w:kern w:val="2"/>
      <w:sz w:val="44"/>
    </w:rPr>
  </w:style>
  <w:style w:type="character" w:customStyle="1" w:styleId="63">
    <w:name w:val="引用 字符"/>
    <w:link w:val="59"/>
    <w:qFormat/>
    <w:uiPriority w:val="29"/>
    <w:rPr>
      <w:rFonts w:eastAsia="仿宋_GB2312" w:cs="黑体"/>
      <w:i/>
      <w:iCs/>
      <w:color w:val="3F3F3F"/>
      <w:kern w:val="2"/>
      <w:sz w:val="32"/>
      <w:szCs w:val="22"/>
    </w:rPr>
  </w:style>
  <w:style w:type="character" w:customStyle="1" w:styleId="64">
    <w:name w:val="明显强调1"/>
    <w:qFormat/>
    <w:uiPriority w:val="21"/>
    <w:rPr>
      <w:i/>
      <w:iCs/>
      <w:color w:val="2E5394"/>
    </w:rPr>
  </w:style>
  <w:style w:type="character" w:customStyle="1" w:styleId="65">
    <w:name w:val="明显引用 字符"/>
    <w:link w:val="60"/>
    <w:qFormat/>
    <w:uiPriority w:val="30"/>
    <w:rPr>
      <w:rFonts w:eastAsia="仿宋_GB2312" w:cs="黑体"/>
      <w:i/>
      <w:iCs/>
      <w:color w:val="2E5394"/>
      <w:kern w:val="2"/>
      <w:sz w:val="32"/>
      <w:szCs w:val="22"/>
    </w:rPr>
  </w:style>
  <w:style w:type="character" w:customStyle="1" w:styleId="66">
    <w:name w:val="明显参考1"/>
    <w:qFormat/>
    <w:uiPriority w:val="32"/>
    <w:rPr>
      <w:b/>
      <w:bCs/>
      <w:smallCaps/>
      <w:color w:val="2E5394"/>
      <w:spacing w:val="5"/>
    </w:rPr>
  </w:style>
  <w:style w:type="character" w:customStyle="1" w:styleId="67">
    <w:name w:val="页眉 Char"/>
    <w:link w:val="19"/>
    <w:qFormat/>
    <w:uiPriority w:val="99"/>
    <w:rPr>
      <w:rFonts w:eastAsia="仿宋_GB2312"/>
      <w:kern w:val="2"/>
      <w:sz w:val="18"/>
      <w:szCs w:val="18"/>
    </w:rPr>
  </w:style>
  <w:style w:type="character" w:customStyle="1" w:styleId="68">
    <w:name w:val="页脚 Char"/>
    <w:link w:val="18"/>
    <w:qFormat/>
    <w:uiPriority w:val="99"/>
    <w:rPr>
      <w:rFonts w:eastAsia="仿宋_GB2312"/>
      <w:kern w:val="2"/>
      <w:sz w:val="18"/>
      <w:szCs w:val="18"/>
    </w:rPr>
  </w:style>
  <w:style w:type="character" w:customStyle="1" w:styleId="69">
    <w:name w:val="批注框文本 Char"/>
    <w:link w:val="17"/>
    <w:semiHidden/>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7169;&#26495;2019\&#25206;&#36139;&#21150;\&#25206;&#36139;&#21150;&#65306;&#21512;&#32933;&#24066;&#25206;&#36139;&#21150;&#21512;&#32933;&#24066;&#36130;&#25919;&#23616;&#32852;&#2151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扶贫办：合肥市扶贫办合肥市财政局联合发文</Template>
  <Company>Microsoft</Company>
  <Pages>34</Pages>
  <Words>10396</Words>
  <Characters>10908</Characters>
  <Lines>134</Lines>
  <Paragraphs>37</Paragraphs>
  <TotalTime>33</TotalTime>
  <ScaleCrop>false</ScaleCrop>
  <LinksUpToDate>false</LinksUpToDate>
  <CharactersWithSpaces>10944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2025-03-06T01:11:00Z</dcterms:created>
  <dc:creator>张春凤</dc:creator>
  <cp:lastModifiedBy>安</cp:lastModifiedBy>
  <cp:lastPrinted>2023-02-20T03:31:00Z</cp:lastPrinted>
  <dcterms:modified xsi:type="dcterms:W3CDTF">2025-03-12T00:21:25Z</dcterms:modified>
  <dc:title>word文档</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eyJoZGlkIjoiMTc0MjA1MWI4YzExNzAzNjdlOGFhMTkzZTRiNGY5ODIiLCJ1c2VySWQiOiIyNTgyNjYyOTcifQ==</vt:lpwstr>
  </property>
  <property fmtid="{D5CDD505-2E9C-101B-9397-08002B2CF9AE}" pid="4" name="ICV">
    <vt:lpwstr>E22B712B36204623A439BEE6062D2A6A_12</vt:lpwstr>
  </property>
</Properties>
</file>