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D" w:rsidRDefault="001116AD" w:rsidP="001116AD">
      <w:pPr>
        <w:snapToGrid w:val="0"/>
        <w:spacing w:beforeLines="50" w:before="156" w:afterLines="50" w:after="156" w:line="300" w:lineRule="auto"/>
        <w:jc w:val="left"/>
        <w:rPr>
          <w:rFonts w:ascii="Times New Roman" w:eastAsia="黑体" w:hAnsi="Times New Roman" w:hint="eastAsia"/>
          <w:iCs/>
          <w:kern w:val="0"/>
          <w:sz w:val="32"/>
          <w:szCs w:val="18"/>
        </w:rPr>
      </w:pPr>
      <w:r w:rsidRPr="001116AD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9</w:t>
      </w:r>
      <w:bookmarkStart w:id="0" w:name="_GoBack"/>
      <w:bookmarkEnd w:id="0"/>
    </w:p>
    <w:p w:rsidR="002532E3" w:rsidRDefault="00382711" w:rsidP="009059E3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iCs/>
          <w:kern w:val="0"/>
          <w:sz w:val="32"/>
          <w:szCs w:val="18"/>
        </w:rPr>
      </w:pPr>
      <w:r>
        <w:rPr>
          <w:rFonts w:ascii="Times New Roman" w:eastAsia="黑体" w:hAnsi="Times New Roman" w:hint="eastAsia"/>
          <w:iCs/>
          <w:kern w:val="0"/>
          <w:sz w:val="32"/>
          <w:szCs w:val="18"/>
        </w:rPr>
        <w:t>牙膏中过硬颗粒的检验方法</w:t>
      </w:r>
      <w:r w:rsidR="009059E3">
        <w:rPr>
          <w:rFonts w:ascii="Times New Roman" w:eastAsia="黑体" w:hAnsi="Times New Roman" w:hint="eastAsia"/>
          <w:iCs/>
          <w:kern w:val="0"/>
          <w:sz w:val="32"/>
          <w:szCs w:val="18"/>
        </w:rPr>
        <w:t>（征求意见稿）</w:t>
      </w:r>
    </w:p>
    <w:p w:rsidR="002532E3" w:rsidRDefault="00382711" w:rsidP="009059E3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iCs/>
          <w:kern w:val="0"/>
          <w:sz w:val="32"/>
          <w:szCs w:val="18"/>
        </w:rPr>
      </w:pPr>
      <w:r>
        <w:rPr>
          <w:rFonts w:ascii="Times New Roman" w:eastAsia="方正小标宋简体" w:hAnsi="Times New Roman"/>
          <w:szCs w:val="44"/>
        </w:rPr>
        <w:t>Tes</w:t>
      </w:r>
      <w:r w:rsidR="009059E3">
        <w:rPr>
          <w:rFonts w:ascii="Times New Roman" w:eastAsia="方正小标宋简体" w:hAnsi="Times New Roman"/>
          <w:szCs w:val="44"/>
        </w:rPr>
        <w:t xml:space="preserve">t method for hard particles in </w:t>
      </w:r>
      <w:r w:rsidR="009059E3">
        <w:rPr>
          <w:rFonts w:ascii="Times New Roman" w:eastAsia="方正小标宋简体" w:hAnsi="Times New Roman" w:hint="eastAsia"/>
          <w:szCs w:val="44"/>
        </w:rPr>
        <w:t>T</w:t>
      </w:r>
      <w:r>
        <w:rPr>
          <w:rFonts w:ascii="Times New Roman" w:eastAsia="方正小标宋简体" w:hAnsi="Times New Roman"/>
          <w:szCs w:val="44"/>
        </w:rPr>
        <w:t>oothpaste</w:t>
      </w:r>
    </w:p>
    <w:p w:rsidR="002532E3" w:rsidRDefault="00382711" w:rsidP="009059E3">
      <w:pPr>
        <w:overflowPunct w:val="0"/>
        <w:autoSpaceDE w:val="0"/>
        <w:autoSpaceDN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/>
          <w:bCs/>
          <w:szCs w:val="32"/>
        </w:rPr>
        <w:t xml:space="preserve">1  </w:t>
      </w:r>
      <w:r>
        <w:rPr>
          <w:rFonts w:ascii="Times New Roman" w:eastAsia="黑体" w:hAnsi="Times New Roman"/>
          <w:bCs/>
          <w:szCs w:val="32"/>
        </w:rPr>
        <w:t>范围</w:t>
      </w:r>
    </w:p>
    <w:p w:rsidR="002532E3" w:rsidRDefault="00382711">
      <w:pPr>
        <w:snapToGrid w:val="0"/>
        <w:spacing w:line="30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本方法</w:t>
      </w:r>
      <w:r>
        <w:rPr>
          <w:kern w:val="0"/>
          <w:szCs w:val="21"/>
        </w:rPr>
        <w:t>规定了</w:t>
      </w:r>
      <w:r>
        <w:rPr>
          <w:rFonts w:ascii="Times New Roman" w:hAnsi="Times New Roman" w:hint="eastAsia"/>
          <w:szCs w:val="21"/>
        </w:rPr>
        <w:t>牙膏中过硬颗粒的检验方法。</w:t>
      </w:r>
    </w:p>
    <w:p w:rsidR="002532E3" w:rsidRDefault="00382711">
      <w:pPr>
        <w:snapToGrid w:val="0"/>
        <w:spacing w:line="30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本方法</w:t>
      </w:r>
      <w:r>
        <w:rPr>
          <w:rFonts w:ascii="Times New Roman" w:hAnsi="Times New Roman"/>
          <w:szCs w:val="21"/>
        </w:rPr>
        <w:t>适用于牙膏中</w:t>
      </w:r>
      <w:r>
        <w:rPr>
          <w:rFonts w:ascii="Times New Roman" w:hAnsi="Times New Roman" w:hint="eastAsia"/>
          <w:szCs w:val="21"/>
        </w:rPr>
        <w:t>过硬颗粒</w: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 w:hint="eastAsia"/>
          <w:szCs w:val="21"/>
        </w:rPr>
        <w:t>检验</w:t>
      </w:r>
      <w:r>
        <w:rPr>
          <w:rFonts w:ascii="Times New Roman" w:hAnsi="Times New Roman"/>
          <w:szCs w:val="21"/>
        </w:rPr>
        <w:t>。</w:t>
      </w:r>
      <w:bookmarkStart w:id="1" w:name="_Toc532369426"/>
    </w:p>
    <w:p w:rsidR="002532E3" w:rsidRDefault="00382711" w:rsidP="009059E3">
      <w:pPr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/>
          <w:bCs/>
          <w:szCs w:val="32"/>
        </w:rPr>
        <w:t xml:space="preserve">2  </w:t>
      </w:r>
      <w:r>
        <w:rPr>
          <w:rFonts w:ascii="Times New Roman" w:eastAsia="黑体" w:hAnsi="Times New Roman"/>
          <w:bCs/>
          <w:szCs w:val="32"/>
        </w:rPr>
        <w:t>方法提要</w:t>
      </w:r>
      <w:bookmarkEnd w:id="1"/>
    </w:p>
    <w:p w:rsidR="002532E3" w:rsidRDefault="00382711">
      <w:pPr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szCs w:val="21"/>
        </w:rPr>
      </w:pPr>
      <w:bookmarkStart w:id="2" w:name="_Toc532369427"/>
      <w:r>
        <w:rPr>
          <w:rFonts w:ascii="Times New Roman" w:hAnsi="Times New Roman" w:hint="eastAsia"/>
          <w:szCs w:val="21"/>
        </w:rPr>
        <w:t>利用过硬颗粒测定仪作为测试仪器，载玻片作为代替牙齿的试验材料进行过硬颗粒检验，在一定的压力和摩擦次数下对牙膏试样进行往复摩擦，观察载玻片有无划痕。</w:t>
      </w:r>
    </w:p>
    <w:p w:rsidR="002532E3" w:rsidRDefault="00382711" w:rsidP="009059E3">
      <w:pPr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color w:val="000000"/>
          <w:szCs w:val="32"/>
        </w:rPr>
      </w:pPr>
      <w:r>
        <w:rPr>
          <w:rFonts w:ascii="Times New Roman" w:eastAsia="黑体" w:hAnsi="Times New Roman"/>
          <w:bCs/>
          <w:color w:val="000000"/>
          <w:szCs w:val="32"/>
        </w:rPr>
        <w:t xml:space="preserve">3  </w:t>
      </w:r>
      <w:r>
        <w:rPr>
          <w:rFonts w:ascii="Times New Roman" w:eastAsia="黑体" w:hAnsi="Times New Roman"/>
          <w:bCs/>
          <w:color w:val="000000"/>
          <w:szCs w:val="32"/>
        </w:rPr>
        <w:t>试剂</w:t>
      </w:r>
      <w:bookmarkEnd w:id="2"/>
    </w:p>
    <w:p w:rsidR="002532E3" w:rsidRDefault="00382711">
      <w:pPr>
        <w:snapToGrid w:val="0"/>
        <w:spacing w:line="30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除另有规定外，本方法所用水为</w:t>
      </w:r>
      <w:r>
        <w:rPr>
          <w:rFonts w:ascii="Times New Roman" w:hAnsi="Times New Roman" w:hint="eastAsia"/>
          <w:color w:val="000000"/>
          <w:szCs w:val="21"/>
        </w:rPr>
        <w:t>GB/T 6682</w:t>
      </w:r>
      <w:r>
        <w:rPr>
          <w:rFonts w:ascii="Times New Roman" w:hAnsi="Times New Roman" w:hint="eastAsia"/>
          <w:color w:val="000000"/>
          <w:szCs w:val="21"/>
        </w:rPr>
        <w:t>规定的一级水。</w:t>
      </w:r>
    </w:p>
    <w:p w:rsidR="002532E3" w:rsidRDefault="00382711" w:rsidP="009059E3">
      <w:pPr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  <w:bookmarkStart w:id="3" w:name="_Toc532369428"/>
      <w:r>
        <w:rPr>
          <w:rFonts w:ascii="Times New Roman" w:eastAsia="黑体" w:hAnsi="Times New Roman"/>
          <w:bCs/>
          <w:szCs w:val="32"/>
        </w:rPr>
        <w:t xml:space="preserve">4  </w:t>
      </w:r>
      <w:r>
        <w:rPr>
          <w:rFonts w:ascii="Times New Roman" w:eastAsia="黑体" w:hAnsi="Times New Roman"/>
          <w:bCs/>
          <w:szCs w:val="32"/>
        </w:rPr>
        <w:t>仪器</w:t>
      </w:r>
      <w:bookmarkEnd w:id="3"/>
      <w:r>
        <w:rPr>
          <w:rFonts w:ascii="Times New Roman" w:eastAsia="黑体" w:hAnsi="Times New Roman"/>
          <w:bCs/>
          <w:szCs w:val="32"/>
        </w:rPr>
        <w:t>和设备</w:t>
      </w:r>
    </w:p>
    <w:p w:rsidR="002532E3" w:rsidRDefault="00382711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4.1  </w:t>
      </w:r>
      <w:r>
        <w:rPr>
          <w:rFonts w:ascii="Times New Roman" w:hAnsi="Times New Roman" w:hint="eastAsia"/>
          <w:szCs w:val="21"/>
        </w:rPr>
        <w:t>过硬颗粒测定仪（摩擦铜块</w:t>
      </w:r>
      <w:proofErr w:type="gramStart"/>
      <w:r>
        <w:rPr>
          <w:rFonts w:ascii="Times New Roman" w:hAnsi="Times New Roman" w:hint="eastAsia"/>
          <w:szCs w:val="21"/>
        </w:rPr>
        <w:t>不</w:t>
      </w:r>
      <w:proofErr w:type="gramEnd"/>
      <w:r>
        <w:rPr>
          <w:rFonts w:ascii="Times New Roman" w:hAnsi="Times New Roman" w:hint="eastAsia"/>
          <w:szCs w:val="21"/>
        </w:rPr>
        <w:t>歪斜，其表面应平整光滑，质量</w:t>
      </w:r>
      <w:r>
        <w:rPr>
          <w:rFonts w:ascii="Times New Roman" w:hAnsi="Times New Roman" w:hint="eastAsia"/>
          <w:szCs w:val="21"/>
        </w:rPr>
        <w:t>590 g</w:t>
      </w:r>
      <w:r>
        <w:rPr>
          <w:rFonts w:ascii="Times New Roman" w:hAnsi="Times New Roman" w:hint="eastAsia"/>
          <w:szCs w:val="21"/>
        </w:rPr>
        <w:t>±</w:t>
      </w:r>
      <w:r>
        <w:rPr>
          <w:rFonts w:ascii="Times New Roman" w:hAnsi="Times New Roman" w:hint="eastAsia"/>
          <w:szCs w:val="21"/>
        </w:rPr>
        <w:t>20 g</w:t>
      </w:r>
      <w:r>
        <w:rPr>
          <w:rFonts w:ascii="Times New Roman" w:hAnsi="Times New Roman" w:hint="eastAsia"/>
          <w:szCs w:val="21"/>
        </w:rPr>
        <w:t>，往复的距离</w:t>
      </w:r>
      <w:r>
        <w:rPr>
          <w:rFonts w:ascii="Times New Roman" w:hAnsi="Times New Roman" w:hint="eastAsia"/>
          <w:szCs w:val="21"/>
        </w:rPr>
        <w:t>40 mm</w:t>
      </w:r>
      <w:r>
        <w:rPr>
          <w:rFonts w:ascii="Times New Roman" w:hAnsi="Times New Roman" w:hint="eastAsia"/>
          <w:szCs w:val="21"/>
        </w:rPr>
        <w:t>±</w:t>
      </w:r>
      <w:r>
        <w:rPr>
          <w:rFonts w:ascii="Times New Roman" w:hAnsi="Times New Roman" w:hint="eastAsia"/>
          <w:szCs w:val="21"/>
        </w:rPr>
        <w:t>10 mm</w:t>
      </w:r>
      <w:r>
        <w:rPr>
          <w:rFonts w:ascii="Times New Roman" w:hAnsi="Times New Roman" w:hint="eastAsia"/>
          <w:szCs w:val="21"/>
        </w:rPr>
        <w:t>、往复的频率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 w:hint="eastAsia"/>
          <w:szCs w:val="21"/>
        </w:rPr>
        <w:t>/min</w:t>
      </w:r>
      <w:r>
        <w:rPr>
          <w:rFonts w:ascii="Times New Roman" w:hAnsi="Times New Roman" w:hint="eastAsia"/>
          <w:szCs w:val="21"/>
        </w:rPr>
        <w:t>±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 w:hint="eastAsia"/>
          <w:szCs w:val="21"/>
        </w:rPr>
        <w:t>/min</w:t>
      </w:r>
      <w:r>
        <w:rPr>
          <w:rFonts w:ascii="Times New Roman" w:hAnsi="Times New Roman" w:hint="eastAsia"/>
          <w:szCs w:val="21"/>
        </w:rPr>
        <w:t>，固定槽的尺寸应与载玻片的尺寸匹配）。</w:t>
      </w:r>
    </w:p>
    <w:p w:rsidR="002532E3" w:rsidRDefault="00382711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4.2  </w:t>
      </w:r>
      <w:r>
        <w:rPr>
          <w:rFonts w:ascii="Times New Roman" w:hAnsi="Times New Roman" w:hint="eastAsia"/>
          <w:szCs w:val="21"/>
        </w:rPr>
        <w:t>载玻片（</w:t>
      </w:r>
      <w:r>
        <w:rPr>
          <w:rFonts w:ascii="Times New Roman" w:hAnsi="Times New Roman" w:hint="eastAsia"/>
          <w:szCs w:val="21"/>
        </w:rPr>
        <w:t>75 mm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>25 mm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>1 mm</w:t>
      </w:r>
      <w:r>
        <w:rPr>
          <w:rFonts w:ascii="Times New Roman" w:hAnsi="Times New Roman" w:hint="eastAsia"/>
          <w:szCs w:val="21"/>
        </w:rPr>
        <w:t>，维氏硬度</w:t>
      </w:r>
      <w:r>
        <w:rPr>
          <w:rFonts w:ascii="Times New Roman" w:hAnsi="Times New Roman" w:hint="eastAsia"/>
          <w:szCs w:val="21"/>
        </w:rPr>
        <w:t xml:space="preserve">5.4 </w:t>
      </w:r>
      <w:proofErr w:type="spellStart"/>
      <w:r>
        <w:rPr>
          <w:rFonts w:ascii="Times New Roman" w:hAnsi="Times New Roman" w:hint="eastAsia"/>
          <w:szCs w:val="21"/>
        </w:rPr>
        <w:t>GPa</w:t>
      </w:r>
      <w:proofErr w:type="spellEnd"/>
      <w:r>
        <w:rPr>
          <w:rFonts w:ascii="Times New Roman" w:hAnsi="Times New Roman" w:hint="eastAsia"/>
          <w:szCs w:val="21"/>
        </w:rPr>
        <w:t>±</w:t>
      </w:r>
      <w:r>
        <w:rPr>
          <w:rFonts w:ascii="Times New Roman" w:hAnsi="Times New Roman" w:hint="eastAsia"/>
          <w:szCs w:val="21"/>
        </w:rPr>
        <w:t xml:space="preserve">0.5 </w:t>
      </w:r>
      <w:proofErr w:type="spellStart"/>
      <w:r>
        <w:rPr>
          <w:rFonts w:ascii="Times New Roman" w:hAnsi="Times New Roman" w:hint="eastAsia"/>
          <w:szCs w:val="21"/>
        </w:rPr>
        <w:t>GPa</w:t>
      </w:r>
      <w:proofErr w:type="spellEnd"/>
      <w:r>
        <w:rPr>
          <w:rFonts w:ascii="Times New Roman" w:hAnsi="Times New Roman" w:hint="eastAsia"/>
          <w:szCs w:val="21"/>
        </w:rPr>
        <w:t>）。</w:t>
      </w:r>
    </w:p>
    <w:p w:rsidR="002532E3" w:rsidRDefault="00382711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4.3  </w:t>
      </w:r>
      <w:r>
        <w:rPr>
          <w:rFonts w:ascii="Times New Roman" w:hAnsi="Times New Roman" w:hint="eastAsia"/>
          <w:szCs w:val="21"/>
        </w:rPr>
        <w:t>分析天平：</w:t>
      </w:r>
      <w:proofErr w:type="gramStart"/>
      <w:r>
        <w:rPr>
          <w:rFonts w:ascii="Times New Roman" w:hAnsi="Times New Roman" w:hint="eastAsia"/>
          <w:szCs w:val="21"/>
        </w:rPr>
        <w:t>感</w:t>
      </w:r>
      <w:proofErr w:type="gramEnd"/>
      <w:r>
        <w:rPr>
          <w:rFonts w:ascii="Times New Roman" w:hAnsi="Times New Roman" w:hint="eastAsia"/>
          <w:szCs w:val="21"/>
        </w:rPr>
        <w:t>量为</w:t>
      </w:r>
      <w:r>
        <w:rPr>
          <w:rFonts w:ascii="Times New Roman" w:hAnsi="Times New Roman" w:hint="eastAsia"/>
          <w:szCs w:val="21"/>
        </w:rPr>
        <w:t>0.01 g</w:t>
      </w:r>
      <w:r>
        <w:rPr>
          <w:rFonts w:ascii="Times New Roman" w:hAnsi="Times New Roman" w:hint="eastAsia"/>
          <w:szCs w:val="21"/>
        </w:rPr>
        <w:t>。</w:t>
      </w:r>
    </w:p>
    <w:p w:rsidR="002532E3" w:rsidRDefault="00382711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4.4  </w:t>
      </w:r>
      <w:r>
        <w:rPr>
          <w:rFonts w:ascii="Times New Roman" w:hAnsi="Times New Roman" w:hint="eastAsia"/>
          <w:szCs w:val="21"/>
        </w:rPr>
        <w:t>直尺：分度值为</w:t>
      </w:r>
      <w:r>
        <w:rPr>
          <w:rFonts w:ascii="Times New Roman" w:hAnsi="Times New Roman" w:hint="eastAsia"/>
          <w:szCs w:val="21"/>
        </w:rPr>
        <w:t>1 mm</w:t>
      </w:r>
      <w:r>
        <w:rPr>
          <w:rFonts w:ascii="Times New Roman" w:hAnsi="Times New Roman" w:hint="eastAsia"/>
          <w:szCs w:val="21"/>
        </w:rPr>
        <w:t>。</w:t>
      </w:r>
    </w:p>
    <w:p w:rsidR="002532E3" w:rsidRDefault="00382711" w:rsidP="009059E3">
      <w:pPr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  <w:bookmarkStart w:id="4" w:name="_Toc532369429"/>
      <w:r>
        <w:rPr>
          <w:rFonts w:ascii="Times New Roman" w:eastAsia="黑体" w:hAnsi="Times New Roman"/>
          <w:bCs/>
          <w:szCs w:val="32"/>
        </w:rPr>
        <w:t xml:space="preserve">5  </w:t>
      </w:r>
      <w:r>
        <w:rPr>
          <w:rFonts w:ascii="Times New Roman" w:eastAsia="黑体" w:hAnsi="Times New Roman"/>
          <w:bCs/>
          <w:szCs w:val="32"/>
        </w:rPr>
        <w:t>分析步骤</w:t>
      </w:r>
      <w:bookmarkEnd w:id="4"/>
    </w:p>
    <w:p w:rsidR="002532E3" w:rsidRDefault="00382711">
      <w:pPr>
        <w:snapToGrid w:val="0"/>
        <w:spacing w:beforeLines="50" w:before="156" w:afterLines="50" w:after="156"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5.1  </w:t>
      </w:r>
      <w:r>
        <w:rPr>
          <w:rFonts w:ascii="Times New Roman" w:hAnsi="Times New Roman" w:hint="eastAsia"/>
          <w:szCs w:val="21"/>
        </w:rPr>
        <w:t>载玻片的前处理</w:t>
      </w:r>
    </w:p>
    <w:p w:rsidR="002532E3" w:rsidRDefault="00382711">
      <w:pPr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用水将载玻片冲洗干净，晾干或烘干后剔除有划痕的载玻片，备用。</w:t>
      </w:r>
    </w:p>
    <w:p w:rsidR="002532E3" w:rsidRDefault="00382711">
      <w:pPr>
        <w:snapToGrid w:val="0"/>
        <w:spacing w:beforeLines="50" w:before="156" w:afterLines="50" w:after="156" w:line="30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5.2  </w:t>
      </w:r>
      <w:r>
        <w:rPr>
          <w:rFonts w:ascii="Times New Roman" w:hAnsi="Times New Roman" w:hint="eastAsia"/>
          <w:color w:val="000000"/>
          <w:szCs w:val="21"/>
        </w:rPr>
        <w:t>测定</w:t>
      </w:r>
    </w:p>
    <w:p w:rsidR="002532E3" w:rsidRDefault="00382711">
      <w:pPr>
        <w:snapToGrid w:val="0"/>
        <w:spacing w:line="30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称取样品</w:t>
      </w:r>
      <w:r>
        <w:rPr>
          <w:rFonts w:ascii="Times New Roman" w:hAnsi="Times New Roman" w:hint="eastAsia"/>
          <w:color w:val="000000"/>
          <w:szCs w:val="21"/>
        </w:rPr>
        <w:t>5 g</w:t>
      </w:r>
      <w:r>
        <w:rPr>
          <w:rFonts w:ascii="Times New Roman" w:hAnsi="Times New Roman" w:hint="eastAsia"/>
          <w:color w:val="000000"/>
          <w:szCs w:val="21"/>
        </w:rPr>
        <w:t>（精确至</w:t>
      </w:r>
      <w:r>
        <w:rPr>
          <w:rFonts w:ascii="Times New Roman" w:hAnsi="Times New Roman" w:hint="eastAsia"/>
          <w:color w:val="000000"/>
          <w:szCs w:val="21"/>
        </w:rPr>
        <w:t>0.01 g</w:t>
      </w:r>
      <w:r>
        <w:rPr>
          <w:rFonts w:ascii="Times New Roman" w:hAnsi="Times New Roman" w:hint="eastAsia"/>
          <w:color w:val="000000"/>
          <w:szCs w:val="21"/>
        </w:rPr>
        <w:t>）于无划痕的载玻片中间，将载玻片放入测定仪的固定槽内，使铜块位置处于样品正上方，压上摩擦铜块，启动开关，使铜块往复摩擦</w:t>
      </w:r>
      <w:r>
        <w:rPr>
          <w:rFonts w:ascii="Times New Roman" w:hAnsi="Times New Roman" w:hint="eastAsia"/>
          <w:color w:val="000000"/>
          <w:szCs w:val="21"/>
        </w:rPr>
        <w:t>100</w:t>
      </w:r>
      <w:r>
        <w:rPr>
          <w:rFonts w:ascii="Times New Roman" w:hAnsi="Times New Roman" w:hint="eastAsia"/>
          <w:color w:val="000000"/>
          <w:szCs w:val="21"/>
        </w:rPr>
        <w:t>次后，停止摩擦，取出载玻片，用水将载玻片冲洗干净，晾干或烘干后</w:t>
      </w:r>
      <w:r>
        <w:rPr>
          <w:rFonts w:ascii="Times New Roman" w:hAnsi="Times New Roman" w:hint="eastAsia"/>
          <w:szCs w:val="21"/>
        </w:rPr>
        <w:t>置于黑色无光泽背景上，在恒定光照条件（色温</w:t>
      </w:r>
      <w:r>
        <w:rPr>
          <w:rFonts w:ascii="Times New Roman" w:hAnsi="Times New Roman" w:hint="eastAsia"/>
          <w:szCs w:val="21"/>
        </w:rPr>
        <w:t>5500~6500 K</w:t>
      </w:r>
      <w:r>
        <w:rPr>
          <w:rFonts w:ascii="Times New Roman" w:hAnsi="Times New Roman" w:hint="eastAsia"/>
          <w:szCs w:val="21"/>
        </w:rPr>
        <w:t>的日光灯管或</w:t>
      </w:r>
      <w:r>
        <w:rPr>
          <w:rFonts w:ascii="Times New Roman" w:hAnsi="Times New Roman" w:hint="eastAsia"/>
          <w:szCs w:val="21"/>
        </w:rPr>
        <w:t>LED</w:t>
      </w:r>
      <w:r>
        <w:rPr>
          <w:rFonts w:ascii="Times New Roman" w:hAnsi="Times New Roman" w:hint="eastAsia"/>
          <w:szCs w:val="21"/>
        </w:rPr>
        <w:t>光照），视线垂直于载玻片（在载玻片上不应观察到光源的反射），在距载玻片</w:t>
      </w:r>
      <w:r>
        <w:rPr>
          <w:rFonts w:ascii="Times New Roman" w:hAnsi="Times New Roman" w:hint="eastAsia"/>
          <w:szCs w:val="21"/>
        </w:rPr>
        <w:t>60 cm</w:t>
      </w:r>
      <w:r>
        <w:rPr>
          <w:rFonts w:ascii="Times New Roman" w:hAnsi="Times New Roman" w:hint="eastAsia"/>
          <w:szCs w:val="21"/>
        </w:rPr>
        <w:t>处，观察载玻片有无划痕（划痕长度≥</w:t>
      </w:r>
      <w:r>
        <w:rPr>
          <w:rFonts w:ascii="Times New Roman" w:hAnsi="Times New Roman" w:hint="eastAsia"/>
          <w:szCs w:val="21"/>
        </w:rPr>
        <w:t>2 mm</w:t>
      </w:r>
      <w:r>
        <w:rPr>
          <w:rFonts w:ascii="Times New Roman" w:hAnsi="Times New Roman" w:hint="eastAsia"/>
          <w:szCs w:val="21"/>
        </w:rPr>
        <w:t>时，判为有划痕）。如图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所示。划痕长度用直尺测量，精确至</w:t>
      </w:r>
      <w:r>
        <w:rPr>
          <w:rFonts w:ascii="Times New Roman" w:hAnsi="Times New Roman" w:hint="eastAsia"/>
          <w:szCs w:val="21"/>
        </w:rPr>
        <w:t>1 mm</w:t>
      </w:r>
      <w:r>
        <w:rPr>
          <w:rFonts w:ascii="Times New Roman" w:hAnsi="Times New Roman" w:hint="eastAsia"/>
          <w:szCs w:val="21"/>
        </w:rPr>
        <w:t>。</w:t>
      </w:r>
    </w:p>
    <w:p w:rsidR="002532E3" w:rsidRDefault="009059E3">
      <w:pPr>
        <w:snapToGrid w:val="0"/>
        <w:spacing w:line="30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  <w:bCs/>
          <w:noProof/>
          <w:szCs w:val="32"/>
        </w:rPr>
        <w:lastRenderedPageBreak/>
        <w:drawing>
          <wp:inline distT="0" distB="0" distL="0" distR="0">
            <wp:extent cx="3190875" cy="4048125"/>
            <wp:effectExtent l="0" t="0" r="9525" b="9525"/>
            <wp:docPr id="1" name="图片 2" descr="C:\Users\JYHG\Documents\WeChat Files\wxid_fzarbl0pa6zg12\FileStorage\Temp\1710483838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JYHG\Documents\WeChat Files\wxid_fzarbl0pa6zg12\FileStorage\Temp\17104838388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E3" w:rsidRDefault="00382711" w:rsidP="009059E3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图</w:t>
      </w:r>
      <w:r>
        <w:rPr>
          <w:rFonts w:ascii="Times New Roman" w:eastAsia="黑体" w:hAnsi="Times New Roman" w:hint="eastAsia"/>
          <w:bCs/>
          <w:szCs w:val="32"/>
        </w:rPr>
        <w:t xml:space="preserve">1  </w:t>
      </w:r>
      <w:r>
        <w:rPr>
          <w:rFonts w:ascii="Times New Roman" w:eastAsia="黑体" w:hAnsi="Times New Roman" w:hint="eastAsia"/>
          <w:bCs/>
          <w:szCs w:val="32"/>
        </w:rPr>
        <w:t>观察载玻片示意图</w:t>
      </w:r>
    </w:p>
    <w:p w:rsidR="002532E3" w:rsidRDefault="00382711" w:rsidP="009059E3">
      <w:pPr>
        <w:snapToGrid w:val="0"/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  <w:bookmarkStart w:id="5" w:name="_Toc532369431"/>
      <w:r>
        <w:rPr>
          <w:rFonts w:ascii="Times New Roman" w:eastAsia="黑体" w:hAnsi="Times New Roman"/>
          <w:bCs/>
          <w:szCs w:val="32"/>
        </w:rPr>
        <w:t xml:space="preserve">6  </w:t>
      </w:r>
      <w:bookmarkEnd w:id="5"/>
      <w:r>
        <w:rPr>
          <w:rFonts w:ascii="Times New Roman" w:eastAsia="黑体" w:hAnsi="Times New Roman" w:hint="eastAsia"/>
          <w:bCs/>
          <w:szCs w:val="32"/>
        </w:rPr>
        <w:t>结果判定</w:t>
      </w:r>
    </w:p>
    <w:p w:rsidR="002532E3" w:rsidRDefault="00382711">
      <w:pPr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测试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片载玻片，如均无划痕，符合要求；如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片或以上有划痕，不符合要求；如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片有划痕，则重新测试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片，重新测试后，如均无划痕，则符合要求，否则不符合要求。</w:t>
      </w:r>
    </w:p>
    <w:p w:rsidR="002532E3" w:rsidRDefault="002532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9059E3" w:rsidRDefault="009059E3" w:rsidP="009059E3">
      <w:pPr>
        <w:pStyle w:val="Heading110"/>
        <w:keepNext/>
        <w:keepLines/>
        <w:snapToGrid w:val="0"/>
        <w:spacing w:beforeLines="50" w:before="156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6" w:name="bookmark0"/>
      <w:bookmarkStart w:id="7" w:name="bookmark1"/>
      <w:bookmarkStart w:id="8" w:name="bookmark2"/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lastRenderedPageBreak/>
        <w:t>牙膏中过硬颗粒</w:t>
      </w: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的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检验方法</w:t>
      </w: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（征求意见稿）</w:t>
      </w:r>
      <w:r>
        <w:rPr>
          <w:rFonts w:ascii="Times New Roman" w:eastAsia="黑体" w:hAnsi="Times New Roman" w:cs="Times New Roman"/>
          <w:sz w:val="32"/>
          <w:szCs w:val="32"/>
        </w:rPr>
        <w:t>起草说明</w:t>
      </w:r>
      <w:bookmarkEnd w:id="6"/>
      <w:bookmarkEnd w:id="7"/>
      <w:bookmarkEnd w:id="8"/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为了加强牙膏的监督管理，进一步提高牙膏使用安全性，中国食品药品检定研究院</w:t>
      </w:r>
      <w:r>
        <w:rPr>
          <w:rFonts w:ascii="Times New Roman" w:hAnsi="Times New Roman" w:cs="Times New Roman"/>
          <w:sz w:val="21"/>
          <w:szCs w:val="21"/>
          <w:lang w:val="en-US" w:eastAsia="zh-Hans" w:bidi="en-US"/>
        </w:rPr>
        <w:t>（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以下简称</w:t>
      </w:r>
      <w:r w:rsidRPr="009059E3">
        <w:rPr>
          <w:rFonts w:cs="Times New Roman"/>
          <w:sz w:val="21"/>
          <w:szCs w:val="21"/>
          <w:lang w:val="en-US" w:eastAsia="zh-CN" w:bidi="en-US"/>
        </w:rPr>
        <w:t>“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中检院</w:t>
      </w:r>
      <w:r w:rsidRPr="009059E3">
        <w:rPr>
          <w:rFonts w:cs="Times New Roman"/>
          <w:sz w:val="21"/>
          <w:szCs w:val="21"/>
          <w:lang w:val="en-US" w:eastAsia="zh-CN" w:bidi="en-US"/>
        </w:rPr>
        <w:t>”</w:t>
      </w:r>
      <w:r>
        <w:rPr>
          <w:rFonts w:ascii="Times New Roman" w:hAnsi="Times New Roman" w:cs="Times New Roman"/>
          <w:sz w:val="21"/>
          <w:szCs w:val="21"/>
          <w:lang w:val="en-US" w:eastAsia="zh-Hans" w:bidi="en-US"/>
        </w:rPr>
        <w:t>）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组织开展了</w:t>
      </w:r>
      <w:r w:rsidRPr="009059E3">
        <w:rPr>
          <w:rFonts w:cs="Times New Roman"/>
          <w:sz w:val="21"/>
          <w:szCs w:val="21"/>
          <w:lang w:val="en-US" w:eastAsia="zh-CN" w:bidi="en-US"/>
        </w:rPr>
        <w:t>“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牙膏中过硬颗粒</w:t>
      </w:r>
      <w:r>
        <w:rPr>
          <w:rFonts w:ascii="Times New Roman" w:hAnsi="Times New Roman" w:cs="Times New Roman" w:hint="eastAsia"/>
          <w:sz w:val="21"/>
          <w:szCs w:val="21"/>
          <w:lang w:val="en-US" w:eastAsia="zh-CN" w:bidi="en-US"/>
        </w:rPr>
        <w:t>的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检验方法</w:t>
      </w:r>
      <w:r w:rsidRPr="009059E3">
        <w:rPr>
          <w:rFonts w:cs="Times New Roman"/>
          <w:sz w:val="21"/>
          <w:szCs w:val="21"/>
          <w:lang w:val="en-US" w:eastAsia="zh-CN" w:bidi="en-US"/>
        </w:rPr>
        <w:t>”</w:t>
      </w:r>
      <w:r>
        <w:rPr>
          <w:rFonts w:ascii="Times New Roman" w:hAnsi="Times New Roman" w:cs="Times New Roman"/>
          <w:sz w:val="21"/>
          <w:szCs w:val="21"/>
          <w:lang w:val="en-US" w:eastAsia="zh-CN" w:bidi="en-US"/>
        </w:rPr>
        <w:t>的研究制定工作。现就工作有关情况说明如下：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—</w:t>
      </w:r>
      <w:r>
        <w:rPr>
          <w:rFonts w:ascii="Times New Roman" w:eastAsia="黑体" w:hAnsi="Times New Roman" w:cs="Times New Roman"/>
          <w:sz w:val="21"/>
          <w:szCs w:val="21"/>
        </w:rPr>
        <w:t>、起草原则</w:t>
      </w:r>
    </w:p>
    <w:p w:rsidR="009059E3" w:rsidRDefault="009059E3" w:rsidP="009059E3">
      <w:pPr>
        <w:pStyle w:val="Bodytext10"/>
        <w:snapToGrid w:val="0"/>
        <w:spacing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本方法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主要参考</w:t>
      </w:r>
      <w:r>
        <w:rPr>
          <w:rFonts w:ascii="Times New Roman" w:hAnsi="Times New Roman" w:cs="Times New Roman" w:hint="eastAsia"/>
          <w:sz w:val="21"/>
          <w:szCs w:val="21"/>
        </w:rPr>
        <w:t>GB/T 8372-2017</w:t>
      </w:r>
      <w:r>
        <w:rPr>
          <w:rFonts w:ascii="Times New Roman" w:hAnsi="Times New Roman" w:cs="Times New Roman" w:hint="eastAsia"/>
          <w:sz w:val="21"/>
          <w:szCs w:val="21"/>
        </w:rPr>
        <w:t>《牙膏》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中“过硬颗粒”测定方法</w:t>
      </w:r>
      <w:r>
        <w:rPr>
          <w:rFonts w:ascii="Times New Roman" w:hAnsi="Times New Roman" w:cs="Times New Roman"/>
          <w:sz w:val="21"/>
          <w:szCs w:val="21"/>
        </w:rPr>
        <w:t>。在保证先进性和科学性的基础上</w:t>
      </w:r>
      <w:r>
        <w:rPr>
          <w:rFonts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尽量采用目前化妆品实验室普遍具有的分析仪器</w:t>
      </w:r>
      <w:r>
        <w:rPr>
          <w:rFonts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以便于方法的推广、执行</w:t>
      </w:r>
      <w:r>
        <w:rPr>
          <w:rFonts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ascii="Times New Roman" w:hAnsi="Times New Roman" w:cs="Times New Roman"/>
          <w:sz w:val="21"/>
          <w:szCs w:val="21"/>
        </w:rPr>
        <w:t>同时，方法选择准确、可行、便于实际操作的分析条件，保证了检测方法的可操作性和重现性。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二、起草过程</w:t>
      </w:r>
    </w:p>
    <w:p w:rsidR="009059E3" w:rsidRDefault="009059E3" w:rsidP="009059E3">
      <w:pPr>
        <w:pStyle w:val="Bodytext10"/>
        <w:snapToGrid w:val="0"/>
        <w:spacing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中检院于</w:t>
      </w:r>
      <w:r>
        <w:rPr>
          <w:rFonts w:ascii="Times New Roman" w:hAnsi="Times New Roman" w:cs="Times New Roman"/>
          <w:sz w:val="21"/>
          <w:szCs w:val="21"/>
        </w:rPr>
        <w:t>202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ascii="Times New Roman" w:hAnsi="Times New Roman" w:cs="Times New Roman"/>
          <w:sz w:val="21"/>
          <w:szCs w:val="21"/>
        </w:rPr>
        <w:t>月委托开展</w:t>
      </w:r>
      <w:r w:rsidRPr="009059E3">
        <w:rPr>
          <w:rFonts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牙膏中过硬颗粒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的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检验方法</w:t>
      </w:r>
      <w:r w:rsidRPr="009059E3">
        <w:rPr>
          <w:rFonts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的建立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和</w:t>
      </w:r>
      <w:r>
        <w:rPr>
          <w:rFonts w:ascii="Times New Roman" w:hAnsi="Times New Roman" w:cs="Times New Roman"/>
          <w:sz w:val="21"/>
          <w:szCs w:val="21"/>
        </w:rPr>
        <w:t>验证工作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</w:rPr>
        <w:t>通过查阅国内外文献资料，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调研</w:t>
      </w:r>
      <w:r>
        <w:rPr>
          <w:rFonts w:ascii="Times New Roman" w:hAnsi="Times New Roman" w:cs="Times New Roman"/>
          <w:sz w:val="21"/>
          <w:szCs w:val="21"/>
        </w:rPr>
        <w:t>牙膏生产企业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的生产工艺流程以及关于过硬颗粒的检验现状等措施，</w:t>
      </w:r>
      <w:r>
        <w:rPr>
          <w:rFonts w:ascii="Times New Roman" w:hAnsi="Times New Roman" w:cs="Times New Roman"/>
          <w:sz w:val="21"/>
          <w:szCs w:val="21"/>
        </w:rPr>
        <w:t>完善项目实施方案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 w:hint="eastAsia"/>
          <w:sz w:val="21"/>
          <w:szCs w:val="21"/>
        </w:rPr>
        <w:t>GB/T 8372-2017</w:t>
      </w:r>
      <w:r>
        <w:rPr>
          <w:rFonts w:ascii="Times New Roman" w:hAnsi="Times New Roman" w:cs="Times New Roman" w:hint="eastAsia"/>
          <w:sz w:val="21"/>
          <w:szCs w:val="21"/>
        </w:rPr>
        <w:t>《牙膏》</w:t>
      </w:r>
      <w:r>
        <w:rPr>
          <w:rFonts w:ascii="Times New Roman" w:hAnsi="Times New Roman" w:cs="Times New Roman"/>
          <w:sz w:val="21"/>
          <w:szCs w:val="21"/>
        </w:rPr>
        <w:t>的基础上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搜集不同生产商和品牌的仪器设备参数，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找出影响过硬颗粒项目的因素，分析市售牙膏产品过硬颗粒项目不合格的原因。通过多次方法调整、数据分析和大量的样品检测，</w:t>
      </w:r>
      <w:r>
        <w:rPr>
          <w:rFonts w:ascii="Times New Roman" w:hAnsi="Times New Roman" w:cs="Times New Roman"/>
          <w:sz w:val="21"/>
          <w:szCs w:val="21"/>
        </w:rPr>
        <w:t>建立了牙膏中过硬颗粒检验方法。通过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六</w:t>
      </w:r>
      <w:r>
        <w:rPr>
          <w:rFonts w:ascii="Times New Roman" w:hAnsi="Times New Roman" w:cs="Times New Roman"/>
          <w:sz w:val="21"/>
          <w:szCs w:val="21"/>
        </w:rPr>
        <w:t>家机构开展实验室间方法学验证，最终形成了《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牙膏中过硬颗粒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的</w:t>
      </w:r>
      <w:r>
        <w:rPr>
          <w:rFonts w:ascii="Times New Roman" w:hAnsi="Times New Roman" w:cs="Times New Roman"/>
          <w:sz w:val="21"/>
          <w:szCs w:val="21"/>
          <w:lang w:val="en-US" w:eastAsia="zh-CN"/>
        </w:rPr>
        <w:t>检验方法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/>
          <w:sz w:val="21"/>
          <w:szCs w:val="21"/>
        </w:rPr>
        <w:t>。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三、与我国已有相关标准的关系</w:t>
      </w:r>
    </w:p>
    <w:p w:rsidR="009059E3" w:rsidRDefault="009059E3" w:rsidP="009059E3">
      <w:pPr>
        <w:pStyle w:val="Bodytext10"/>
        <w:snapToGrid w:val="0"/>
        <w:spacing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目前现行有效国家标准是</w:t>
      </w:r>
      <w:r>
        <w:rPr>
          <w:rFonts w:ascii="Times New Roman" w:hAnsi="Times New Roman" w:cs="Times New Roman"/>
          <w:sz w:val="21"/>
          <w:szCs w:val="21"/>
        </w:rPr>
        <w:t>GB/T 8372-2017</w:t>
      </w:r>
      <w:r>
        <w:rPr>
          <w:rFonts w:ascii="Times New Roman" w:hAnsi="Times New Roman" w:cs="Times New Roman"/>
          <w:sz w:val="21"/>
          <w:szCs w:val="21"/>
        </w:rPr>
        <w:t>《牙膏》，其中规定了牙膏的过硬颗粒检验方法以及指标要求。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该方法</w:t>
      </w:r>
      <w:r>
        <w:rPr>
          <w:rFonts w:ascii="Times New Roman" w:hAnsi="Times New Roman" w:cs="Times New Roman"/>
          <w:sz w:val="21"/>
          <w:szCs w:val="21"/>
        </w:rPr>
        <w:t>是于</w:t>
      </w:r>
      <w:r>
        <w:rPr>
          <w:rFonts w:ascii="Times New Roman" w:hAnsi="Times New Roman" w:cs="Times New Roman"/>
          <w:sz w:val="21"/>
          <w:szCs w:val="21"/>
        </w:rPr>
        <w:t>1957</w:t>
      </w:r>
      <w:r>
        <w:rPr>
          <w:rFonts w:ascii="Times New Roman" w:hAnsi="Times New Roman" w:cs="Times New Roman"/>
          <w:sz w:val="21"/>
          <w:szCs w:val="21"/>
        </w:rPr>
        <w:t>年由地方工业部制订的第一份牙膏标准《皂型牙膏》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中提供的，</w:t>
      </w:r>
      <w:r>
        <w:rPr>
          <w:rFonts w:ascii="Times New Roman" w:hAnsi="Times New Roman" w:cs="Times New Roman"/>
          <w:sz w:val="21"/>
          <w:szCs w:val="21"/>
        </w:rPr>
        <w:t>一直沿用至今，已有</w:t>
      </w:r>
      <w:r>
        <w:rPr>
          <w:rFonts w:ascii="Times New Roman" w:hAnsi="Times New Roman" w:cs="Times New Roman"/>
          <w:sz w:val="21"/>
          <w:szCs w:val="21"/>
        </w:rPr>
        <w:t>60</w:t>
      </w:r>
      <w:r>
        <w:rPr>
          <w:rFonts w:ascii="Times New Roman" w:hAnsi="Times New Roman" w:cs="Times New Roman"/>
          <w:sz w:val="21"/>
          <w:szCs w:val="21"/>
        </w:rPr>
        <w:t>多年的历史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。然而，</w:t>
      </w:r>
      <w:r>
        <w:rPr>
          <w:rFonts w:ascii="Times New Roman" w:hAnsi="Times New Roman" w:cs="Times New Roman"/>
          <w:sz w:val="21"/>
          <w:szCs w:val="21"/>
        </w:rPr>
        <w:t>检验方法和判定要求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从</w:t>
      </w:r>
      <w:r>
        <w:rPr>
          <w:rFonts w:ascii="Times New Roman" w:hAnsi="Times New Roman" w:cs="Times New Roman"/>
          <w:sz w:val="21"/>
          <w:szCs w:val="21"/>
        </w:rPr>
        <w:t>未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进行过</w:t>
      </w:r>
      <w:r>
        <w:rPr>
          <w:rFonts w:ascii="Times New Roman" w:hAnsi="Times New Roman" w:cs="Times New Roman"/>
          <w:sz w:val="21"/>
          <w:szCs w:val="21"/>
        </w:rPr>
        <w:t>修订。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由于该方法对仪器设备的参数没有统一要求；对分析步骤的操作细节没有明确规定；对检验结果判定没有明确要求，导致不同实验室之间因为仪器以及操作使检测结果产生差异。</w:t>
      </w:r>
      <w:r>
        <w:rPr>
          <w:rFonts w:ascii="Times New Roman" w:hAnsi="Times New Roman" w:cs="Times New Roman"/>
          <w:sz w:val="21"/>
          <w:szCs w:val="21"/>
        </w:rPr>
        <w:t>本方法在参考</w:t>
      </w:r>
      <w:r>
        <w:rPr>
          <w:rFonts w:ascii="Times New Roman" w:hAnsi="Times New Roman" w:cs="Times New Roman" w:hint="eastAsia"/>
          <w:sz w:val="21"/>
          <w:szCs w:val="21"/>
        </w:rPr>
        <w:t>GB/T 8372-2017</w:t>
      </w:r>
      <w:r>
        <w:rPr>
          <w:rFonts w:ascii="Times New Roman" w:hAnsi="Times New Roman" w:cs="Times New Roman" w:hint="eastAsia"/>
          <w:sz w:val="21"/>
          <w:szCs w:val="21"/>
        </w:rPr>
        <w:t>《牙膏》</w:t>
      </w:r>
      <w:r>
        <w:rPr>
          <w:rFonts w:ascii="Times New Roman" w:hAnsi="Times New Roman" w:cs="Times New Roman"/>
          <w:sz w:val="21"/>
          <w:szCs w:val="21"/>
        </w:rPr>
        <w:t>的基础上，以科学性和合理性为基本原则，综合考虑目前实验室实际检测条件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和仪器设备</w:t>
      </w:r>
      <w:r>
        <w:rPr>
          <w:rFonts w:ascii="Times New Roman" w:hAnsi="Times New Roman" w:cs="Times New Roman"/>
          <w:sz w:val="21"/>
          <w:szCs w:val="21"/>
        </w:rPr>
        <w:t>，对仪器</w:t>
      </w:r>
      <w:r>
        <w:rPr>
          <w:rFonts w:ascii="Times New Roman" w:hAnsi="Times New Roman" w:cs="Times New Roman" w:hint="eastAsia"/>
          <w:sz w:val="21"/>
          <w:szCs w:val="21"/>
        </w:rPr>
        <w:t>设备</w:t>
      </w:r>
      <w:r>
        <w:rPr>
          <w:rFonts w:ascii="Times New Roman" w:hAnsi="Times New Roman" w:cs="Times New Roman"/>
          <w:sz w:val="21"/>
          <w:szCs w:val="21"/>
        </w:rPr>
        <w:t>参数、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分析</w:t>
      </w:r>
      <w:r>
        <w:rPr>
          <w:rFonts w:ascii="Times New Roman" w:hAnsi="Times New Roman" w:cs="Times New Roman"/>
          <w:sz w:val="21"/>
          <w:szCs w:val="21"/>
        </w:rPr>
        <w:t>步骤、结果判定进行统一和优化，以《化妆品安全技术规范》（</w:t>
      </w:r>
      <w:r>
        <w:rPr>
          <w:rFonts w:ascii="Times New Roman" w:hAnsi="Times New Roman" w:cs="Times New Roman"/>
          <w:sz w:val="21"/>
          <w:szCs w:val="21"/>
        </w:rPr>
        <w:t>2015</w:t>
      </w:r>
      <w:r>
        <w:rPr>
          <w:rFonts w:ascii="Times New Roman" w:hAnsi="Times New Roman" w:cs="Times New Roman"/>
          <w:sz w:val="21"/>
          <w:szCs w:val="21"/>
        </w:rPr>
        <w:t>年版）为编撰模板进行起草编写。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四、国际相关标准情况</w:t>
      </w:r>
    </w:p>
    <w:p w:rsidR="009059E3" w:rsidRDefault="009059E3" w:rsidP="009059E3">
      <w:pPr>
        <w:pStyle w:val="Bodytext10"/>
        <w:snapToGrid w:val="0"/>
        <w:spacing w:line="360" w:lineRule="auto"/>
        <w:ind w:firstLine="4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目前国外未见公开发布的相关标准。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五、实验室验证情况</w:t>
      </w:r>
    </w:p>
    <w:p w:rsidR="009059E3" w:rsidRDefault="009059E3" w:rsidP="009059E3">
      <w:pPr>
        <w:pStyle w:val="Bodytext10"/>
        <w:snapToGrid w:val="0"/>
        <w:spacing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本实验室内部验证和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六</w:t>
      </w:r>
      <w:r>
        <w:rPr>
          <w:rFonts w:ascii="Times New Roman" w:hAnsi="Times New Roman" w:cs="Times New Roman"/>
          <w:sz w:val="21"/>
          <w:szCs w:val="21"/>
        </w:rPr>
        <w:t>家实验室外部验证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完成了牙膏中过硬颗粒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的</w:t>
      </w:r>
      <w:r>
        <w:rPr>
          <w:rFonts w:ascii="Times New Roman" w:hAnsi="Times New Roman" w:cs="Times New Roman"/>
          <w:sz w:val="21"/>
          <w:szCs w:val="21"/>
        </w:rPr>
        <w:t>检验方法的方法学</w:t>
      </w:r>
      <w:r>
        <w:rPr>
          <w:rFonts w:ascii="Times New Roman" w:hAnsi="Times New Roman" w:cs="Times New Roman"/>
          <w:sz w:val="21"/>
          <w:szCs w:val="21"/>
        </w:rPr>
        <w:lastRenderedPageBreak/>
        <w:t>验证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</w:rPr>
        <w:t>对于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个牙膏试样，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六</w:t>
      </w:r>
      <w:r>
        <w:rPr>
          <w:rFonts w:ascii="Times New Roman" w:hAnsi="Times New Roman" w:cs="Times New Roman"/>
          <w:sz w:val="21"/>
          <w:szCs w:val="21"/>
        </w:rPr>
        <w:t>家实验室均得到一致的验证结果。</w:t>
      </w:r>
    </w:p>
    <w:p w:rsidR="009059E3" w:rsidRDefault="009059E3" w:rsidP="009059E3">
      <w:pPr>
        <w:pStyle w:val="Bodytext10"/>
        <w:snapToGrid w:val="0"/>
        <w:spacing w:beforeLines="50" w:before="156" w:afterLines="50" w:after="156" w:line="360" w:lineRule="auto"/>
        <w:jc w:val="both"/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</w:pPr>
      <w:r>
        <w:rPr>
          <w:rFonts w:ascii="Times New Roman" w:eastAsia="黑体" w:hAnsi="Times New Roman" w:cs="Times New Roman"/>
          <w:sz w:val="21"/>
          <w:szCs w:val="21"/>
          <w:lang w:val="en-US" w:eastAsia="zh-CN" w:bidi="en-US"/>
        </w:rPr>
        <w:t>六、其他需说明的问题</w:t>
      </w:r>
    </w:p>
    <w:p w:rsidR="009059E3" w:rsidRDefault="009059E3" w:rsidP="009059E3">
      <w:pPr>
        <w:pStyle w:val="Bodytext10"/>
        <w:snapToGrid w:val="0"/>
        <w:spacing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本检测方法的体例主要参照《化妆品安全技术规范》的理化检验方法的体例要求，</w:t>
      </w:r>
      <w:r>
        <w:rPr>
          <w:rFonts w:ascii="Times New Roman" w:hAnsi="Times New Roman" w:cs="Times New Roman" w:hint="eastAsia"/>
          <w:sz w:val="21"/>
          <w:szCs w:val="21"/>
        </w:rPr>
        <w:t>并参考</w:t>
      </w:r>
      <w:r>
        <w:rPr>
          <w:rFonts w:ascii="Times New Roman" w:hAnsi="Times New Roman" w:cs="Times New Roman"/>
          <w:sz w:val="21"/>
          <w:szCs w:val="21"/>
        </w:rPr>
        <w:t>国家药品监督管理局</w:t>
      </w:r>
      <w:r>
        <w:rPr>
          <w:rFonts w:ascii="Times New Roman" w:hAnsi="Times New Roman" w:cs="Times New Roman"/>
          <w:sz w:val="21"/>
          <w:szCs w:val="21"/>
        </w:rPr>
        <w:t>2021</w:t>
      </w:r>
      <w:r>
        <w:rPr>
          <w:rFonts w:ascii="Times New Roman" w:hAnsi="Times New Roman" w:cs="Times New Roman"/>
          <w:sz w:val="21"/>
          <w:szCs w:val="21"/>
        </w:rPr>
        <w:t>年第</w:t>
      </w: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hAnsi="Times New Roman" w:cs="Times New Roman"/>
          <w:sz w:val="21"/>
          <w:szCs w:val="21"/>
        </w:rPr>
        <w:t>号文《化妆品补充检验方法研究起草技术指南》的编写规则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便于化妆品检验领域相关检验人员的阅读和实际操作。</w:t>
      </w:r>
    </w:p>
    <w:p w:rsidR="009059E3" w:rsidRDefault="009059E3" w:rsidP="009059E3">
      <w:pPr>
        <w:spacing w:before="120" w:line="360" w:lineRule="auto"/>
        <w:jc w:val="left"/>
        <w:rPr>
          <w:rFonts w:ascii="Times New Roman" w:hAnsi="Times New Roman"/>
          <w:b/>
          <w:sz w:val="28"/>
          <w:szCs w:val="28"/>
          <w:lang w:eastAsia="zh-TW"/>
        </w:rPr>
      </w:pPr>
    </w:p>
    <w:p w:rsidR="009059E3" w:rsidRDefault="009059E3" w:rsidP="009059E3">
      <w:pPr>
        <w:snapToGrid w:val="0"/>
        <w:spacing w:before="50" w:after="50" w:line="360" w:lineRule="auto"/>
        <w:ind w:firstLineChars="200" w:firstLine="420"/>
        <w:rPr>
          <w:rFonts w:ascii="Times New Roman" w:hAnsi="Times New Roman"/>
          <w:szCs w:val="21"/>
        </w:rPr>
      </w:pPr>
    </w:p>
    <w:p w:rsidR="009059E3" w:rsidRDefault="009059E3" w:rsidP="009059E3">
      <w:pPr>
        <w:spacing w:beforeLines="50" w:before="156" w:afterLines="50" w:after="156" w:line="360" w:lineRule="auto"/>
        <w:jc w:val="center"/>
        <w:rPr>
          <w:rFonts w:ascii="Times New Roman" w:eastAsia="黑体" w:hAnsi="Times New Roman"/>
        </w:rPr>
      </w:pPr>
    </w:p>
    <w:p w:rsidR="009059E3" w:rsidRPr="009059E3" w:rsidRDefault="009059E3">
      <w:pPr>
        <w:spacing w:beforeLines="50" w:before="156" w:afterLines="50" w:after="156" w:line="300" w:lineRule="auto"/>
        <w:rPr>
          <w:rFonts w:ascii="Times New Roman" w:eastAsia="黑体" w:hAnsi="Times New Roman"/>
          <w:bCs/>
          <w:szCs w:val="32"/>
        </w:rPr>
      </w:pPr>
    </w:p>
    <w:p w:rsidR="002532E3" w:rsidRDefault="002532E3">
      <w:pPr>
        <w:pStyle w:val="Bodytext10"/>
        <w:snapToGrid w:val="0"/>
        <w:spacing w:beforeLines="50" w:before="156" w:afterLines="50" w:after="156" w:line="300" w:lineRule="auto"/>
        <w:ind w:firstLine="459"/>
        <w:jc w:val="both"/>
        <w:rPr>
          <w:sz w:val="21"/>
          <w:szCs w:val="21"/>
          <w:lang w:val="en-US"/>
        </w:rPr>
      </w:pPr>
    </w:p>
    <w:p w:rsidR="002532E3" w:rsidRDefault="002532E3">
      <w:pPr>
        <w:spacing w:before="120" w:line="300" w:lineRule="auto"/>
        <w:jc w:val="left"/>
        <w:rPr>
          <w:rFonts w:ascii="Times New Roman" w:hAnsi="Times New Roman"/>
          <w:b/>
          <w:sz w:val="28"/>
          <w:szCs w:val="28"/>
          <w:lang w:eastAsia="zh-TW"/>
        </w:rPr>
      </w:pPr>
    </w:p>
    <w:p w:rsidR="002532E3" w:rsidRDefault="002532E3">
      <w:pPr>
        <w:snapToGrid w:val="0"/>
        <w:spacing w:before="50" w:after="50" w:line="300" w:lineRule="auto"/>
        <w:ind w:firstLineChars="200" w:firstLine="420"/>
        <w:rPr>
          <w:rFonts w:ascii="Times New Roman" w:hAnsi="Times New Roman"/>
          <w:szCs w:val="21"/>
        </w:rPr>
      </w:pPr>
    </w:p>
    <w:p w:rsidR="00382711" w:rsidRDefault="00382711">
      <w:pPr>
        <w:spacing w:beforeLines="50" w:before="156" w:afterLines="50" w:after="156" w:line="300" w:lineRule="auto"/>
        <w:jc w:val="center"/>
        <w:rPr>
          <w:rFonts w:ascii="Times New Roman" w:eastAsia="黑体" w:hAnsi="Times New Roman"/>
        </w:rPr>
      </w:pPr>
    </w:p>
    <w:sectPr w:rsidR="0038271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8C" w:rsidRDefault="00AC438C" w:rsidP="009059E3">
      <w:r>
        <w:separator/>
      </w:r>
    </w:p>
  </w:endnote>
  <w:endnote w:type="continuationSeparator" w:id="0">
    <w:p w:rsidR="00AC438C" w:rsidRDefault="00AC438C" w:rsidP="009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1750"/>
      <w:docPartObj>
        <w:docPartGallery w:val="Page Numbers (Bottom of Page)"/>
        <w:docPartUnique/>
      </w:docPartObj>
    </w:sdtPr>
    <w:sdtEndPr/>
    <w:sdtContent>
      <w:p w:rsidR="00717BA3" w:rsidRDefault="00717B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6AD" w:rsidRPr="001116AD">
          <w:rPr>
            <w:noProof/>
            <w:lang w:val="zh-CN"/>
          </w:rPr>
          <w:t>1</w:t>
        </w:r>
        <w:r>
          <w:fldChar w:fldCharType="end"/>
        </w:r>
      </w:p>
    </w:sdtContent>
  </w:sdt>
  <w:p w:rsidR="00717BA3" w:rsidRDefault="00717B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8C" w:rsidRDefault="00AC438C" w:rsidP="009059E3">
      <w:r>
        <w:separator/>
      </w:r>
    </w:p>
  </w:footnote>
  <w:footnote w:type="continuationSeparator" w:id="0">
    <w:p w:rsidR="00AC438C" w:rsidRDefault="00AC438C" w:rsidP="0090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B31A76"/>
    <w:rsid w:val="BFFCBDC5"/>
    <w:rsid w:val="00000278"/>
    <w:rsid w:val="00006DEC"/>
    <w:rsid w:val="00025B1E"/>
    <w:rsid w:val="00040327"/>
    <w:rsid w:val="000629A4"/>
    <w:rsid w:val="00062B2D"/>
    <w:rsid w:val="00066ADE"/>
    <w:rsid w:val="000730E1"/>
    <w:rsid w:val="0009306F"/>
    <w:rsid w:val="000A1134"/>
    <w:rsid w:val="000A1833"/>
    <w:rsid w:val="000B71F3"/>
    <w:rsid w:val="000C1AC9"/>
    <w:rsid w:val="000C5D09"/>
    <w:rsid w:val="000D0BD0"/>
    <w:rsid w:val="000D16F9"/>
    <w:rsid w:val="000E25EE"/>
    <w:rsid w:val="000F3334"/>
    <w:rsid w:val="000F3A99"/>
    <w:rsid w:val="0011115D"/>
    <w:rsid w:val="001116AD"/>
    <w:rsid w:val="00113452"/>
    <w:rsid w:val="0012226C"/>
    <w:rsid w:val="0013180B"/>
    <w:rsid w:val="0013696E"/>
    <w:rsid w:val="0013730E"/>
    <w:rsid w:val="0016458D"/>
    <w:rsid w:val="001750BD"/>
    <w:rsid w:val="00183235"/>
    <w:rsid w:val="00190DD2"/>
    <w:rsid w:val="001C13FD"/>
    <w:rsid w:val="001C7BBE"/>
    <w:rsid w:val="001D5079"/>
    <w:rsid w:val="001D7978"/>
    <w:rsid w:val="001F1F25"/>
    <w:rsid w:val="001F35C7"/>
    <w:rsid w:val="001F783E"/>
    <w:rsid w:val="00200262"/>
    <w:rsid w:val="0021309A"/>
    <w:rsid w:val="00220AA2"/>
    <w:rsid w:val="00221BA5"/>
    <w:rsid w:val="00224660"/>
    <w:rsid w:val="00230684"/>
    <w:rsid w:val="002362B5"/>
    <w:rsid w:val="0023721B"/>
    <w:rsid w:val="0023770B"/>
    <w:rsid w:val="00237889"/>
    <w:rsid w:val="00240580"/>
    <w:rsid w:val="002532E3"/>
    <w:rsid w:val="0026153C"/>
    <w:rsid w:val="00264F34"/>
    <w:rsid w:val="00265437"/>
    <w:rsid w:val="00270DBF"/>
    <w:rsid w:val="00277122"/>
    <w:rsid w:val="002A4088"/>
    <w:rsid w:val="002A5800"/>
    <w:rsid w:val="002B5503"/>
    <w:rsid w:val="002D6B94"/>
    <w:rsid w:val="002E28C3"/>
    <w:rsid w:val="002E45E4"/>
    <w:rsid w:val="002E5A9D"/>
    <w:rsid w:val="002F0140"/>
    <w:rsid w:val="002F2B81"/>
    <w:rsid w:val="002F5951"/>
    <w:rsid w:val="00300624"/>
    <w:rsid w:val="0030140E"/>
    <w:rsid w:val="00316642"/>
    <w:rsid w:val="003200BE"/>
    <w:rsid w:val="003220DE"/>
    <w:rsid w:val="00322875"/>
    <w:rsid w:val="00323AA9"/>
    <w:rsid w:val="00325ECB"/>
    <w:rsid w:val="00326609"/>
    <w:rsid w:val="003452B4"/>
    <w:rsid w:val="00353A75"/>
    <w:rsid w:val="0037178E"/>
    <w:rsid w:val="00377275"/>
    <w:rsid w:val="00381B5C"/>
    <w:rsid w:val="00381C80"/>
    <w:rsid w:val="00382711"/>
    <w:rsid w:val="00391B2D"/>
    <w:rsid w:val="00396E46"/>
    <w:rsid w:val="003A1D83"/>
    <w:rsid w:val="003A2FB6"/>
    <w:rsid w:val="003A43BF"/>
    <w:rsid w:val="003A4B1D"/>
    <w:rsid w:val="003D4431"/>
    <w:rsid w:val="003D64B5"/>
    <w:rsid w:val="003E4FE0"/>
    <w:rsid w:val="003E694D"/>
    <w:rsid w:val="0040302F"/>
    <w:rsid w:val="004160CA"/>
    <w:rsid w:val="00420338"/>
    <w:rsid w:val="00422D18"/>
    <w:rsid w:val="00432806"/>
    <w:rsid w:val="00435BD1"/>
    <w:rsid w:val="004515A0"/>
    <w:rsid w:val="00481350"/>
    <w:rsid w:val="004843C1"/>
    <w:rsid w:val="00491A97"/>
    <w:rsid w:val="004A07B6"/>
    <w:rsid w:val="004A2684"/>
    <w:rsid w:val="004B0E7F"/>
    <w:rsid w:val="004C35CE"/>
    <w:rsid w:val="004E076C"/>
    <w:rsid w:val="004E3155"/>
    <w:rsid w:val="004E37E2"/>
    <w:rsid w:val="004E4A91"/>
    <w:rsid w:val="004E6092"/>
    <w:rsid w:val="004E7734"/>
    <w:rsid w:val="004F631F"/>
    <w:rsid w:val="00507FC0"/>
    <w:rsid w:val="005100BA"/>
    <w:rsid w:val="00513A2F"/>
    <w:rsid w:val="005220D8"/>
    <w:rsid w:val="00523F8E"/>
    <w:rsid w:val="0052658F"/>
    <w:rsid w:val="00532BBA"/>
    <w:rsid w:val="00535610"/>
    <w:rsid w:val="005378D5"/>
    <w:rsid w:val="00540410"/>
    <w:rsid w:val="0054093A"/>
    <w:rsid w:val="0054763D"/>
    <w:rsid w:val="00550AE5"/>
    <w:rsid w:val="00555923"/>
    <w:rsid w:val="00555C04"/>
    <w:rsid w:val="00562C9E"/>
    <w:rsid w:val="005671BA"/>
    <w:rsid w:val="0057162A"/>
    <w:rsid w:val="0058230D"/>
    <w:rsid w:val="00587F2F"/>
    <w:rsid w:val="005A6861"/>
    <w:rsid w:val="005B3DA5"/>
    <w:rsid w:val="005C1A0D"/>
    <w:rsid w:val="005C5DD9"/>
    <w:rsid w:val="005F3727"/>
    <w:rsid w:val="005F5B84"/>
    <w:rsid w:val="00606CC0"/>
    <w:rsid w:val="006172F0"/>
    <w:rsid w:val="0062103A"/>
    <w:rsid w:val="00623250"/>
    <w:rsid w:val="00632609"/>
    <w:rsid w:val="006446FC"/>
    <w:rsid w:val="00646A09"/>
    <w:rsid w:val="00656751"/>
    <w:rsid w:val="00664B80"/>
    <w:rsid w:val="00676078"/>
    <w:rsid w:val="0068144B"/>
    <w:rsid w:val="006839EC"/>
    <w:rsid w:val="006900DF"/>
    <w:rsid w:val="006972BC"/>
    <w:rsid w:val="006B3712"/>
    <w:rsid w:val="006C3214"/>
    <w:rsid w:val="006C70B4"/>
    <w:rsid w:val="006D5428"/>
    <w:rsid w:val="006E3286"/>
    <w:rsid w:val="00717BA3"/>
    <w:rsid w:val="00721CBF"/>
    <w:rsid w:val="00721EB9"/>
    <w:rsid w:val="00731D0D"/>
    <w:rsid w:val="00736064"/>
    <w:rsid w:val="00754F7A"/>
    <w:rsid w:val="00763012"/>
    <w:rsid w:val="00784EE7"/>
    <w:rsid w:val="00792CB0"/>
    <w:rsid w:val="007A2106"/>
    <w:rsid w:val="007A2B87"/>
    <w:rsid w:val="007A5E3E"/>
    <w:rsid w:val="007B3B3C"/>
    <w:rsid w:val="007E12EB"/>
    <w:rsid w:val="00805A23"/>
    <w:rsid w:val="00806613"/>
    <w:rsid w:val="00820F72"/>
    <w:rsid w:val="00833C5D"/>
    <w:rsid w:val="00834B39"/>
    <w:rsid w:val="00844622"/>
    <w:rsid w:val="008519C4"/>
    <w:rsid w:val="0086017A"/>
    <w:rsid w:val="008624A6"/>
    <w:rsid w:val="0089399A"/>
    <w:rsid w:val="00895E73"/>
    <w:rsid w:val="00897684"/>
    <w:rsid w:val="008A2034"/>
    <w:rsid w:val="008B7906"/>
    <w:rsid w:val="008D02B0"/>
    <w:rsid w:val="008D5293"/>
    <w:rsid w:val="008D529F"/>
    <w:rsid w:val="008E0385"/>
    <w:rsid w:val="008F0509"/>
    <w:rsid w:val="009059E3"/>
    <w:rsid w:val="009118E3"/>
    <w:rsid w:val="009152C4"/>
    <w:rsid w:val="00924941"/>
    <w:rsid w:val="00927E17"/>
    <w:rsid w:val="009324DC"/>
    <w:rsid w:val="00933893"/>
    <w:rsid w:val="00942420"/>
    <w:rsid w:val="00943127"/>
    <w:rsid w:val="00963C1B"/>
    <w:rsid w:val="00984510"/>
    <w:rsid w:val="009865B5"/>
    <w:rsid w:val="00991131"/>
    <w:rsid w:val="009A2E5B"/>
    <w:rsid w:val="009A30C8"/>
    <w:rsid w:val="009A6ABB"/>
    <w:rsid w:val="009C549B"/>
    <w:rsid w:val="009D13D8"/>
    <w:rsid w:val="009D2491"/>
    <w:rsid w:val="009E6F66"/>
    <w:rsid w:val="009F69A0"/>
    <w:rsid w:val="00A0105E"/>
    <w:rsid w:val="00A10724"/>
    <w:rsid w:val="00A42AEA"/>
    <w:rsid w:val="00A47BAA"/>
    <w:rsid w:val="00A50755"/>
    <w:rsid w:val="00A75161"/>
    <w:rsid w:val="00A763AC"/>
    <w:rsid w:val="00A9066D"/>
    <w:rsid w:val="00A90D80"/>
    <w:rsid w:val="00AB146B"/>
    <w:rsid w:val="00AC438C"/>
    <w:rsid w:val="00AD10B8"/>
    <w:rsid w:val="00AD20AD"/>
    <w:rsid w:val="00AD4FAF"/>
    <w:rsid w:val="00AD53DD"/>
    <w:rsid w:val="00AE56E8"/>
    <w:rsid w:val="00AF20FA"/>
    <w:rsid w:val="00AF2CDC"/>
    <w:rsid w:val="00AF3EE4"/>
    <w:rsid w:val="00AF7AC3"/>
    <w:rsid w:val="00B00742"/>
    <w:rsid w:val="00B2271A"/>
    <w:rsid w:val="00B26F98"/>
    <w:rsid w:val="00B31A76"/>
    <w:rsid w:val="00B35E28"/>
    <w:rsid w:val="00B51187"/>
    <w:rsid w:val="00B522A8"/>
    <w:rsid w:val="00B55BA1"/>
    <w:rsid w:val="00B560A4"/>
    <w:rsid w:val="00B635B6"/>
    <w:rsid w:val="00B73409"/>
    <w:rsid w:val="00B95ABE"/>
    <w:rsid w:val="00BA17AB"/>
    <w:rsid w:val="00BA3CEE"/>
    <w:rsid w:val="00BA7BFD"/>
    <w:rsid w:val="00BC28D3"/>
    <w:rsid w:val="00BC78E1"/>
    <w:rsid w:val="00BD1126"/>
    <w:rsid w:val="00BD2FD1"/>
    <w:rsid w:val="00BD6C09"/>
    <w:rsid w:val="00BE1CF3"/>
    <w:rsid w:val="00BF701C"/>
    <w:rsid w:val="00C006A1"/>
    <w:rsid w:val="00C059AD"/>
    <w:rsid w:val="00C06C5D"/>
    <w:rsid w:val="00C22EAC"/>
    <w:rsid w:val="00C31184"/>
    <w:rsid w:val="00C41C51"/>
    <w:rsid w:val="00C432DA"/>
    <w:rsid w:val="00C470D2"/>
    <w:rsid w:val="00C743E0"/>
    <w:rsid w:val="00C74935"/>
    <w:rsid w:val="00C9112A"/>
    <w:rsid w:val="00CA62CD"/>
    <w:rsid w:val="00CB2209"/>
    <w:rsid w:val="00CB26E1"/>
    <w:rsid w:val="00CB44DE"/>
    <w:rsid w:val="00CC7F13"/>
    <w:rsid w:val="00CD1201"/>
    <w:rsid w:val="00CD2E48"/>
    <w:rsid w:val="00CD3536"/>
    <w:rsid w:val="00D06442"/>
    <w:rsid w:val="00D1656C"/>
    <w:rsid w:val="00D16999"/>
    <w:rsid w:val="00D4270D"/>
    <w:rsid w:val="00D5390D"/>
    <w:rsid w:val="00D84B80"/>
    <w:rsid w:val="00D8745E"/>
    <w:rsid w:val="00DA49B2"/>
    <w:rsid w:val="00DA49E6"/>
    <w:rsid w:val="00DF200B"/>
    <w:rsid w:val="00DF21B2"/>
    <w:rsid w:val="00DF2DBB"/>
    <w:rsid w:val="00DF5627"/>
    <w:rsid w:val="00E0431E"/>
    <w:rsid w:val="00E07972"/>
    <w:rsid w:val="00E14E31"/>
    <w:rsid w:val="00E21907"/>
    <w:rsid w:val="00E25343"/>
    <w:rsid w:val="00E3073C"/>
    <w:rsid w:val="00E30FB1"/>
    <w:rsid w:val="00E3338B"/>
    <w:rsid w:val="00E350AC"/>
    <w:rsid w:val="00E40B76"/>
    <w:rsid w:val="00E44E68"/>
    <w:rsid w:val="00E572D2"/>
    <w:rsid w:val="00E61DD5"/>
    <w:rsid w:val="00E70DDC"/>
    <w:rsid w:val="00E85F9C"/>
    <w:rsid w:val="00E93944"/>
    <w:rsid w:val="00EA22D4"/>
    <w:rsid w:val="00EC19EB"/>
    <w:rsid w:val="00EC1E41"/>
    <w:rsid w:val="00EC4747"/>
    <w:rsid w:val="00EC7DE9"/>
    <w:rsid w:val="00ED0D3C"/>
    <w:rsid w:val="00ED227D"/>
    <w:rsid w:val="00ED72D0"/>
    <w:rsid w:val="00ED7BD9"/>
    <w:rsid w:val="00EF4CBB"/>
    <w:rsid w:val="00EF6BA9"/>
    <w:rsid w:val="00F01574"/>
    <w:rsid w:val="00F05FE2"/>
    <w:rsid w:val="00F070D0"/>
    <w:rsid w:val="00F21306"/>
    <w:rsid w:val="00F248B4"/>
    <w:rsid w:val="00F40B05"/>
    <w:rsid w:val="00F40FEC"/>
    <w:rsid w:val="00F50A45"/>
    <w:rsid w:val="00F54DB7"/>
    <w:rsid w:val="00F72EF7"/>
    <w:rsid w:val="00F7383A"/>
    <w:rsid w:val="00F82604"/>
    <w:rsid w:val="00F837DE"/>
    <w:rsid w:val="00FA5C18"/>
    <w:rsid w:val="00FC2149"/>
    <w:rsid w:val="00FD566C"/>
    <w:rsid w:val="00FF08A4"/>
    <w:rsid w:val="00FF15DF"/>
    <w:rsid w:val="01520B6D"/>
    <w:rsid w:val="01892980"/>
    <w:rsid w:val="04583A5F"/>
    <w:rsid w:val="04862A48"/>
    <w:rsid w:val="049101BF"/>
    <w:rsid w:val="0D630AA9"/>
    <w:rsid w:val="10711BD2"/>
    <w:rsid w:val="1C242A36"/>
    <w:rsid w:val="1CF74DC1"/>
    <w:rsid w:val="224A0059"/>
    <w:rsid w:val="270D52FE"/>
    <w:rsid w:val="30A9101A"/>
    <w:rsid w:val="31CA4435"/>
    <w:rsid w:val="3339592F"/>
    <w:rsid w:val="34FA20AF"/>
    <w:rsid w:val="36D52B69"/>
    <w:rsid w:val="37596ECB"/>
    <w:rsid w:val="42423C80"/>
    <w:rsid w:val="477E79F5"/>
    <w:rsid w:val="4F044E7E"/>
    <w:rsid w:val="54B90F7D"/>
    <w:rsid w:val="5A195DDD"/>
    <w:rsid w:val="5C4916D8"/>
    <w:rsid w:val="5C633FB3"/>
    <w:rsid w:val="613F0A5C"/>
    <w:rsid w:val="63732C3E"/>
    <w:rsid w:val="6B286A04"/>
    <w:rsid w:val="6DA57D8C"/>
    <w:rsid w:val="72025BC1"/>
    <w:rsid w:val="73BB4745"/>
    <w:rsid w:val="7C1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styleId="a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主题 Char"/>
    <w:basedOn w:val="Char0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Heading11">
    <w:name w:val="Heading #1|1_"/>
    <w:link w:val="Heading110"/>
    <w:qFormat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link w:val="Bodytext10"/>
    <w:qFormat/>
    <w:rPr>
      <w:rFonts w:ascii="宋体" w:hAnsi="宋体" w:cs="宋体"/>
      <w:lang w:val="zh-TW" w:eastAsia="zh-TW" w:bidi="zh-TW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paragraph" w:customStyle="1" w:styleId="Bodytext10">
    <w:name w:val="Body text|1"/>
    <w:basedOn w:val="a"/>
    <w:link w:val="Bodytext1"/>
    <w:qFormat/>
    <w:pPr>
      <w:spacing w:line="331" w:lineRule="auto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styleId="a6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customStyle="1" w:styleId="a9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0">
    <w:name w:val="Heading #1|1"/>
    <w:basedOn w:val="a"/>
    <w:link w:val="Heading11"/>
    <w:qFormat/>
    <w:pPr>
      <w:spacing w:after="420"/>
      <w:jc w:val="center"/>
      <w:outlineLvl w:val="0"/>
    </w:pPr>
    <w:rPr>
      <w:rFonts w:ascii="宋体" w:hAnsi="宋体" w:cs="宋体"/>
      <w:kern w:val="0"/>
      <w:sz w:val="26"/>
      <w:szCs w:val="26"/>
      <w:lang w:val="zh-TW" w:eastAsia="zh-TW" w:bidi="zh-T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unhideWhenUsed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styleId="a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主题 Char"/>
    <w:basedOn w:val="Char0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Heading11">
    <w:name w:val="Heading #1|1_"/>
    <w:link w:val="Heading110"/>
    <w:qFormat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link w:val="Bodytext10"/>
    <w:qFormat/>
    <w:rPr>
      <w:rFonts w:ascii="宋体" w:hAnsi="宋体" w:cs="宋体"/>
      <w:lang w:val="zh-TW" w:eastAsia="zh-TW" w:bidi="zh-TW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paragraph" w:customStyle="1" w:styleId="Bodytext10">
    <w:name w:val="Body text|1"/>
    <w:basedOn w:val="a"/>
    <w:link w:val="Bodytext1"/>
    <w:qFormat/>
    <w:pPr>
      <w:spacing w:line="331" w:lineRule="auto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styleId="a6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customStyle="1" w:styleId="a9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0">
    <w:name w:val="Heading #1|1"/>
    <w:basedOn w:val="a"/>
    <w:link w:val="Heading11"/>
    <w:qFormat/>
    <w:pPr>
      <w:spacing w:after="420"/>
      <w:jc w:val="center"/>
      <w:outlineLvl w:val="0"/>
    </w:pPr>
    <w:rPr>
      <w:rFonts w:ascii="宋体" w:hAnsi="宋体" w:cs="宋体"/>
      <w:kern w:val="0"/>
      <w:sz w:val="26"/>
      <w:szCs w:val="26"/>
      <w:lang w:val="zh-TW" w:eastAsia="zh-TW" w:bidi="zh-T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unhideWhenUsed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ruge</dc:creator>
  <cp:lastModifiedBy>裴新荣</cp:lastModifiedBy>
  <cp:revision>5</cp:revision>
  <cp:lastPrinted>2023-11-14T01:56:00Z</cp:lastPrinted>
  <dcterms:created xsi:type="dcterms:W3CDTF">2025-01-07T07:42:00Z</dcterms:created>
  <dcterms:modified xsi:type="dcterms:W3CDTF">2025-01-20T00:34:00Z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2E223201A08C4DF2BE7B3C83702B0C70_13</vt:lpwstr>
  </property>
</Properties>
</file>