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36" w:lineRule="auto"/>
        <w:jc w:val="left"/>
        <w:rPr>
          <w:rFonts w:hint="eastAsia" w:ascii="仿宋_GB2312" w:hAnsi="宋体" w:eastAsia="黑体" w:cs="仿宋_GB2312"/>
          <w:sz w:val="32"/>
          <w:szCs w:val="32"/>
        </w:rPr>
      </w:pPr>
      <w:r>
        <w:rPr>
          <w:rFonts w:hint="eastAsia" w:ascii="黑体" w:hAnsi="黑体" w:eastAsia="黑体" w:cs="黑体"/>
          <w:sz w:val="32"/>
          <w:szCs w:val="32"/>
        </w:rPr>
        <w:t>附件7</w:t>
      </w:r>
    </w:p>
    <w:p>
      <w:pPr>
        <w:widowControl/>
        <w:jc w:val="center"/>
        <w:rPr>
          <w:rFonts w:ascii="方正小标宋简体" w:eastAsia="方正小标宋简体" w:cs="方正小标宋简体"/>
          <w:color w:val="0C0C0C"/>
          <w:sz w:val="40"/>
          <w:szCs w:val="40"/>
        </w:rPr>
      </w:pPr>
      <w:bookmarkStart w:id="0" w:name="_GoBack"/>
      <w:r>
        <w:rPr>
          <w:rFonts w:hint="eastAsia" w:ascii="方正小标宋简体" w:eastAsia="方正小标宋简体" w:cs="方正小标宋简体"/>
          <w:color w:val="000000"/>
          <w:kern w:val="0"/>
          <w:sz w:val="40"/>
          <w:szCs w:val="40"/>
          <w:lang w:bidi="ar"/>
        </w:rPr>
        <w:t>宁夏卫生健康科研项目结题绩效评估指标框架</w:t>
      </w:r>
      <w:bookmarkEnd w:id="0"/>
    </w:p>
    <w:tbl>
      <w:tblPr>
        <w:tblStyle w:val="2"/>
        <w:tblW w:w="4998" w:type="pct"/>
        <w:tblInd w:w="0" w:type="dxa"/>
        <w:tblLayout w:type="autofit"/>
        <w:tblCellMar>
          <w:top w:w="0" w:type="dxa"/>
          <w:left w:w="108" w:type="dxa"/>
          <w:bottom w:w="0" w:type="dxa"/>
          <w:right w:w="108" w:type="dxa"/>
        </w:tblCellMar>
      </w:tblPr>
      <w:tblGrid>
        <w:gridCol w:w="1200"/>
        <w:gridCol w:w="1200"/>
        <w:gridCol w:w="3721"/>
        <w:gridCol w:w="2936"/>
      </w:tblGrid>
      <w:tr>
        <w:tblPrEx>
          <w:tblCellMar>
            <w:top w:w="0" w:type="dxa"/>
            <w:left w:w="108" w:type="dxa"/>
            <w:bottom w:w="0" w:type="dxa"/>
            <w:right w:w="108" w:type="dxa"/>
          </w:tblCellMar>
        </w:tblPrEx>
        <w:trPr>
          <w:trHeight w:val="285" w:hRule="atLeast"/>
        </w:trPr>
        <w:tc>
          <w:tcPr>
            <w:tcW w:w="6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黑体" w:hAnsi="黑体" w:eastAsia="黑体" w:cs="黑体"/>
                <w:color w:val="000000"/>
                <w:sz w:val="24"/>
              </w:rPr>
            </w:pPr>
            <w:r>
              <w:rPr>
                <w:rFonts w:hint="eastAsia" w:ascii="黑体" w:hAnsi="黑体" w:eastAsia="黑体" w:cs="黑体"/>
                <w:color w:val="000000"/>
                <w:kern w:val="0"/>
                <w:sz w:val="24"/>
                <w:lang w:bidi="ar"/>
              </w:rPr>
              <w:t>一级指标</w:t>
            </w:r>
          </w:p>
        </w:tc>
        <w:tc>
          <w:tcPr>
            <w:tcW w:w="6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黑体" w:hAnsi="黑体" w:eastAsia="黑体" w:cs="黑体"/>
                <w:color w:val="000000"/>
                <w:sz w:val="24"/>
              </w:rPr>
            </w:pPr>
            <w:r>
              <w:rPr>
                <w:rFonts w:hint="eastAsia" w:ascii="黑体" w:hAnsi="黑体" w:eastAsia="黑体" w:cs="黑体"/>
                <w:color w:val="000000"/>
                <w:kern w:val="0"/>
                <w:sz w:val="24"/>
                <w:lang w:bidi="ar"/>
              </w:rPr>
              <w:t>二级指标</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黑体" w:hAnsi="黑体" w:eastAsia="黑体" w:cs="黑体"/>
                <w:color w:val="000000"/>
                <w:sz w:val="24"/>
              </w:rPr>
            </w:pPr>
            <w:r>
              <w:rPr>
                <w:rFonts w:hint="eastAsia" w:ascii="黑体" w:hAnsi="黑体" w:eastAsia="黑体" w:cs="黑体"/>
                <w:color w:val="000000"/>
                <w:kern w:val="0"/>
                <w:sz w:val="24"/>
                <w:lang w:bidi="ar"/>
              </w:rPr>
              <w:t>三级指标</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center"/>
              <w:textAlignment w:val="center"/>
              <w:rPr>
                <w:rFonts w:hint="eastAsia" w:ascii="黑体" w:hAnsi="黑体" w:eastAsia="黑体" w:cs="黑体"/>
                <w:color w:val="000000"/>
                <w:sz w:val="24"/>
              </w:rPr>
            </w:pPr>
            <w:r>
              <w:rPr>
                <w:rFonts w:hint="eastAsia" w:ascii="黑体" w:hAnsi="黑体" w:eastAsia="黑体" w:cs="黑体"/>
                <w:color w:val="000000"/>
                <w:kern w:val="0"/>
                <w:sz w:val="24"/>
                <w:lang w:bidi="ar"/>
              </w:rPr>
              <w:t>备注</w:t>
            </w:r>
          </w:p>
        </w:tc>
      </w:tr>
      <w:tr>
        <w:tblPrEx>
          <w:tblCellMar>
            <w:top w:w="0" w:type="dxa"/>
            <w:left w:w="108" w:type="dxa"/>
            <w:bottom w:w="0" w:type="dxa"/>
            <w:right w:w="108" w:type="dxa"/>
          </w:tblCellMar>
        </w:tblPrEx>
        <w:trPr>
          <w:trHeight w:val="285" w:hRule="atLeast"/>
        </w:trPr>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b/>
                <w:bCs/>
                <w:color w:val="000000"/>
                <w:sz w:val="22"/>
                <w:szCs w:val="22"/>
              </w:rPr>
            </w:pPr>
            <w:r>
              <w:rPr>
                <w:rFonts w:hint="eastAsia" w:ascii="宋体" w:hAnsi="宋体" w:eastAsia="宋体" w:cs="宋体"/>
                <w:b/>
                <w:bCs/>
                <w:color w:val="000000"/>
                <w:kern w:val="0"/>
                <w:sz w:val="22"/>
                <w:szCs w:val="22"/>
                <w:lang w:bidi="ar"/>
              </w:rPr>
              <w:t>知识产出</w:t>
            </w: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科技成果奖励</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科技成果奖励数量</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与课题相关的成果奖励</w:t>
            </w: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奖励等级</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国家级、省部级、厅局级或校级</w:t>
            </w: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专利</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授权专利</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项目负责人是否有与课题相关的专利被授权</w:t>
            </w: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专利转让、许可使用</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与项目相关的授权专利是否转让或许可使用</w:t>
            </w:r>
          </w:p>
        </w:tc>
      </w:tr>
      <w:tr>
        <w:tblPrEx>
          <w:tblCellMar>
            <w:top w:w="0" w:type="dxa"/>
            <w:left w:w="108" w:type="dxa"/>
            <w:bottom w:w="0" w:type="dxa"/>
            <w:right w:w="108" w:type="dxa"/>
          </w:tblCellMar>
        </w:tblPrEx>
        <w:trPr>
          <w:trHeight w:val="1425" w:hRule="atLeast"/>
        </w:trPr>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b/>
                <w:bCs/>
                <w:color w:val="000000"/>
                <w:sz w:val="22"/>
                <w:szCs w:val="22"/>
              </w:rPr>
            </w:pPr>
            <w:r>
              <w:rPr>
                <w:rFonts w:hint="eastAsia" w:ascii="宋体" w:hAnsi="宋体" w:eastAsia="宋体" w:cs="宋体"/>
                <w:b/>
                <w:bCs/>
                <w:color w:val="000000"/>
                <w:kern w:val="0"/>
                <w:sz w:val="22"/>
                <w:szCs w:val="22"/>
                <w:lang w:bidi="ar"/>
              </w:rPr>
              <w:t>科研能力建设</w:t>
            </w: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团队人才培养</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培养专业人员数量</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标注资助编号论文中第一作者或通讯作者（除项目负责人外）的数量和（或）获得人才资助项目的课题组成员数量</w:t>
            </w: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新晋升高级职称人数</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负责人以及课题组培养的专业人员在项目执行期间新增学术任职、职称晋升、导师资格及入选人才计划情况。</w:t>
            </w: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新晋升副高级职称人数</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新获得博士生导师资格人数</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新获得硕士生导师资格人数</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新入选国家级人才奖励或培养计划数量</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新入选部委级人才奖励或培养计划数量</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tcPr>
          <w:p>
            <w:pPr>
              <w:widowControl/>
              <w:spacing w:line="320" w:lineRule="exact"/>
              <w:jc w:val="left"/>
              <w:textAlignment w:val="top"/>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新入选级人才奖励或培养计划数量</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85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培养研究生人数</w:t>
            </w:r>
          </w:p>
        </w:tc>
        <w:tc>
          <w:tcPr>
            <w:tcW w:w="1620"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发表标注资助编号论文中第一作者及合作作者中博士生或硕士生的人数</w:t>
            </w: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改善研究</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建立或引进新技术或配套条件</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数据库建设</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生物样本库建设</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信息平台建设</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b/>
                <w:bCs/>
                <w:color w:val="000000"/>
                <w:sz w:val="22"/>
                <w:szCs w:val="22"/>
              </w:rPr>
            </w:pPr>
            <w:r>
              <w:rPr>
                <w:rFonts w:hint="eastAsia" w:ascii="宋体" w:hAnsi="宋体" w:eastAsia="宋体" w:cs="宋体"/>
                <w:b/>
                <w:bCs/>
                <w:color w:val="000000"/>
                <w:kern w:val="0"/>
                <w:sz w:val="22"/>
                <w:szCs w:val="22"/>
                <w:lang w:bidi="ar"/>
              </w:rPr>
              <w:t>研究结果的科学价值和应用价值</w:t>
            </w: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病因或病理机制相关研究项目</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提出了新的病因因素或新的机制</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评价了他人近期发表研究提出的新的病因因素或新的机制</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85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采用新方法（新的测量技术或新的研究设计类型）评估了尚未确定或有争议的病因因素或机制</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探讨了已知病因因素在不同特征群体中的影响或作用的差异</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提供了新的发病风险预测方法或工具</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研究重复评价了已知病因因素或机制，结论和已有知识相同</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研究在一定程度上否定了他人提出的病因因素或机制</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诊断方法或诊断标准相关研究项目</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提出了更准确的诊断方法或流程</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提出了更安全的诊断方法或流程</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提出了更早期的诊断方法或流程</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提出了更节约费用的诊断方法或流程</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提出了更便捷的诊断方法或流程</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提出了创伤更小或无创的诊断方法</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依据证据，更新了诊断标准</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防治效果或安全性相关研究项目</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评价了新的治疗或干预措施的优效性、非劣效性或安全性</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通过评价提出了更安全的治疗或干预措施</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评估了某治疗或干预措施在临床真实世界或特殊人群中的有效性</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评估了某治疗或干预措施在临床真实世界或特殊人群中的安全性</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通过评价提出了创伤更小或无创的治疗措施</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通过评价提出了费用更低的治疗或干预措施</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研究发现了现有治疗或干预措施存在的安全性问题</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制定了新的治疗指南或共识</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85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疾病预后相关研究项目</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提供了某疾病患者在住院期间或随访期间的转归情况（如：病死率/生存率/复发率）新信息</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预后研究是对疾病各种结局发生概率及其影响因素的</w:t>
            </w:r>
            <w:r>
              <w:rPr>
                <w:rFonts w:hint="eastAsia" w:ascii="宋体" w:hAnsi="宋体" w:eastAsia="宋体" w:cs="宋体"/>
                <w:b/>
                <w:bCs/>
                <w:color w:val="000000"/>
                <w:kern w:val="0"/>
                <w:sz w:val="22"/>
                <w:szCs w:val="22"/>
                <w:lang w:bidi="ar"/>
              </w:rPr>
              <w:t>观察性</w:t>
            </w:r>
            <w:r>
              <w:rPr>
                <w:rFonts w:hint="eastAsia" w:ascii="宋体" w:hAnsi="宋体" w:eastAsia="宋体" w:cs="宋体"/>
                <w:color w:val="000000"/>
                <w:kern w:val="0"/>
                <w:sz w:val="22"/>
                <w:szCs w:val="22"/>
                <w:lang w:bidi="ar"/>
              </w:rPr>
              <w:t>研究。</w:t>
            </w: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提出了影响预后的新的因素或新指标</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评估了目前无一致研究结论的预后因素</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85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评价了一般病患群体研究提出的预后影响因素在特殊病患群体中的预后影响价值</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提出或更新了预测模型或预测工具</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研究无新的发现或未增加新的知识</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医疗管理类相关研究项目</w:t>
            </w: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提出或评价了更佳的诊疗流程</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为医疗管理的制度建设提供了有价值的数据</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为改善医疗或卫生管理的特定环节提供了思路和方案</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57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开发了新的医疗相关的管理系统、工具或标准</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285"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color w:val="000000"/>
                <w:sz w:val="22"/>
                <w:szCs w:val="22"/>
              </w:rPr>
            </w:pPr>
          </w:p>
        </w:tc>
        <w:tc>
          <w:tcPr>
            <w:tcW w:w="205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制定了诊疗或预防指南</w:t>
            </w: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ascii="Calibri" w:hAnsi="Calibri" w:eastAsia="宋体" w:cs="Calibri"/>
                <w:color w:val="000000"/>
                <w:sz w:val="22"/>
                <w:szCs w:val="22"/>
              </w:rPr>
            </w:pPr>
          </w:p>
        </w:tc>
      </w:tr>
      <w:tr>
        <w:tblPrEx>
          <w:tblCellMar>
            <w:top w:w="0" w:type="dxa"/>
            <w:left w:w="108" w:type="dxa"/>
            <w:bottom w:w="0" w:type="dxa"/>
            <w:right w:w="108" w:type="dxa"/>
          </w:tblCellMar>
        </w:tblPrEx>
        <w:trPr>
          <w:trHeight w:val="320"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rPr>
                <w:rFonts w:hint="eastAsia" w:ascii="宋体" w:hAnsi="宋体" w:eastAsia="宋体" w:cs="宋体"/>
                <w:b/>
                <w:bCs/>
                <w:color w:val="000000"/>
                <w:sz w:val="22"/>
                <w:szCs w:val="22"/>
              </w:rPr>
            </w:pPr>
          </w:p>
        </w:tc>
        <w:tc>
          <w:tcPr>
            <w:tcW w:w="6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社会效益</w:t>
            </w:r>
          </w:p>
        </w:tc>
        <w:tc>
          <w:tcPr>
            <w:tcW w:w="205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科研成果推广应用</w:t>
            </w:r>
          </w:p>
        </w:tc>
        <w:tc>
          <w:tcPr>
            <w:tcW w:w="1620"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20" w:lineRule="exact"/>
              <w:jc w:val="left"/>
              <w:textAlignment w:val="center"/>
              <w:rPr>
                <w:rFonts w:hint="eastAsia" w:ascii="宋体" w:hAnsi="宋体" w:eastAsia="宋体" w:cs="宋体"/>
                <w:color w:val="000000"/>
                <w:sz w:val="22"/>
                <w:szCs w:val="22"/>
              </w:rPr>
            </w:pPr>
            <w:r>
              <w:rPr>
                <w:rFonts w:hint="eastAsia" w:ascii="宋体" w:hAnsi="宋体" w:eastAsia="宋体" w:cs="宋体"/>
                <w:color w:val="000000"/>
                <w:kern w:val="0"/>
                <w:sz w:val="22"/>
                <w:szCs w:val="22"/>
                <w:lang w:bidi="ar"/>
              </w:rPr>
              <w:t>科研成果推广应用的范围或培训医务人员的数量</w:t>
            </w:r>
            <w:r>
              <w:rPr>
                <w:rFonts w:hint="eastAsia" w:ascii="宋体" w:hAnsi="宋体" w:eastAsia="宋体" w:cs="宋体"/>
                <w:color w:val="000000"/>
                <w:kern w:val="0"/>
                <w:sz w:val="22"/>
                <w:szCs w:val="22"/>
                <w:lang w:bidi="ar"/>
              </w:rPr>
              <w:br w:type="textWrapping"/>
            </w:r>
            <w:r>
              <w:rPr>
                <w:rFonts w:hint="eastAsia" w:ascii="宋体" w:hAnsi="宋体" w:eastAsia="宋体" w:cs="宋体"/>
                <w:color w:val="000000"/>
                <w:kern w:val="0"/>
                <w:sz w:val="22"/>
                <w:szCs w:val="22"/>
                <w:lang w:bidi="ar"/>
              </w:rPr>
              <w:t>如：提高规范化治疗程度；提高病人满意度；降低等候时间等</w:t>
            </w:r>
          </w:p>
        </w:tc>
      </w:tr>
      <w:tr>
        <w:tblPrEx>
          <w:tblCellMar>
            <w:top w:w="0" w:type="dxa"/>
            <w:left w:w="108" w:type="dxa"/>
            <w:bottom w:w="0" w:type="dxa"/>
            <w:right w:w="108" w:type="dxa"/>
          </w:tblCellMar>
        </w:tblPrEx>
        <w:trPr>
          <w:trHeight w:val="312" w:hRule="atLeast"/>
        </w:trPr>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color w:val="000000"/>
                <w:sz w:val="22"/>
                <w:szCs w:val="22"/>
              </w:rPr>
            </w:pPr>
          </w:p>
        </w:tc>
        <w:tc>
          <w:tcPr>
            <w:tcW w:w="6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color w:val="000000"/>
                <w:sz w:val="22"/>
                <w:szCs w:val="22"/>
              </w:rPr>
            </w:pPr>
          </w:p>
        </w:tc>
        <w:tc>
          <w:tcPr>
            <w:tcW w:w="205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color w:val="000000"/>
                <w:sz w:val="22"/>
                <w:szCs w:val="22"/>
              </w:rPr>
            </w:pPr>
          </w:p>
        </w:tc>
        <w:tc>
          <w:tcPr>
            <w:tcW w:w="1620"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color w:val="000000"/>
                <w:sz w:val="22"/>
                <w:szCs w:val="22"/>
              </w:rPr>
            </w:pPr>
          </w:p>
        </w:tc>
      </w:tr>
    </w:tbl>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MathJax_Vector"/>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MathJax_Vector">
    <w:panose1 w:val="02000603000000000000"/>
    <w:charset w:val="00"/>
    <w:family w:val="auto"/>
    <w:pitch w:val="default"/>
    <w:sig w:usb0="00000001" w:usb1="0000002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ADF1674"/>
    <w:rsid w:val="FADF16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Office_12.8.2.15283_F1E327BC-269C-435d-A152-05C5408002CA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2025-01-16T08:34:00Z</dcterms:created>
  <dc:creator>FeiztChou</dc:creator>
  <cp:lastModifiedBy>FeiztChou</cp:lastModifiedBy>
  <dcterms:modified xsi:type="dcterms:W3CDTF">2025-01-16T08:35:19Z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2052-12.8.2.15283</vt:lpwstr>
  </property>
  <property fmtid="{D5CDD505-2E9C-101B-9397-08002B2CF9AE}" pid="3" name="ICV">
    <vt:lpwstr>D2F6DC44D72B6369245488673DD6CEAB_41</vt:lpwstr>
  </property>
</Properties>
</file>