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rPr>
          <w:rFonts w:hint="eastAsia" w:ascii="方正小标宋简体" w:hAnsi="方正小标宋简体" w:eastAsia="方正小标宋简体" w:cs="方正小标宋简体"/>
          <w:color w:val="000000"/>
          <w:sz w:val="44"/>
          <w:szCs w:val="44"/>
          <w:lang w:eastAsia="zh-CN"/>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rPr>
          <w:rFonts w:hint="eastAsia" w:ascii="方正小标宋简体" w:hAnsi="方正小标宋简体" w:eastAsia="方正小标宋简体" w:cs="方正小标宋简体"/>
          <w:color w:val="000000"/>
          <w:sz w:val="44"/>
          <w:szCs w:val="44"/>
        </w:rPr>
      </w:pPr>
      <w:bookmarkStart w:id="62" w:name="_GoBack"/>
      <w:r>
        <w:rPr>
          <w:rFonts w:hint="eastAsia" w:ascii="方正小标宋简体" w:hAnsi="方正小标宋简体" w:eastAsia="方正小标宋简体" w:cs="方正小标宋简体"/>
          <w:color w:val="000000"/>
          <w:sz w:val="44"/>
          <w:szCs w:val="44"/>
          <w:lang w:eastAsia="zh-CN"/>
        </w:rPr>
        <w:t>西藏自治区</w:t>
      </w:r>
      <w:r>
        <w:rPr>
          <w:rFonts w:hint="eastAsia" w:ascii="方正小标宋简体" w:hAnsi="方正小标宋简体" w:eastAsia="方正小标宋简体" w:cs="方正小标宋简体"/>
          <w:color w:val="000000"/>
          <w:sz w:val="44"/>
          <w:szCs w:val="44"/>
        </w:rPr>
        <w:t>药品生产</w:t>
      </w:r>
      <w:r>
        <w:rPr>
          <w:rFonts w:hint="eastAsia" w:ascii="方正小标宋简体" w:hAnsi="方正小标宋简体" w:eastAsia="方正小标宋简体" w:cs="方正小标宋简体"/>
          <w:color w:val="000000"/>
          <w:sz w:val="44"/>
          <w:szCs w:val="44"/>
          <w:lang w:eastAsia="zh-CN"/>
        </w:rPr>
        <w:t>环节</w:t>
      </w:r>
      <w:r>
        <w:rPr>
          <w:rFonts w:hint="eastAsia" w:ascii="方正小标宋简体" w:hAnsi="方正小标宋简体" w:eastAsia="方正小标宋简体" w:cs="方正小标宋简体"/>
          <w:color w:val="000000"/>
          <w:sz w:val="44"/>
          <w:szCs w:val="44"/>
        </w:rPr>
        <w:t>日常</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pPr>
      <w:r>
        <w:rPr>
          <w:rFonts w:hint="eastAsia" w:ascii="方正小标宋简体" w:hAnsi="方正小标宋简体" w:eastAsia="方正小标宋简体" w:cs="方正小标宋简体"/>
          <w:color w:val="000000"/>
          <w:sz w:val="44"/>
          <w:szCs w:val="44"/>
        </w:rPr>
        <w:t>监督管理办法</w:t>
      </w:r>
    </w:p>
    <w:bookmarkEnd w:id="62"/>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jc w:val="center"/>
        <w:textAlignment w:val="auto"/>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eastAsia" w:ascii="黑体" w:hAnsi="黑体" w:eastAsia="黑体" w:cs="黑体"/>
        </w:rPr>
      </w:pPr>
      <w:r>
        <w:rPr>
          <w:rFonts w:hint="eastAsia" w:ascii="黑体" w:hAnsi="黑体" w:eastAsia="黑体" w:cs="黑体"/>
          <w:color w:val="000000"/>
          <w:sz w:val="32"/>
          <w:szCs w:val="32"/>
        </w:rPr>
        <w:t>第一章 总则</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45"/>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rPr>
        <w:t>第一条 </w:t>
      </w:r>
      <w:r>
        <w:rPr>
          <w:rFonts w:hint="eastAsia" w:ascii="仿宋_GB2312" w:hAnsi="仿宋_GB2312" w:eastAsia="仿宋_GB2312" w:cs="仿宋_GB2312"/>
          <w:color w:val="000000"/>
          <w:sz w:val="32"/>
          <w:szCs w:val="32"/>
        </w:rPr>
        <w:t>为加强药品生产日常监督管理，规范药品生产和监督管理行为，</w:t>
      </w:r>
      <w:r>
        <w:rPr>
          <w:rFonts w:hint="eastAsia" w:ascii="仿宋_GB2312" w:hAnsi="仿宋_GB2312" w:eastAsia="仿宋_GB2312" w:cs="仿宋_GB2312"/>
          <w:color w:val="000000"/>
          <w:sz w:val="32"/>
          <w:szCs w:val="32"/>
          <w:lang w:eastAsia="zh-CN"/>
        </w:rPr>
        <w:t>压实企业主体责任</w:t>
      </w:r>
      <w:r>
        <w:rPr>
          <w:rFonts w:hint="eastAsia" w:ascii="仿宋_GB2312" w:hAnsi="仿宋_GB2312" w:eastAsia="仿宋_GB2312" w:cs="仿宋_GB2312"/>
          <w:color w:val="000000"/>
          <w:sz w:val="32"/>
          <w:szCs w:val="32"/>
        </w:rPr>
        <w:t>，</w:t>
      </w:r>
      <w:bookmarkStart w:id="0" w:name="OLE_LINK2"/>
      <w:r>
        <w:rPr>
          <w:rFonts w:hint="eastAsia" w:ascii="仿宋_GB2312" w:hAnsi="仿宋_GB2312" w:eastAsia="仿宋_GB2312" w:cs="仿宋_GB2312"/>
          <w:color w:val="000000"/>
          <w:sz w:val="32"/>
          <w:szCs w:val="32"/>
        </w:rPr>
        <w:t>确保药品安全、有效、质量可控，保障公众用药安全和合法权益，</w:t>
      </w:r>
      <w:bookmarkEnd w:id="0"/>
      <w:bookmarkStart w:id="1" w:name="OLE_LINK3"/>
      <w:r>
        <w:rPr>
          <w:rFonts w:hint="eastAsia" w:ascii="仿宋_GB2312" w:hAnsi="仿宋_GB2312" w:eastAsia="仿宋_GB2312" w:cs="仿宋_GB2312"/>
          <w:color w:val="000000"/>
          <w:sz w:val="32"/>
          <w:szCs w:val="32"/>
        </w:rPr>
        <w:t>根据《中华人民共和国药品管理法》《药品生产监督管理办法》和《药品检查管理办法（试行）》等有关法律法规，结合</w:t>
      </w:r>
      <w:r>
        <w:rPr>
          <w:rFonts w:hint="eastAsia" w:ascii="仿宋_GB2312" w:hAnsi="仿宋_GB2312" w:eastAsia="仿宋_GB2312" w:cs="仿宋_GB2312"/>
          <w:color w:val="000000"/>
          <w:sz w:val="32"/>
          <w:szCs w:val="32"/>
          <w:lang w:eastAsia="zh-CN"/>
        </w:rPr>
        <w:t>自治区</w:t>
      </w:r>
      <w:r>
        <w:rPr>
          <w:rFonts w:hint="eastAsia" w:ascii="仿宋_GB2312" w:hAnsi="仿宋_GB2312" w:eastAsia="仿宋_GB2312" w:cs="仿宋_GB2312"/>
          <w:color w:val="000000"/>
          <w:sz w:val="32"/>
          <w:szCs w:val="32"/>
        </w:rPr>
        <w:t>实际，制定本办法。</w:t>
      </w:r>
    </w:p>
    <w:bookmarkEnd w:id="1"/>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45"/>
        <w:jc w:val="both"/>
        <w:textAlignment w:val="auto"/>
        <w:rPr>
          <w:rFonts w:hint="eastAsia" w:ascii="仿宋_GB2312" w:hAnsi="仿宋_GB2312" w:eastAsia="仿宋_GB2312" w:cs="仿宋_GB2312"/>
          <w:sz w:val="32"/>
          <w:szCs w:val="32"/>
          <w:lang w:eastAsia="zh-CN"/>
        </w:rPr>
      </w:pPr>
      <w:r>
        <w:rPr>
          <w:rFonts w:hint="eastAsia" w:ascii="黑体" w:hAnsi="黑体" w:eastAsia="黑体" w:cs="黑体"/>
          <w:color w:val="000000"/>
          <w:sz w:val="32"/>
          <w:szCs w:val="32"/>
        </w:rPr>
        <w:t>第二条 </w:t>
      </w:r>
      <w:r>
        <w:rPr>
          <w:rFonts w:hint="eastAsia" w:ascii="仿宋_GB2312" w:hAnsi="仿宋_GB2312" w:eastAsia="仿宋_GB2312" w:cs="仿宋_GB2312"/>
          <w:spacing w:val="0"/>
          <w:sz w:val="32"/>
          <w:szCs w:val="32"/>
          <w:lang w:eastAsia="zh-CN"/>
        </w:rPr>
        <w:t>西藏自治区</w:t>
      </w:r>
      <w:r>
        <w:rPr>
          <w:rFonts w:hint="eastAsia" w:ascii="仿宋_GB2312" w:hAnsi="仿宋_GB2312" w:eastAsia="仿宋_GB2312" w:cs="仿宋_GB2312"/>
          <w:spacing w:val="0"/>
          <w:sz w:val="32"/>
          <w:szCs w:val="32"/>
        </w:rPr>
        <w:t>药品监督管理局药品</w:t>
      </w:r>
      <w:r>
        <w:rPr>
          <w:rFonts w:hint="eastAsia" w:ascii="仿宋_GB2312" w:hAnsi="仿宋_GB2312" w:eastAsia="仿宋_GB2312" w:cs="仿宋_GB2312"/>
          <w:spacing w:val="0"/>
          <w:sz w:val="32"/>
          <w:szCs w:val="32"/>
          <w:lang w:eastAsia="zh-CN"/>
        </w:rPr>
        <w:t>监管</w:t>
      </w:r>
      <w:r>
        <w:rPr>
          <w:rFonts w:hint="eastAsia" w:ascii="仿宋_GB2312" w:hAnsi="仿宋_GB2312" w:eastAsia="仿宋_GB2312" w:cs="仿宋_GB2312"/>
          <w:spacing w:val="0"/>
          <w:sz w:val="32"/>
          <w:szCs w:val="32"/>
        </w:rPr>
        <w:t>处、</w:t>
      </w:r>
      <w:r>
        <w:rPr>
          <w:rFonts w:hint="eastAsia" w:ascii="仿宋_GB2312" w:hAnsi="仿宋_GB2312" w:eastAsia="仿宋_GB2312" w:cs="仿宋_GB2312"/>
          <w:spacing w:val="0"/>
          <w:sz w:val="32"/>
          <w:szCs w:val="32"/>
          <w:lang w:eastAsia="zh-CN"/>
        </w:rPr>
        <w:t>西藏自治区藏药审评中心</w:t>
      </w:r>
      <w:r>
        <w:rPr>
          <w:rFonts w:hint="eastAsia" w:ascii="仿宋_GB2312" w:hAnsi="仿宋_GB2312" w:eastAsia="仿宋_GB2312" w:cs="仿宋_GB2312"/>
          <w:spacing w:val="0"/>
          <w:sz w:val="32"/>
          <w:szCs w:val="32"/>
        </w:rPr>
        <w:t>（以下简称</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w:t>
      </w:r>
      <w:r>
        <w:rPr>
          <w:rFonts w:hint="eastAsia" w:ascii="仿宋_GB2312" w:hAnsi="仿宋_GB2312" w:eastAsia="仿宋_GB2312" w:cs="仿宋_GB2312"/>
          <w:spacing w:val="0"/>
          <w:sz w:val="32"/>
          <w:szCs w:val="32"/>
          <w:lang w:eastAsia="zh-CN"/>
        </w:rPr>
        <w:t>、西藏自治区药品化妆品不良反应监测中心（以下简称监测中心）</w:t>
      </w:r>
      <w:r>
        <w:rPr>
          <w:rFonts w:hint="eastAsia" w:ascii="仿宋_GB2312" w:hAnsi="仿宋_GB2312" w:eastAsia="仿宋_GB2312" w:cs="仿宋_GB2312"/>
          <w:color w:val="000000"/>
          <w:sz w:val="32"/>
          <w:szCs w:val="32"/>
        </w:rPr>
        <w:t>对</w:t>
      </w:r>
      <w:r>
        <w:rPr>
          <w:rFonts w:hint="eastAsia" w:ascii="仿宋_GB2312" w:hAnsi="仿宋_GB2312" w:eastAsia="仿宋_GB2312" w:cs="仿宋_GB2312"/>
          <w:color w:val="000000"/>
          <w:sz w:val="32"/>
          <w:szCs w:val="32"/>
          <w:lang w:eastAsia="zh-CN"/>
        </w:rPr>
        <w:t>本</w:t>
      </w:r>
      <w:r>
        <w:rPr>
          <w:rFonts w:hint="eastAsia" w:ascii="仿宋_GB2312" w:hAnsi="仿宋_GB2312" w:eastAsia="仿宋_GB2312" w:cs="仿宋_GB2312"/>
          <w:color w:val="000000"/>
          <w:sz w:val="32"/>
          <w:szCs w:val="32"/>
        </w:rPr>
        <w:t>行政区域内药品生产单位开展监督管理活动，适用本办法。</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黑体" w:hAnsi="黑体" w:eastAsia="黑体" w:cs="黑体"/>
          <w:color w:val="000000"/>
          <w:sz w:val="32"/>
          <w:szCs w:val="32"/>
        </w:rPr>
        <w:t>第三条 </w:t>
      </w:r>
      <w:bookmarkStart w:id="2" w:name="OLE_LINK4"/>
      <w:r>
        <w:rPr>
          <w:rFonts w:hint="eastAsia" w:ascii="仿宋_GB2312" w:hAnsi="仿宋_GB2312" w:eastAsia="仿宋_GB2312" w:cs="仿宋_GB2312"/>
          <w:color w:val="000000"/>
          <w:sz w:val="32"/>
          <w:szCs w:val="32"/>
        </w:rPr>
        <w:t>本办法所称药品生产</w:t>
      </w:r>
      <w:r>
        <w:rPr>
          <w:rFonts w:hint="eastAsia" w:ascii="仿宋_GB2312" w:hAnsi="仿宋_GB2312" w:eastAsia="仿宋_GB2312" w:cs="仿宋_GB2312"/>
          <w:color w:val="000000"/>
          <w:sz w:val="32"/>
          <w:szCs w:val="32"/>
          <w:lang w:eastAsia="zh-CN"/>
        </w:rPr>
        <w:t>企业或</w:t>
      </w:r>
      <w:r>
        <w:rPr>
          <w:rFonts w:hint="eastAsia" w:ascii="仿宋_GB2312" w:hAnsi="仿宋_GB2312" w:eastAsia="仿宋_GB2312" w:cs="仿宋_GB2312"/>
          <w:color w:val="000000"/>
          <w:sz w:val="32"/>
          <w:szCs w:val="32"/>
        </w:rPr>
        <w:t>单位</w:t>
      </w:r>
      <w:r>
        <w:rPr>
          <w:rFonts w:hint="eastAsia" w:ascii="仿宋_GB2312" w:hAnsi="仿宋_GB2312" w:eastAsia="仿宋_GB2312" w:cs="仿宋_GB2312"/>
          <w:color w:val="000000"/>
          <w:sz w:val="32"/>
          <w:szCs w:val="32"/>
          <w:lang w:eastAsia="zh-CN"/>
        </w:rPr>
        <w:t>是指药品上市许可持有人、药品生产企业、藏医医疗机构制剂室。</w:t>
      </w:r>
      <w:r>
        <w:rPr>
          <w:rFonts w:hint="eastAsia" w:ascii="仿宋_GB2312" w:hAnsi="仿宋_GB2312" w:eastAsia="仿宋_GB2312" w:cs="仿宋_GB2312"/>
          <w:color w:val="000000"/>
          <w:sz w:val="32"/>
          <w:szCs w:val="32"/>
        </w:rPr>
        <w:t>药品生产日常监督管理是指药品监督管理部门对生产条件、生产过程和质量管理等，依法履行监管职责所进行的监督检查、抽检、监测、行政处罚等监督管理活动。</w:t>
      </w:r>
    </w:p>
    <w:bookmarkEnd w:id="2"/>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rPr>
        <w:t>第四条</w:t>
      </w:r>
      <w:r>
        <w:rPr>
          <w:rFonts w:hint="eastAsia" w:ascii="仿宋_GB2312" w:hAnsi="仿宋_GB2312" w:eastAsia="仿宋_GB2312" w:cs="仿宋_GB2312"/>
          <w:color w:val="000000"/>
          <w:sz w:val="32"/>
          <w:szCs w:val="32"/>
        </w:rPr>
        <w:t> 药品生产日常监督管理应当以人民健康为中心，遵循风险管理、全程管控、社会共治理念，坚持权责法定、依法行政原则，</w:t>
      </w:r>
      <w:r>
        <w:rPr>
          <w:rFonts w:hint="eastAsia" w:ascii="仿宋_GB2312" w:hAnsi="仿宋_GB2312" w:eastAsia="仿宋_GB2312" w:cs="仿宋_GB2312"/>
          <w:color w:val="000000"/>
          <w:sz w:val="32"/>
          <w:szCs w:val="32"/>
          <w:shd w:val="clear" w:fill="FFFFFF"/>
        </w:rPr>
        <w:t>注重实效，</w:t>
      </w:r>
      <w:r>
        <w:rPr>
          <w:rFonts w:hint="eastAsia" w:ascii="仿宋_GB2312" w:hAnsi="仿宋_GB2312" w:eastAsia="仿宋_GB2312" w:cs="仿宋_GB2312"/>
          <w:color w:val="000000"/>
          <w:sz w:val="32"/>
          <w:szCs w:val="32"/>
        </w:rPr>
        <w:t>加强责任体系和风险防控体系建设，落实药品生产单位主体责任，消除风险隐患。</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color w:val="000000"/>
          <w:sz w:val="32"/>
          <w:szCs w:val="32"/>
          <w:lang w:eastAsia="zh-CN"/>
        </w:rPr>
      </w:pPr>
      <w:r>
        <w:rPr>
          <w:rFonts w:hint="eastAsia" w:ascii="黑体" w:hAnsi="黑体" w:eastAsia="黑体" w:cs="黑体"/>
          <w:color w:val="000000"/>
          <w:sz w:val="32"/>
          <w:szCs w:val="32"/>
        </w:rPr>
        <w:t>第五条</w:t>
      </w:r>
      <w:r>
        <w:rPr>
          <w:rFonts w:hint="eastAsia" w:ascii="仿宋_GB2312" w:hAnsi="仿宋_GB2312" w:eastAsia="仿宋_GB2312" w:cs="仿宋_GB2312"/>
          <w:color w:val="000000"/>
          <w:sz w:val="32"/>
          <w:szCs w:val="32"/>
        </w:rPr>
        <w:t> </w:t>
      </w:r>
      <w:bookmarkStart w:id="3" w:name="OLE_LINK5"/>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负责</w:t>
      </w:r>
      <w:r>
        <w:rPr>
          <w:rFonts w:hint="eastAsia" w:ascii="仿宋_GB2312" w:hAnsi="仿宋_GB2312" w:eastAsia="仿宋_GB2312" w:cs="仿宋_GB2312"/>
          <w:color w:val="000000"/>
          <w:sz w:val="32"/>
          <w:szCs w:val="32"/>
          <w:lang w:eastAsia="zh-CN"/>
        </w:rPr>
        <w:t>全区</w:t>
      </w:r>
      <w:r>
        <w:rPr>
          <w:rFonts w:hint="eastAsia" w:ascii="仿宋_GB2312" w:hAnsi="仿宋_GB2312" w:eastAsia="仿宋_GB2312" w:cs="仿宋_GB2312"/>
          <w:color w:val="000000"/>
          <w:sz w:val="32"/>
          <w:szCs w:val="32"/>
        </w:rPr>
        <w:t>药品生产</w:t>
      </w:r>
      <w:r>
        <w:rPr>
          <w:rFonts w:hint="eastAsia" w:ascii="仿宋_GB2312" w:hAnsi="仿宋_GB2312" w:eastAsia="仿宋_GB2312" w:cs="仿宋_GB2312"/>
          <w:color w:val="000000"/>
          <w:sz w:val="32"/>
          <w:szCs w:val="32"/>
          <w:lang w:eastAsia="zh-CN"/>
        </w:rPr>
        <w:t>单位</w:t>
      </w:r>
      <w:r>
        <w:rPr>
          <w:rFonts w:hint="eastAsia" w:ascii="仿宋_GB2312" w:hAnsi="仿宋_GB2312" w:eastAsia="仿宋_GB2312" w:cs="仿宋_GB2312"/>
          <w:color w:val="000000"/>
          <w:sz w:val="32"/>
          <w:szCs w:val="32"/>
        </w:rPr>
        <w:t>日常监管的组织、指导、协调和监督工作。制定年度监督检查计划，组织开展药品生产单位的专项检查、有因检查和其他检查；组织长期停产药品生产单位</w:t>
      </w:r>
      <w:r>
        <w:rPr>
          <w:rFonts w:hint="eastAsia" w:ascii="仿宋_GB2312" w:hAnsi="仿宋_GB2312" w:eastAsia="仿宋_GB2312" w:cs="仿宋_GB2312"/>
          <w:color w:val="000000"/>
          <w:sz w:val="32"/>
          <w:szCs w:val="32"/>
          <w:lang w:eastAsia="zh-CN"/>
        </w:rPr>
        <w:t>的</w:t>
      </w:r>
      <w:r>
        <w:rPr>
          <w:rFonts w:hint="eastAsia" w:ascii="仿宋_GB2312" w:hAnsi="仿宋_GB2312" w:eastAsia="仿宋_GB2312" w:cs="仿宋_GB2312"/>
          <w:color w:val="000000"/>
          <w:sz w:val="32"/>
          <w:szCs w:val="32"/>
        </w:rPr>
        <w:t>恢复生产</w:t>
      </w:r>
      <w:r>
        <w:rPr>
          <w:rFonts w:hint="eastAsia" w:ascii="仿宋_GB2312" w:hAnsi="仿宋_GB2312" w:eastAsia="仿宋_GB2312" w:cs="仿宋_GB2312"/>
          <w:color w:val="000000"/>
          <w:sz w:val="32"/>
          <w:szCs w:val="32"/>
          <w:lang w:eastAsia="zh-CN"/>
        </w:rPr>
        <w:t>药品生产质量管理规范（以下简称</w:t>
      </w:r>
      <w:r>
        <w:rPr>
          <w:rFonts w:hint="eastAsia" w:ascii="仿宋_GB2312" w:hAnsi="仿宋_GB2312" w:eastAsia="仿宋_GB2312" w:cs="仿宋_GB2312"/>
          <w:color w:val="000000"/>
          <w:sz w:val="32"/>
          <w:szCs w:val="32"/>
          <w:lang w:val="en-US" w:eastAsia="zh-CN"/>
        </w:rPr>
        <w:t>GMP</w:t>
      </w:r>
      <w:r>
        <w:rPr>
          <w:rFonts w:hint="eastAsia" w:ascii="仿宋_GB2312" w:hAnsi="仿宋_GB2312" w:eastAsia="仿宋_GB2312" w:cs="仿宋_GB2312"/>
          <w:color w:val="000000"/>
          <w:sz w:val="32"/>
          <w:szCs w:val="32"/>
          <w:lang w:eastAsia="zh-CN"/>
        </w:rPr>
        <w:t>）或</w:t>
      </w:r>
      <w:r>
        <w:rPr>
          <w:rFonts w:hint="eastAsia" w:ascii="仿宋_GB2312" w:hAnsi="仿宋_GB2312" w:eastAsia="仿宋_GB2312" w:cs="仿宋_GB2312"/>
          <w:color w:val="000000"/>
          <w:sz w:val="32"/>
          <w:szCs w:val="32"/>
          <w:lang w:val="en-US" w:eastAsia="zh-CN"/>
        </w:rPr>
        <w:t>西藏自治区藏医医疗机构制剂配制质量管理规范》</w:t>
      </w:r>
      <w:r>
        <w:rPr>
          <w:rFonts w:hint="eastAsia" w:ascii="仿宋_GB2312" w:hAnsi="仿宋_GB2312" w:eastAsia="仿宋_GB2312" w:cs="仿宋_GB2312"/>
          <w:color w:val="000000"/>
          <w:sz w:val="32"/>
          <w:szCs w:val="32"/>
          <w:lang w:eastAsia="zh-CN"/>
        </w:rPr>
        <w:t>（以下简称</w:t>
      </w:r>
      <w:r>
        <w:rPr>
          <w:rFonts w:hint="eastAsia" w:ascii="仿宋_GB2312" w:hAnsi="仿宋_GB2312" w:eastAsia="仿宋_GB2312" w:cs="仿宋_GB2312"/>
          <w:color w:val="000000"/>
          <w:sz w:val="32"/>
          <w:szCs w:val="32"/>
          <w:lang w:val="en-US" w:eastAsia="zh-CN"/>
        </w:rPr>
        <w:t>GPP</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符合性检查；</w:t>
      </w:r>
      <w:r>
        <w:rPr>
          <w:rFonts w:hint="eastAsia" w:ascii="仿宋_GB2312" w:hAnsi="仿宋_GB2312" w:eastAsia="仿宋_GB2312" w:cs="仿宋_GB2312"/>
          <w:color w:val="000000"/>
          <w:sz w:val="32"/>
          <w:szCs w:val="32"/>
        </w:rPr>
        <w:t>组织开展药品生产单位</w:t>
      </w:r>
      <w:r>
        <w:rPr>
          <w:rFonts w:hint="eastAsia" w:ascii="仿宋_GB2312" w:hAnsi="仿宋_GB2312" w:eastAsia="仿宋_GB2312" w:cs="仿宋_GB2312"/>
          <w:color w:val="000000"/>
          <w:sz w:val="32"/>
          <w:szCs w:val="32"/>
          <w:lang w:eastAsia="zh-CN"/>
        </w:rPr>
        <w:t>的</w:t>
      </w:r>
      <w:r>
        <w:rPr>
          <w:rFonts w:hint="eastAsia" w:ascii="仿宋_GB2312" w:hAnsi="仿宋_GB2312" w:eastAsia="仿宋_GB2312" w:cs="仿宋_GB2312"/>
          <w:color w:val="000000"/>
          <w:sz w:val="32"/>
          <w:szCs w:val="32"/>
        </w:rPr>
        <w:t>质量风险评估和信用等级评定</w:t>
      </w:r>
      <w:r>
        <w:rPr>
          <w:rFonts w:hint="eastAsia" w:ascii="仿宋_GB2312" w:hAnsi="仿宋_GB2312" w:eastAsia="仿宋_GB2312" w:cs="仿宋_GB2312"/>
          <w:color w:val="000000"/>
          <w:sz w:val="32"/>
          <w:szCs w:val="32"/>
          <w:lang w:eastAsia="zh-CN"/>
        </w:rPr>
        <w:t>；组织</w:t>
      </w:r>
      <w:r>
        <w:rPr>
          <w:rFonts w:hint="eastAsia" w:ascii="仿宋_GB2312" w:hAnsi="仿宋_GB2312" w:eastAsia="仿宋_GB2312" w:cs="仿宋_GB2312"/>
          <w:color w:val="000000"/>
          <w:sz w:val="32"/>
          <w:szCs w:val="32"/>
        </w:rPr>
        <w:t>查处药品生产单位检查过程发现的违法违规行为。</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藏药审评中心</w:t>
      </w:r>
      <w:r>
        <w:rPr>
          <w:rFonts w:hint="eastAsia" w:ascii="仿宋_GB2312" w:hAnsi="仿宋_GB2312" w:eastAsia="仿宋_GB2312" w:cs="仿宋_GB2312"/>
          <w:color w:val="000000"/>
          <w:sz w:val="32"/>
          <w:szCs w:val="32"/>
        </w:rPr>
        <w:t>负责</w:t>
      </w:r>
      <w:r>
        <w:rPr>
          <w:rFonts w:hint="eastAsia" w:ascii="仿宋_GB2312" w:hAnsi="仿宋_GB2312" w:eastAsia="仿宋_GB2312" w:cs="仿宋_GB2312"/>
          <w:color w:val="000000"/>
          <w:sz w:val="32"/>
          <w:szCs w:val="32"/>
          <w:lang w:eastAsia="zh-CN"/>
        </w:rPr>
        <w:t>具体实施</w:t>
      </w:r>
      <w:r>
        <w:rPr>
          <w:rFonts w:hint="eastAsia" w:ascii="仿宋_GB2312" w:hAnsi="仿宋_GB2312" w:eastAsia="仿宋_GB2312" w:cs="仿宋_GB2312"/>
          <w:color w:val="000000"/>
          <w:sz w:val="32"/>
          <w:szCs w:val="32"/>
        </w:rPr>
        <w:t>药品生产单位的日常监督检查</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承担GMP</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GPP</w:t>
      </w:r>
      <w:r>
        <w:rPr>
          <w:rFonts w:hint="eastAsia" w:ascii="仿宋_GB2312" w:hAnsi="仿宋_GB2312" w:eastAsia="仿宋_GB2312" w:cs="仿宋_GB2312"/>
          <w:color w:val="000000"/>
          <w:sz w:val="32"/>
          <w:szCs w:val="32"/>
        </w:rPr>
        <w:t>符合性检查</w:t>
      </w:r>
      <w:r>
        <w:rPr>
          <w:rFonts w:hint="eastAsia" w:ascii="仿宋_GB2312" w:hAnsi="仿宋_GB2312" w:eastAsia="仿宋_GB2312" w:cs="仿宋_GB2312"/>
          <w:color w:val="000000"/>
          <w:sz w:val="32"/>
          <w:szCs w:val="32"/>
          <w:lang w:eastAsia="zh-CN"/>
        </w:rPr>
        <w:t>等任务。负责对</w:t>
      </w:r>
      <w:r>
        <w:rPr>
          <w:rFonts w:hint="eastAsia" w:ascii="仿宋_GB2312" w:hAnsi="仿宋_GB2312" w:eastAsia="仿宋_GB2312" w:cs="仿宋_GB2312"/>
          <w:color w:val="000000"/>
          <w:sz w:val="32"/>
          <w:szCs w:val="32"/>
        </w:rPr>
        <w:t>检查中发现存在违法违规、严重违反</w:t>
      </w:r>
      <w:r>
        <w:rPr>
          <w:rFonts w:hint="eastAsia" w:ascii="仿宋_GB2312" w:hAnsi="仿宋_GB2312" w:eastAsia="仿宋_GB2312" w:cs="仿宋_GB2312"/>
          <w:color w:val="000000"/>
          <w:sz w:val="32"/>
          <w:szCs w:val="32"/>
          <w:lang w:val="en-US" w:eastAsia="zh-CN"/>
        </w:rPr>
        <w:t>GMP\GPP</w:t>
      </w:r>
      <w:r>
        <w:rPr>
          <w:rFonts w:hint="eastAsia" w:ascii="仿宋_GB2312" w:hAnsi="仿宋_GB2312" w:eastAsia="仿宋_GB2312" w:cs="仿宋_GB2312"/>
          <w:color w:val="000000"/>
          <w:sz w:val="32"/>
          <w:szCs w:val="32"/>
        </w:rPr>
        <w:t>以及可能存在药品质量安全风险</w:t>
      </w:r>
      <w:r>
        <w:rPr>
          <w:rFonts w:hint="eastAsia" w:ascii="仿宋_GB2312" w:hAnsi="仿宋_GB2312" w:eastAsia="仿宋_GB2312" w:cs="仿宋_GB2312"/>
          <w:color w:val="000000"/>
          <w:sz w:val="32"/>
          <w:szCs w:val="32"/>
          <w:lang w:eastAsia="zh-CN"/>
        </w:rPr>
        <w:t>等</w:t>
      </w:r>
      <w:r>
        <w:rPr>
          <w:rFonts w:hint="eastAsia" w:ascii="仿宋_GB2312" w:hAnsi="仿宋_GB2312" w:eastAsia="仿宋_GB2312" w:cs="仿宋_GB2312"/>
          <w:color w:val="000000"/>
          <w:sz w:val="32"/>
          <w:szCs w:val="32"/>
        </w:rPr>
        <w:t>问题，应当立即固定相关证据</w:t>
      </w:r>
      <w:r>
        <w:rPr>
          <w:rFonts w:hint="eastAsia" w:ascii="仿宋_GB2312" w:hAnsi="仿宋_GB2312" w:eastAsia="仿宋_GB2312" w:cs="仿宋_GB2312"/>
          <w:color w:val="000000"/>
          <w:sz w:val="32"/>
          <w:szCs w:val="32"/>
          <w:lang w:eastAsia="zh-CN"/>
        </w:rPr>
        <w:t>，制作现场检查笔录，并及时移交药品监管处。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eastAsia="zh-CN"/>
        </w:rPr>
        <w:t>监测中心负责对</w:t>
      </w:r>
      <w:r>
        <w:rPr>
          <w:rFonts w:hint="eastAsia" w:ascii="仿宋_GB2312" w:hAnsi="仿宋_GB2312" w:eastAsia="仿宋_GB2312" w:cs="仿宋_GB2312"/>
          <w:color w:val="000000"/>
          <w:sz w:val="32"/>
          <w:szCs w:val="32"/>
        </w:rPr>
        <w:t>药品生产单位的药物警戒工作开展情况实施检查，督促持有人依法依规建立药物警戒体系，按照药物警戒质量管理规范（以下简称“GVP”）开展药物警戒工作，确保药物警戒活动持续符合相关法律法规要求。</w:t>
      </w:r>
    </w:p>
    <w:bookmarkEnd w:id="3"/>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eastAsia" w:ascii="黑体" w:hAnsi="黑体" w:eastAsia="黑体" w:cs="黑体"/>
          <w:color w:val="000000"/>
          <w:sz w:val="32"/>
          <w:szCs w:val="32"/>
        </w:rPr>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eastAsia" w:ascii="黑体" w:hAnsi="黑体" w:eastAsia="黑体" w:cs="黑体"/>
          <w:color w:val="000000"/>
          <w:sz w:val="32"/>
          <w:szCs w:val="32"/>
        </w:rPr>
      </w:pPr>
      <w:r>
        <w:rPr>
          <w:rFonts w:hint="eastAsia" w:ascii="黑体" w:hAnsi="黑体" w:eastAsia="黑体" w:cs="黑体"/>
          <w:color w:val="000000"/>
          <w:sz w:val="32"/>
          <w:szCs w:val="32"/>
        </w:rPr>
        <w:t>第二章 日常监督管理</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rPr>
        <w:t>第</w:t>
      </w:r>
      <w:r>
        <w:rPr>
          <w:rFonts w:hint="eastAsia" w:ascii="黑体" w:hAnsi="黑体" w:eastAsia="黑体" w:cs="黑体"/>
          <w:color w:val="000000"/>
          <w:sz w:val="32"/>
          <w:szCs w:val="32"/>
          <w:lang w:eastAsia="zh-CN"/>
        </w:rPr>
        <w:t>六</w:t>
      </w:r>
      <w:r>
        <w:rPr>
          <w:rFonts w:hint="eastAsia" w:ascii="黑体" w:hAnsi="黑体" w:eastAsia="黑体" w:cs="黑体"/>
          <w:color w:val="000000"/>
          <w:sz w:val="32"/>
          <w:szCs w:val="32"/>
        </w:rPr>
        <w:t>条</w:t>
      </w:r>
      <w:r>
        <w:rPr>
          <w:rFonts w:hint="eastAsia" w:ascii="仿宋_GB2312" w:hAnsi="仿宋_GB2312" w:eastAsia="仿宋_GB2312" w:cs="仿宋_GB2312"/>
          <w:color w:val="000000"/>
          <w:sz w:val="32"/>
          <w:szCs w:val="32"/>
        </w:rPr>
        <w:t> </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应当遵循风险管理、全程管控的原则，围绕上市后药品的安全、有效和质量可控，根据风险研判情况，制定年度监督检查计划。年度监督检查计划至少包括检查类别、内容、方式、频次、重点、要求、时限以及承担检查任务的机构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rPr>
        <w:t>第</w:t>
      </w:r>
      <w:r>
        <w:rPr>
          <w:rFonts w:hint="eastAsia" w:ascii="黑体" w:hAnsi="黑体" w:eastAsia="黑体" w:cs="黑体"/>
          <w:color w:val="000000"/>
          <w:sz w:val="32"/>
          <w:szCs w:val="32"/>
          <w:lang w:eastAsia="zh-CN"/>
        </w:rPr>
        <w:t>七</w:t>
      </w:r>
      <w:r>
        <w:rPr>
          <w:rFonts w:hint="eastAsia" w:ascii="黑体" w:hAnsi="黑体" w:eastAsia="黑体" w:cs="黑体"/>
          <w:color w:val="000000"/>
          <w:sz w:val="32"/>
          <w:szCs w:val="32"/>
        </w:rPr>
        <w:t>条</w:t>
      </w:r>
      <w:r>
        <w:rPr>
          <w:rFonts w:hint="eastAsia" w:ascii="仿宋_GB2312" w:hAnsi="仿宋_GB2312" w:eastAsia="仿宋_GB2312" w:cs="仿宋_GB2312"/>
          <w:color w:val="000000"/>
          <w:sz w:val="32"/>
          <w:szCs w:val="32"/>
        </w:rPr>
        <w:t> 药品生产单位具有下列情形之一的，应当列为日常监督检查的重点：</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（一）生产高风险产品</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纳入短缺药品清单药品和集采中选药品的；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（二）产品质量抽检不合格或者存在重大药品质量安全隐患的；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（三）发生药品不良反应聚集性事件或者</w:t>
      </w:r>
      <w:r>
        <w:rPr>
          <w:rFonts w:hint="eastAsia" w:ascii="仿宋_GB2312" w:hAnsi="仿宋_GB2312" w:eastAsia="仿宋_GB2312" w:cs="仿宋_GB2312"/>
          <w:color w:val="000000"/>
          <w:sz w:val="32"/>
          <w:szCs w:val="32"/>
          <w:lang w:eastAsia="zh-CN"/>
        </w:rPr>
        <w:t>严重药品不良反应数量较多或</w:t>
      </w:r>
      <w:r>
        <w:rPr>
          <w:rFonts w:hint="eastAsia" w:ascii="仿宋_GB2312" w:hAnsi="仿宋_GB2312" w:eastAsia="仿宋_GB2312" w:cs="仿宋_GB2312"/>
          <w:color w:val="000000"/>
          <w:sz w:val="32"/>
          <w:szCs w:val="32"/>
        </w:rPr>
        <w:t>药品不良反应数据存在异常趋势的；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（四）有重大违法违规行为被行政处罚的，一年内有群众举报或者媒体曝光并经查属实的；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（五）企业组织机构和主要管理人员发生重大变化，以及生产、质量管理关键人员变动频繁的；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六</w:t>
      </w:r>
      <w:r>
        <w:rPr>
          <w:rFonts w:hint="eastAsia" w:ascii="仿宋_GB2312" w:hAnsi="仿宋_GB2312" w:eastAsia="仿宋_GB2312" w:cs="仿宋_GB2312"/>
          <w:color w:val="000000"/>
          <w:sz w:val="32"/>
          <w:szCs w:val="32"/>
        </w:rPr>
        <w:t>）一个信用记录周期内药品安全信用等级被评定为失信，或者被列入严重违法失信名单的；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七</w:t>
      </w:r>
      <w:r>
        <w:rPr>
          <w:rFonts w:hint="eastAsia" w:ascii="仿宋_GB2312" w:hAnsi="仿宋_GB2312" w:eastAsia="仿宋_GB2312" w:cs="仿宋_GB2312"/>
          <w:color w:val="000000"/>
          <w:sz w:val="32"/>
          <w:szCs w:val="32"/>
        </w:rPr>
        <w:t>）存在其他重大药品质量安全风险隐患的。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第八条</w:t>
      </w:r>
      <w:r>
        <w:rPr>
          <w:rFonts w:hint="eastAsia" w:ascii="黑体" w:hAnsi="黑体" w:eastAsia="黑体" w:cs="黑体"/>
          <w:color w:val="000000"/>
          <w:sz w:val="32"/>
          <w:szCs w:val="32"/>
          <w:lang w:val="en-US" w:eastAsia="zh-CN"/>
        </w:rPr>
        <w:t> </w:t>
      </w:r>
      <w:r>
        <w:rPr>
          <w:rFonts w:hint="eastAsia" w:ascii="仿宋_GB2312" w:hAnsi="仿宋_GB2312" w:eastAsia="仿宋_GB2312" w:cs="仿宋_GB2312"/>
          <w:color w:val="000000"/>
          <w:sz w:val="32"/>
          <w:szCs w:val="32"/>
        </w:rPr>
        <w:t>对药品生产单位的监督检查主要内容一般包括：</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（一）药品生产单位执行有关法律、法规及实施</w:t>
      </w:r>
      <w:r>
        <w:rPr>
          <w:rFonts w:hint="eastAsia" w:ascii="仿宋_GB2312" w:hAnsi="仿宋_GB2312" w:eastAsia="仿宋_GB2312" w:cs="仿宋_GB2312"/>
          <w:color w:val="000000"/>
          <w:sz w:val="32"/>
          <w:szCs w:val="32"/>
          <w:lang w:val="en-US" w:eastAsia="zh-CN"/>
        </w:rPr>
        <w:t>GMP</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eastAsia="zh-CN"/>
        </w:rPr>
        <w:t>GPP</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GVP</w:t>
      </w:r>
      <w:r>
        <w:rPr>
          <w:rFonts w:hint="eastAsia" w:ascii="仿宋_GB2312" w:hAnsi="仿宋_GB2312" w:eastAsia="仿宋_GB2312" w:cs="仿宋_GB2312"/>
          <w:color w:val="000000"/>
          <w:sz w:val="32"/>
          <w:szCs w:val="32"/>
        </w:rPr>
        <w:t>以及有关技术规范等情况；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（二）药品生产活动是否与药品品种</w:t>
      </w:r>
      <w:r>
        <w:rPr>
          <w:rFonts w:hint="eastAsia" w:ascii="仿宋_GB2312" w:hAnsi="仿宋_GB2312" w:eastAsia="仿宋_GB2312" w:cs="仿宋_GB2312"/>
          <w:color w:val="000000"/>
          <w:sz w:val="32"/>
          <w:szCs w:val="32"/>
          <w:lang w:eastAsia="zh-CN"/>
        </w:rPr>
        <w:t>信息</w:t>
      </w:r>
      <w:r>
        <w:rPr>
          <w:rFonts w:hint="eastAsia" w:ascii="仿宋_GB2312" w:hAnsi="仿宋_GB2312" w:eastAsia="仿宋_GB2312" w:cs="仿宋_GB2312"/>
          <w:color w:val="000000"/>
          <w:sz w:val="32"/>
          <w:szCs w:val="32"/>
        </w:rPr>
        <w:t>载明的相关内容一致；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（三）药品委托生产质量协议、委托协议签订及履行情况；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四</w:t>
      </w:r>
      <w:r>
        <w:rPr>
          <w:rFonts w:hint="eastAsia" w:ascii="仿宋_GB2312" w:hAnsi="仿宋_GB2312" w:eastAsia="仿宋_GB2312" w:cs="仿宋_GB2312"/>
          <w:color w:val="000000"/>
          <w:sz w:val="32"/>
          <w:szCs w:val="32"/>
        </w:rPr>
        <w:t>）风险管理计划和风险自查实施情况；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五</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年度报告中</w:t>
      </w:r>
      <w:r>
        <w:rPr>
          <w:rFonts w:hint="eastAsia" w:ascii="仿宋_GB2312" w:hAnsi="仿宋_GB2312" w:eastAsia="仿宋_GB2312" w:cs="仿宋_GB2312"/>
          <w:color w:val="000000"/>
          <w:sz w:val="32"/>
          <w:szCs w:val="32"/>
        </w:rPr>
        <w:t>变更管理情况；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六</w:t>
      </w:r>
      <w:r>
        <w:rPr>
          <w:rFonts w:hint="eastAsia" w:ascii="仿宋_GB2312" w:hAnsi="仿宋_GB2312" w:eastAsia="仿宋_GB2312" w:cs="仿宋_GB2312"/>
          <w:color w:val="000000"/>
          <w:sz w:val="32"/>
          <w:szCs w:val="32"/>
        </w:rPr>
        <w:t>）上一次检查发现问题的整改情况；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eastAsia="zh-CN"/>
        </w:rPr>
        <w:t>七</w:t>
      </w:r>
      <w:r>
        <w:rPr>
          <w:rFonts w:hint="eastAsia" w:ascii="仿宋_GB2312" w:hAnsi="仿宋_GB2312" w:eastAsia="仿宋_GB2312" w:cs="仿宋_GB2312"/>
          <w:color w:val="000000"/>
          <w:sz w:val="32"/>
          <w:szCs w:val="32"/>
        </w:rPr>
        <w:t>）药品监督管理部门认为需要检查的其他内容。</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开展监督检查时，可以根据被检查单位风险评估情况进行全面检查，也可以对某一环节或者依据检查方案规定的内容进行检查。</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第九条</w:t>
      </w:r>
      <w:r>
        <w:rPr>
          <w:rFonts w:hint="eastAsia" w:ascii="仿宋_GB2312" w:hAnsi="仿宋_GB2312" w:eastAsia="仿宋_GB2312" w:cs="仿宋_GB2312"/>
          <w:color w:val="000000"/>
          <w:sz w:val="32"/>
          <w:szCs w:val="32"/>
        </w:rPr>
        <w:t> </w:t>
      </w:r>
      <w:r>
        <w:rPr>
          <w:rFonts w:hint="eastAsia" w:ascii="仿宋_GB2312" w:hAnsi="仿宋_GB2312" w:eastAsia="仿宋_GB2312" w:cs="仿宋_GB2312"/>
          <w:color w:val="000000"/>
          <w:sz w:val="32"/>
          <w:szCs w:val="32"/>
          <w:lang w:eastAsia="zh-CN"/>
        </w:rPr>
        <w:t>在</w:t>
      </w:r>
      <w:r>
        <w:rPr>
          <w:rFonts w:hint="eastAsia" w:ascii="仿宋_GB2312" w:hAnsi="仿宋_GB2312" w:eastAsia="仿宋_GB2312" w:cs="仿宋_GB2312"/>
          <w:color w:val="000000"/>
          <w:sz w:val="32"/>
          <w:szCs w:val="32"/>
        </w:rPr>
        <w:t>开展监督检查时应当监督持有人建立并实施年度报告制度，结合监督检查对持有人年度报告进行抽查，并将抽查情况记录在监督检查报告中。</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color w:val="000000"/>
          <w:sz w:val="32"/>
          <w:szCs w:val="32"/>
        </w:rPr>
      </w:pPr>
      <w:r>
        <w:rPr>
          <w:rFonts w:hint="eastAsia" w:ascii="黑体" w:hAnsi="黑体" w:eastAsia="黑体" w:cs="黑体"/>
          <w:color w:val="000000"/>
          <w:sz w:val="32"/>
          <w:szCs w:val="32"/>
          <w:lang w:eastAsia="zh-CN"/>
        </w:rPr>
        <w:t>第十条 </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应当将药品上市后变更情况纳入日常监管，督促</w:t>
      </w:r>
      <w:r>
        <w:rPr>
          <w:rFonts w:hint="eastAsia" w:ascii="仿宋_GB2312" w:hAnsi="仿宋_GB2312" w:eastAsia="仿宋_GB2312" w:cs="仿宋_GB2312"/>
          <w:color w:val="000000"/>
          <w:sz w:val="32"/>
          <w:szCs w:val="32"/>
          <w:lang w:eastAsia="zh-CN"/>
        </w:rPr>
        <w:t>药品上市</w:t>
      </w:r>
      <w:r>
        <w:rPr>
          <w:rFonts w:hint="eastAsia" w:ascii="仿宋_GB2312" w:hAnsi="仿宋_GB2312" w:eastAsia="仿宋_GB2312" w:cs="仿宋_GB2312"/>
          <w:color w:val="000000"/>
          <w:sz w:val="32"/>
          <w:szCs w:val="32"/>
        </w:rPr>
        <w:t>持有人、药品生产企业遵守药品上市后变更管理有关规定，履行变更管理的责任，对持有人变更控制体系进行监督检查，必要时实施监督抽检。</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第十一条 </w:t>
      </w:r>
      <w:r>
        <w:rPr>
          <w:rFonts w:hint="eastAsia" w:ascii="仿宋_GB2312" w:hAnsi="仿宋_GB2312" w:eastAsia="仿宋_GB2312" w:cs="仿宋_GB2312"/>
          <w:color w:val="000000"/>
          <w:sz w:val="32"/>
          <w:szCs w:val="32"/>
        </w:rPr>
        <w:t>日常监督检查程序</w:t>
      </w:r>
      <w:r>
        <w:rPr>
          <w:rFonts w:hint="eastAsia" w:ascii="仿宋_GB2312" w:hAnsi="仿宋_GB2312" w:eastAsia="仿宋_GB2312" w:cs="仿宋_GB2312"/>
          <w:color w:val="000000"/>
          <w:sz w:val="32"/>
          <w:szCs w:val="32"/>
          <w:lang w:eastAsia="zh-CN"/>
        </w:rPr>
        <w:t>按照</w:t>
      </w:r>
      <w:r>
        <w:rPr>
          <w:rFonts w:hint="eastAsia" w:ascii="仿宋_GB2312" w:hAnsi="仿宋_GB2312" w:eastAsia="仿宋_GB2312" w:cs="仿宋_GB2312"/>
          <w:color w:val="000000"/>
          <w:sz w:val="32"/>
          <w:szCs w:val="32"/>
        </w:rPr>
        <w:t>《药品检查管理办法（试行）》</w:t>
      </w:r>
      <w:r>
        <w:rPr>
          <w:rFonts w:hint="eastAsia" w:ascii="仿宋_GB2312" w:hAnsi="仿宋_GB2312" w:eastAsia="仿宋_GB2312" w:cs="仿宋_GB2312"/>
          <w:color w:val="000000"/>
          <w:sz w:val="32"/>
          <w:szCs w:val="32"/>
          <w:lang w:eastAsia="zh-CN"/>
        </w:rPr>
        <w:t>《西藏自治区</w:t>
      </w:r>
      <w:r>
        <w:rPr>
          <w:rFonts w:hint="eastAsia" w:ascii="仿宋_GB2312" w:hAnsi="仿宋_GB2312" w:eastAsia="仿宋_GB2312" w:cs="仿宋_GB2312"/>
          <w:color w:val="000000"/>
          <w:sz w:val="32"/>
          <w:szCs w:val="32"/>
          <w:lang w:val="en-US" w:eastAsia="zh-CN"/>
        </w:rPr>
        <w:t>&lt;药品检查管理办法（试行）&gt;实施细则</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等相关规定执行，</w:t>
      </w:r>
      <w:r>
        <w:rPr>
          <w:rFonts w:hint="eastAsia" w:ascii="仿宋_GB2312" w:hAnsi="仿宋_GB2312" w:eastAsia="仿宋_GB2312" w:cs="仿宋_GB2312"/>
          <w:color w:val="000000"/>
          <w:sz w:val="32"/>
          <w:szCs w:val="32"/>
          <w:lang w:eastAsia="zh-CN"/>
        </w:rPr>
        <w:t>藏药审评中心负责将本单位开展的监督</w:t>
      </w:r>
      <w:r>
        <w:rPr>
          <w:rFonts w:hint="eastAsia" w:ascii="仿宋_GB2312" w:hAnsi="仿宋_GB2312" w:eastAsia="仿宋_GB2312" w:cs="仿宋_GB2312"/>
          <w:color w:val="000000"/>
          <w:sz w:val="32"/>
          <w:szCs w:val="32"/>
        </w:rPr>
        <w:t>检查报告及时上传</w:t>
      </w:r>
      <w:r>
        <w:rPr>
          <w:rFonts w:hint="eastAsia" w:ascii="仿宋_GB2312" w:hAnsi="仿宋_GB2312" w:eastAsia="仿宋_GB2312" w:cs="仿宋_GB2312"/>
          <w:color w:val="000000"/>
          <w:sz w:val="32"/>
          <w:szCs w:val="32"/>
          <w:lang w:eastAsia="zh-CN"/>
        </w:rPr>
        <w:t>西藏自治区药品数智监管平台</w:t>
      </w:r>
      <w:r>
        <w:rPr>
          <w:rFonts w:hint="eastAsia" w:ascii="仿宋_GB2312" w:hAnsi="仿宋_GB2312" w:eastAsia="仿宋_GB2312" w:cs="仿宋_GB2312"/>
          <w:color w:val="000000"/>
          <w:sz w:val="32"/>
          <w:szCs w:val="32"/>
        </w:rPr>
        <w:t>。</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lang w:eastAsia="zh-CN"/>
        </w:rPr>
      </w:pPr>
      <w:r>
        <w:rPr>
          <w:rFonts w:hint="eastAsia" w:ascii="黑体" w:hAnsi="黑体" w:eastAsia="黑体" w:cs="黑体"/>
          <w:color w:val="000000"/>
          <w:sz w:val="32"/>
          <w:szCs w:val="32"/>
          <w:lang w:eastAsia="zh-CN"/>
        </w:rPr>
        <w:t>第十二条</w:t>
      </w:r>
      <w:r>
        <w:rPr>
          <w:rFonts w:hint="eastAsia" w:ascii="仿宋_GB2312" w:hAnsi="仿宋_GB2312" w:eastAsia="仿宋_GB2312" w:cs="仿宋_GB2312"/>
          <w:color w:val="000000"/>
          <w:sz w:val="32"/>
          <w:szCs w:val="32"/>
          <w:lang w:eastAsia="zh-CN"/>
        </w:rPr>
        <w:t> 对药品上市许可持有人检查时，必要时可对受托药品生产企业进行延伸检查。涉及跨省委托生产的，药品监管处应当加强同受托药品生产企业所在地省级药品监管局的信息通报，及时掌握了解受托药品生产企业信用状况，对受托药品生产企业所在地药品监管部门在年度内已开展监督检查的，对其结果予以互认。尚未开展检查的，可根据通报情况开展跨省延伸检查，必要时同受托药品生产企业所在地省级药品监管局对受托药品生产企业进行联合检查。</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第十三条</w:t>
      </w:r>
      <w:r>
        <w:rPr>
          <w:rFonts w:hint="eastAsia" w:ascii="仿宋_GB2312" w:hAnsi="仿宋_GB2312" w:eastAsia="仿宋_GB2312" w:cs="仿宋_GB2312"/>
          <w:color w:val="000000"/>
          <w:sz w:val="32"/>
          <w:szCs w:val="32"/>
        </w:rPr>
        <w:t> </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应当将药品生产单位日常监督管理信息纳入药品安全信用档案，并及时更新。药品安全信用档案包括以下内容：</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楷体_GB2312" w:hAnsi="楷体_GB2312" w:eastAsia="楷体_GB2312" w:cs="楷体_GB2312"/>
          <w:sz w:val="32"/>
          <w:szCs w:val="32"/>
        </w:rPr>
      </w:pPr>
      <w:r>
        <w:rPr>
          <w:rFonts w:hint="eastAsia" w:ascii="楷体_GB2312" w:hAnsi="楷体_GB2312" w:eastAsia="楷体_GB2312" w:cs="楷体_GB2312"/>
          <w:color w:val="000000"/>
          <w:sz w:val="32"/>
          <w:szCs w:val="32"/>
        </w:rPr>
        <w:t>（一）基本情况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1.《药品生产许可证》、《医疗机构制剂许可证》、产品注册批件的核发、换发（再注册）、补发、变更、注销等相关信息；</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2.企业负责人和生产</w:t>
      </w:r>
      <w:r>
        <w:rPr>
          <w:rFonts w:hint="eastAsia" w:ascii="仿宋_GB2312" w:hAnsi="仿宋_GB2312" w:eastAsia="仿宋_GB2312" w:cs="仿宋_GB2312"/>
          <w:color w:val="000000"/>
          <w:sz w:val="32"/>
          <w:szCs w:val="32"/>
          <w:lang w:eastAsia="zh-CN"/>
        </w:rPr>
        <w:t>管理</w:t>
      </w:r>
      <w:r>
        <w:rPr>
          <w:rFonts w:hint="eastAsia" w:ascii="仿宋_GB2312" w:hAnsi="仿宋_GB2312" w:eastAsia="仿宋_GB2312" w:cs="仿宋_GB2312"/>
          <w:color w:val="000000"/>
          <w:sz w:val="32"/>
          <w:szCs w:val="32"/>
        </w:rPr>
        <w:t>负责人、质量管理负责人、质量受权人、药物警戒负责人变更情况等相关信息；</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3.委托生产、委托检验等相关信息。</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4.药品品种信息。</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楷体_GB2312" w:hAnsi="楷体_GB2312" w:eastAsia="楷体_GB2312" w:cs="楷体_GB2312"/>
          <w:color w:val="000000"/>
          <w:sz w:val="32"/>
          <w:szCs w:val="32"/>
        </w:rPr>
      </w:pPr>
      <w:r>
        <w:rPr>
          <w:rFonts w:hint="eastAsia" w:ascii="楷体_GB2312" w:hAnsi="楷体_GB2312" w:eastAsia="楷体_GB2312" w:cs="楷体_GB2312"/>
          <w:color w:val="000000"/>
          <w:sz w:val="32"/>
          <w:szCs w:val="32"/>
        </w:rPr>
        <w:t>（二）监督检查方面</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1.监督检查记录、相应整改报告及复查记录、约谈记录等；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2.采取的风险控制后处置措施记录等；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3.群众举报、媒体曝光和投诉调查记录，重大药品质量安全事件、药品不良反应聚集性事件和严重药品不良反应调查处理情况等；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4.药品质量抽验及对不合格药品追踪调查和产品召回情况等。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29"/>
        <w:jc w:val="both"/>
        <w:textAlignment w:val="auto"/>
        <w:rPr>
          <w:rFonts w:hint="eastAsia" w:ascii="楷体_GB2312" w:hAnsi="楷体_GB2312" w:eastAsia="楷体_GB2312" w:cs="楷体_GB2312"/>
          <w:color w:val="000000"/>
          <w:sz w:val="32"/>
          <w:szCs w:val="32"/>
        </w:rPr>
      </w:pPr>
      <w:r>
        <w:rPr>
          <w:rFonts w:hint="eastAsia" w:ascii="楷体_GB2312" w:hAnsi="楷体_GB2312" w:eastAsia="楷体_GB2312" w:cs="楷体_GB2312"/>
          <w:color w:val="000000"/>
          <w:sz w:val="32"/>
          <w:szCs w:val="32"/>
        </w:rPr>
        <w:t>（三）行政处罚方面</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对违法、违规行为被查处的情况。其他应列入药品生产监管档案的资料。</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eastAsia" w:ascii="黑体" w:hAnsi="黑体" w:eastAsia="黑体" w:cs="黑体"/>
          <w:color w:val="000000"/>
          <w:sz w:val="32"/>
          <w:szCs w:val="32"/>
        </w:rPr>
      </w:pPr>
      <w:r>
        <w:rPr>
          <w:rFonts w:hint="eastAsia" w:ascii="黑体" w:hAnsi="黑体" w:eastAsia="黑体" w:cs="黑体"/>
          <w:color w:val="000000"/>
          <w:sz w:val="32"/>
          <w:szCs w:val="32"/>
        </w:rPr>
        <w:t>第三章 委托检验管理</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第十四条</w:t>
      </w:r>
      <w:r>
        <w:rPr>
          <w:rFonts w:hint="eastAsia" w:ascii="仿宋_GB2312" w:hAnsi="仿宋_GB2312" w:eastAsia="仿宋_GB2312" w:cs="仿宋_GB2312"/>
          <w:color w:val="000000"/>
          <w:sz w:val="32"/>
          <w:szCs w:val="32"/>
        </w:rPr>
        <w:t> </w:t>
      </w:r>
      <w:r>
        <w:rPr>
          <w:rFonts w:hint="eastAsia" w:ascii="仿宋_GB2312" w:hAnsi="仿宋_GB2312" w:eastAsia="仿宋_GB2312" w:cs="仿宋_GB2312"/>
          <w:color w:val="000000"/>
          <w:sz w:val="32"/>
          <w:szCs w:val="32"/>
          <w:lang w:eastAsia="zh-CN"/>
        </w:rPr>
        <w:t>药品生产单位</w:t>
      </w:r>
      <w:r>
        <w:rPr>
          <w:rFonts w:hint="eastAsia" w:ascii="仿宋_GB2312" w:hAnsi="仿宋_GB2312" w:eastAsia="仿宋_GB2312" w:cs="仿宋_GB2312"/>
          <w:color w:val="000000"/>
          <w:sz w:val="32"/>
          <w:szCs w:val="32"/>
        </w:rPr>
        <w:t>应严格按照有关要求做好物料和产品检验工作，委托检验应符合法律法规及有关规定要求，强化生产全过程的质量控制，保证药品质量。</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bookmarkStart w:id="4" w:name="OLE_LINK6"/>
      <w:r>
        <w:rPr>
          <w:rFonts w:hint="eastAsia" w:ascii="仿宋_GB2312" w:hAnsi="仿宋_GB2312" w:eastAsia="仿宋_GB2312" w:cs="仿宋_GB2312"/>
          <w:color w:val="000000"/>
          <w:sz w:val="32"/>
          <w:szCs w:val="32"/>
        </w:rPr>
        <w:t xml:space="preserve">在确保药品生产质量管理体系完整、有效运行的前提下，药品生产企业可共用同一集团内其他药品生产企业的高价值或大型实验室检验仪器设备进行检验。 </w:t>
      </w:r>
    </w:p>
    <w:bookmarkEnd w:id="4"/>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10"/>
        <w:jc w:val="both"/>
        <w:textAlignment w:val="auto"/>
        <w:rPr>
          <w:rFonts w:hint="eastAsia" w:ascii="仿宋_GB2312" w:hAnsi="仿宋_GB2312" w:eastAsia="仿宋_GB2312" w:cs="仿宋_GB2312"/>
          <w:sz w:val="32"/>
          <w:szCs w:val="32"/>
          <w:lang w:eastAsia="zh-CN"/>
        </w:rPr>
      </w:pPr>
      <w:r>
        <w:rPr>
          <w:rFonts w:hint="eastAsia" w:ascii="黑体" w:hAnsi="黑体" w:eastAsia="黑体" w:cs="黑体"/>
          <w:color w:val="000000"/>
          <w:sz w:val="32"/>
          <w:szCs w:val="32"/>
          <w:lang w:eastAsia="zh-CN"/>
        </w:rPr>
        <w:t>第十五条 </w:t>
      </w:r>
      <w:r>
        <w:rPr>
          <w:rFonts w:hint="eastAsia" w:ascii="黑体" w:hAnsi="黑体" w:eastAsia="黑体" w:cs="黑体"/>
          <w:color w:val="000000"/>
          <w:sz w:val="32"/>
          <w:szCs w:val="32"/>
          <w:lang w:val="en-US" w:eastAsia="zh-CN"/>
        </w:rPr>
        <w:t xml:space="preserve"> </w:t>
      </w:r>
      <w:r>
        <w:rPr>
          <w:rFonts w:hint="eastAsia" w:ascii="仿宋_GB2312" w:hAnsi="仿宋_GB2312" w:eastAsia="仿宋_GB2312" w:cs="仿宋_GB2312"/>
          <w:color w:val="000000"/>
          <w:sz w:val="32"/>
          <w:szCs w:val="32"/>
          <w:lang w:eastAsia="zh-CN"/>
        </w:rPr>
        <w:t>以</w:t>
      </w:r>
      <w:r>
        <w:rPr>
          <w:rFonts w:hint="eastAsia" w:ascii="仿宋_GB2312" w:hAnsi="仿宋_GB2312" w:eastAsia="仿宋_GB2312" w:cs="仿宋_GB2312"/>
          <w:color w:val="000000"/>
          <w:sz w:val="32"/>
          <w:szCs w:val="32"/>
        </w:rPr>
        <w:t>下情形</w:t>
      </w:r>
      <w:r>
        <w:rPr>
          <w:rFonts w:hint="eastAsia" w:ascii="仿宋_GB2312" w:hAnsi="仿宋_GB2312" w:eastAsia="仿宋_GB2312" w:cs="仿宋_GB2312"/>
          <w:color w:val="000000"/>
          <w:sz w:val="32"/>
          <w:szCs w:val="32"/>
          <w:lang w:eastAsia="zh-CN"/>
        </w:rPr>
        <w:t>，药品上市许可</w:t>
      </w:r>
      <w:r>
        <w:rPr>
          <w:rFonts w:hint="eastAsia" w:ascii="仿宋_GB2312" w:hAnsi="仿宋_GB2312" w:eastAsia="仿宋_GB2312" w:cs="仿宋_GB2312"/>
          <w:color w:val="000000"/>
          <w:sz w:val="32"/>
          <w:szCs w:val="32"/>
        </w:rPr>
        <w:t>持有人、药品生产企业可以实施委托检验</w:t>
      </w:r>
      <w:r>
        <w:rPr>
          <w:rFonts w:hint="eastAsia" w:ascii="仿宋_GB2312" w:hAnsi="仿宋_GB2312" w:eastAsia="仿宋_GB2312" w:cs="仿宋_GB2312"/>
          <w:color w:val="000000"/>
          <w:sz w:val="32"/>
          <w:szCs w:val="32"/>
          <w:lang w:eastAsia="zh-CN"/>
        </w:rPr>
        <w:t>。</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（一）制剂产品的动物试验可委托检验（疫苗制品、血液制品除外）。</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（二）药品生产企业在对进厂原辅料、包装材料的检验中，如遇使用频次较少的高价值或大型检验仪器设备，相应的检验项目可进行委托检验。</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（三）药品生产企业购入的原药材（含中药饮片）涉及重金属及有害元素、农药残留、黄曲霉毒素等特殊检验项目，可以委托检验。</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 （四）因缺少剧毒品、易爆品等管控试剂确实无法自行开展的、检验仪器故障需要临时委托检验的以及其他特殊情形，企业书面报告</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，报告内容至少包含委托检验品种、委托检验项目、使用仪器、受托单位名称、委托检验原因、检验依据、生产的成品名称、委托检验期限以及委托检验情况说明等，经</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风险评估确认的，可以委托检验。</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10"/>
        <w:jc w:val="both"/>
        <w:textAlignment w:val="auto"/>
        <w:rPr>
          <w:rFonts w:hint="eastAsia" w:ascii="黑体" w:hAnsi="黑体" w:eastAsia="黑体" w:cs="黑体"/>
          <w:color w:val="000000"/>
          <w:sz w:val="32"/>
          <w:szCs w:val="32"/>
          <w:lang w:eastAsia="zh-CN"/>
        </w:rPr>
      </w:pPr>
      <w:r>
        <w:rPr>
          <w:rFonts w:hint="eastAsia" w:ascii="仿宋_GB2312" w:hAnsi="仿宋_GB2312" w:eastAsia="仿宋_GB2312" w:cs="仿宋_GB2312"/>
          <w:color w:val="000000"/>
          <w:sz w:val="32"/>
          <w:szCs w:val="32"/>
          <w:lang w:eastAsia="zh-CN"/>
        </w:rPr>
        <w:t>医疗机构制剂室委托检验应按照《西藏自治区藏医医疗机构制剂管理办法》相关要求执行。</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1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第十六条 </w:t>
      </w:r>
      <w:r>
        <w:rPr>
          <w:rFonts w:hint="eastAsia" w:ascii="仿宋_GB2312" w:hAnsi="仿宋_GB2312" w:eastAsia="仿宋_GB2312" w:cs="仿宋_GB2312"/>
          <w:color w:val="000000"/>
          <w:sz w:val="32"/>
          <w:szCs w:val="32"/>
        </w:rPr>
        <w:t>委托检验的委托方应当对受托方进行评估，确认其具有完成受托检验的能力，委托方应审核第三方检验机构资质，并保留检验机构资质证书和检测能力范围证书等相关证明、记录等文件。受托方应是具有相应的检测能力，并依法取得资质认定的检验检测机构。</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委托方和受托方必须签订书面合同，明确规定各方责任、委托检验内容、委托时限、检验执行质量标准、取样的实施情况等相关事项，明确受托方有义务接受药品监督管理部门检查。合同的各项内容应当符合国家药品管理的相关规定，受托方应保持相对稳定，受托方不得进行再委托。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lang w:eastAsia="zh-CN"/>
        </w:rPr>
      </w:pPr>
      <w:r>
        <w:rPr>
          <w:rFonts w:hint="eastAsia" w:ascii="黑体" w:hAnsi="黑体" w:eastAsia="黑体" w:cs="黑体"/>
          <w:color w:val="000000"/>
          <w:sz w:val="32"/>
          <w:szCs w:val="32"/>
          <w:lang w:eastAsia="zh-CN"/>
        </w:rPr>
        <w:t>第十七条</w:t>
      </w:r>
      <w:r>
        <w:rPr>
          <w:rFonts w:hint="eastAsia" w:ascii="仿宋_GB2312" w:hAnsi="仿宋_GB2312" w:eastAsia="仿宋_GB2312" w:cs="仿宋_GB2312"/>
          <w:color w:val="000000"/>
          <w:sz w:val="32"/>
          <w:szCs w:val="32"/>
        </w:rPr>
        <w:t> 委托方在委托项目首次签订合同后，应在5个工作日内向</w:t>
      </w:r>
      <w:r>
        <w:rPr>
          <w:rFonts w:hint="eastAsia" w:ascii="仿宋_GB2312" w:hAnsi="仿宋_GB2312" w:eastAsia="仿宋_GB2312" w:cs="仿宋_GB2312"/>
          <w:color w:val="000000"/>
          <w:sz w:val="32"/>
          <w:szCs w:val="32"/>
          <w:lang w:eastAsia="zh-CN"/>
        </w:rPr>
        <w:t>药品监管处备案，备案</w:t>
      </w:r>
      <w:r>
        <w:rPr>
          <w:rFonts w:hint="eastAsia" w:ascii="仿宋_GB2312" w:hAnsi="仿宋_GB2312" w:eastAsia="仿宋_GB2312" w:cs="仿宋_GB2312"/>
          <w:color w:val="000000"/>
          <w:sz w:val="32"/>
          <w:szCs w:val="32"/>
        </w:rPr>
        <w:t>资料包括：</w:t>
      </w:r>
      <w:r>
        <w:rPr>
          <w:rFonts w:hint="eastAsia" w:ascii="仿宋_GB2312" w:hAnsi="仿宋_GB2312" w:eastAsia="仿宋_GB2312" w:cs="仿宋_GB2312"/>
          <w:color w:val="000000"/>
          <w:sz w:val="32"/>
          <w:szCs w:val="32"/>
          <w:lang w:val="en-US" w:eastAsia="zh-CN"/>
        </w:rPr>
        <w:t>1.委托申请书；2.</w:t>
      </w:r>
      <w:r>
        <w:rPr>
          <w:rFonts w:hint="eastAsia" w:ascii="仿宋_GB2312" w:hAnsi="仿宋_GB2312" w:eastAsia="仿宋_GB2312" w:cs="仿宋_GB2312"/>
          <w:color w:val="000000"/>
          <w:sz w:val="32"/>
          <w:szCs w:val="32"/>
        </w:rPr>
        <w:t>委托检验合同</w:t>
      </w:r>
      <w:r>
        <w:rPr>
          <w:rFonts w:hint="eastAsia" w:ascii="仿宋_GB2312" w:hAnsi="仿宋_GB2312" w:eastAsia="仿宋_GB2312" w:cs="仿宋_GB2312"/>
          <w:color w:val="000000"/>
          <w:sz w:val="32"/>
          <w:szCs w:val="32"/>
          <w:lang w:eastAsia="zh-CN"/>
        </w:rPr>
        <w:t>及质量保障协议</w:t>
      </w:r>
      <w:r>
        <w:rPr>
          <w:rFonts w:hint="eastAsia" w:ascii="仿宋_GB2312" w:hAnsi="仿宋_GB2312" w:eastAsia="仿宋_GB2312" w:cs="仿宋_GB2312"/>
          <w:color w:val="000000"/>
          <w:sz w:val="32"/>
          <w:szCs w:val="32"/>
        </w:rPr>
        <w:t>复印件（加盖委托方公章）；</w:t>
      </w:r>
      <w:r>
        <w:rPr>
          <w:rFonts w:hint="eastAsia" w:ascii="仿宋_GB2312" w:hAnsi="仿宋_GB2312" w:eastAsia="仿宋_GB2312" w:cs="仿宋_GB2312"/>
          <w:color w:val="000000"/>
          <w:sz w:val="32"/>
          <w:szCs w:val="32"/>
          <w:lang w:val="en-US" w:eastAsia="zh-CN"/>
        </w:rPr>
        <w:t>3.</w:t>
      </w:r>
      <w:r>
        <w:rPr>
          <w:rFonts w:hint="eastAsia" w:ascii="仿宋_GB2312" w:hAnsi="仿宋_GB2312" w:eastAsia="仿宋_GB2312" w:cs="仿宋_GB2312"/>
          <w:color w:val="000000"/>
          <w:sz w:val="32"/>
          <w:szCs w:val="32"/>
        </w:rPr>
        <w:t>受托方相关资质证明文件和检测能力范围证书复印件（需加盖委托方公章）</w:t>
      </w:r>
      <w:r>
        <w:rPr>
          <w:rFonts w:hint="eastAsia" w:ascii="仿宋_GB2312" w:hAnsi="仿宋_GB2312" w:eastAsia="仿宋_GB2312" w:cs="仿宋_GB2312"/>
          <w:color w:val="000000"/>
          <w:sz w:val="32"/>
          <w:szCs w:val="32"/>
          <w:lang w:eastAsia="zh-CN"/>
        </w:rPr>
        <w:t>。</w:t>
      </w:r>
    </w:p>
    <w:p>
      <w:pPr>
        <w:pStyle w:val="5"/>
        <w:keepNext w:val="0"/>
        <w:keepLines w:val="0"/>
        <w:pageBreakBefore w:val="0"/>
        <w:widowControl w:val="0"/>
        <w:numPr>
          <w:ilvl w:val="0"/>
          <w:numId w:val="1"/>
        </w:numPr>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黑体" w:hAnsi="黑体" w:eastAsia="黑体" w:cs="黑体"/>
          <w:color w:val="000000"/>
          <w:sz w:val="32"/>
          <w:szCs w:val="32"/>
        </w:rPr>
      </w:pPr>
      <w:r>
        <w:rPr>
          <w:rFonts w:hint="eastAsia" w:ascii="仿宋_GB2312" w:hAnsi="仿宋_GB2312" w:eastAsia="仿宋_GB2312" w:cs="仿宋_GB2312"/>
          <w:color w:val="000000"/>
          <w:sz w:val="32"/>
          <w:szCs w:val="32"/>
          <w:lang w:val="en-US" w:eastAsia="zh-CN"/>
        </w:rPr>
        <w:t>未经备案，不得擅自开展委托检验。</w:t>
      </w:r>
    </w:p>
    <w:p>
      <w:pPr>
        <w:pStyle w:val="5"/>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jc w:val="both"/>
        <w:textAlignment w:val="auto"/>
        <w:rPr>
          <w:rFonts w:hint="eastAsia" w:ascii="黑体" w:hAnsi="黑体" w:eastAsia="黑体" w:cs="黑体"/>
          <w:color w:val="000000"/>
          <w:sz w:val="32"/>
          <w:szCs w:val="32"/>
        </w:rPr>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eastAsia" w:ascii="黑体" w:hAnsi="黑体" w:eastAsia="黑体" w:cs="黑体"/>
          <w:color w:val="000000"/>
          <w:sz w:val="32"/>
          <w:szCs w:val="32"/>
        </w:rPr>
      </w:pPr>
      <w:r>
        <w:rPr>
          <w:rFonts w:hint="eastAsia" w:ascii="黑体" w:hAnsi="黑体" w:eastAsia="黑体" w:cs="黑体"/>
          <w:color w:val="000000"/>
          <w:sz w:val="32"/>
          <w:szCs w:val="32"/>
        </w:rPr>
        <w:t>第四章 质量受权人（质量管理负责人）管理</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黑体" w:hAnsi="黑体" w:eastAsia="黑体" w:cs="黑体"/>
          <w:color w:val="000000"/>
          <w:sz w:val="32"/>
          <w:szCs w:val="32"/>
          <w:lang w:eastAsia="zh-CN"/>
        </w:rPr>
        <w:t>第十九条</w:t>
      </w:r>
      <w:r>
        <w:rPr>
          <w:rFonts w:hint="eastAsia" w:ascii="仿宋_GB2312" w:hAnsi="仿宋_GB2312" w:eastAsia="仿宋_GB2312" w:cs="仿宋_GB2312"/>
          <w:color w:val="000000"/>
          <w:sz w:val="32"/>
          <w:szCs w:val="32"/>
        </w:rPr>
        <w:t> </w:t>
      </w:r>
      <w:r>
        <w:rPr>
          <w:rFonts w:hint="eastAsia" w:ascii="仿宋_GB2312" w:hAnsi="仿宋_GB2312" w:eastAsia="仿宋_GB2312" w:cs="仿宋_GB2312"/>
          <w:color w:val="000000"/>
          <w:sz w:val="32"/>
          <w:szCs w:val="32"/>
          <w:lang w:eastAsia="zh-CN"/>
        </w:rPr>
        <w:t>药品上市许可</w:t>
      </w:r>
      <w:r>
        <w:rPr>
          <w:rFonts w:hint="eastAsia" w:ascii="仿宋_GB2312" w:hAnsi="仿宋_GB2312" w:eastAsia="仿宋_GB2312" w:cs="仿宋_GB2312"/>
          <w:color w:val="000000"/>
          <w:sz w:val="32"/>
          <w:szCs w:val="32"/>
        </w:rPr>
        <w:t>持有人和药品生产企业是质量受权人（质量管理负责人）制度实施的主体。持有人负责药品全生命周期管理，对上市销售的药品质量负全部责任，其质量受权人承担药品上市放行的直接责任。</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药品生产企业对药品生产环节的药品质量负责，其质量受权人承担药品出厂放行的直接责任。</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lang w:eastAsia="zh-CN"/>
        </w:rPr>
      </w:pPr>
      <w:r>
        <w:rPr>
          <w:rFonts w:hint="eastAsia" w:ascii="黑体" w:hAnsi="黑体" w:eastAsia="黑体" w:cs="黑体"/>
          <w:color w:val="000000"/>
          <w:sz w:val="32"/>
          <w:szCs w:val="32"/>
          <w:lang w:eastAsia="zh-CN"/>
        </w:rPr>
        <w:t>第二十条 </w:t>
      </w:r>
      <w:bookmarkStart w:id="5" w:name="OLE_LINK7"/>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负责对质量受权人（质量管理负责人）制度实施情况进行监督管理，实行质量受权人（质量管理负责人）年度</w:t>
      </w:r>
      <w:r>
        <w:rPr>
          <w:rFonts w:hint="eastAsia" w:ascii="仿宋_GB2312" w:hAnsi="仿宋_GB2312" w:eastAsia="仿宋_GB2312" w:cs="仿宋_GB2312"/>
          <w:color w:val="000000"/>
          <w:sz w:val="32"/>
          <w:szCs w:val="32"/>
          <w:lang w:eastAsia="zh-CN"/>
        </w:rPr>
        <w:t>述职报告</w:t>
      </w:r>
      <w:r>
        <w:rPr>
          <w:rFonts w:hint="eastAsia" w:ascii="仿宋_GB2312" w:hAnsi="仿宋_GB2312" w:eastAsia="仿宋_GB2312" w:cs="仿宋_GB2312"/>
          <w:color w:val="000000"/>
          <w:sz w:val="32"/>
          <w:szCs w:val="32"/>
        </w:rPr>
        <w:t>制度</w:t>
      </w:r>
      <w:r>
        <w:rPr>
          <w:rFonts w:hint="eastAsia" w:ascii="仿宋_GB2312" w:hAnsi="仿宋_GB2312" w:eastAsia="仿宋_GB2312" w:cs="仿宋_GB2312"/>
          <w:color w:val="000000"/>
          <w:sz w:val="32"/>
          <w:szCs w:val="32"/>
          <w:lang w:eastAsia="zh-CN"/>
        </w:rPr>
        <w:t>。</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第二十一条 </w:t>
      </w:r>
      <w:r>
        <w:rPr>
          <w:rFonts w:hint="eastAsia" w:ascii="仿宋_GB2312" w:hAnsi="仿宋_GB2312" w:eastAsia="仿宋_GB2312" w:cs="仿宋_GB2312"/>
          <w:color w:val="000000"/>
          <w:sz w:val="32"/>
          <w:szCs w:val="32"/>
          <w:lang w:eastAsia="zh-CN"/>
        </w:rPr>
        <w:t>药品上市许可</w:t>
      </w:r>
      <w:r>
        <w:rPr>
          <w:rFonts w:hint="eastAsia" w:ascii="仿宋_GB2312" w:hAnsi="仿宋_GB2312" w:eastAsia="仿宋_GB2312" w:cs="仿宋_GB2312"/>
          <w:color w:val="000000"/>
          <w:sz w:val="32"/>
          <w:szCs w:val="32"/>
        </w:rPr>
        <w:t>持有人和药品生产企业应当根据</w:t>
      </w:r>
      <w:r>
        <w:rPr>
          <w:rFonts w:hint="eastAsia" w:ascii="仿宋_GB2312" w:hAnsi="仿宋_GB2312" w:eastAsia="仿宋_GB2312" w:cs="仿宋_GB2312"/>
          <w:color w:val="000000"/>
          <w:sz w:val="32"/>
          <w:szCs w:val="32"/>
          <w:lang w:val="en-US" w:eastAsia="zh-CN"/>
        </w:rPr>
        <w:t>GMP</w:t>
      </w:r>
      <w:r>
        <w:rPr>
          <w:rFonts w:hint="eastAsia" w:ascii="仿宋_GB2312" w:hAnsi="仿宋_GB2312" w:eastAsia="仿宋_GB2312" w:cs="仿宋_GB2312"/>
          <w:color w:val="000000"/>
          <w:sz w:val="32"/>
          <w:szCs w:val="32"/>
        </w:rPr>
        <w:t>要求确定质量受权人，并由法定代表人与其签订《药品质量受权人授权书》（附件</w:t>
      </w: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rPr>
        <w:t>）。</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第二十二条</w:t>
      </w:r>
      <w:r>
        <w:rPr>
          <w:rFonts w:hint="eastAsia" w:ascii="仿宋_GB2312" w:hAnsi="仿宋_GB2312" w:eastAsia="仿宋_GB2312" w:cs="仿宋_GB2312"/>
          <w:color w:val="000000"/>
          <w:sz w:val="32"/>
          <w:szCs w:val="32"/>
          <w:lang w:val="en-US" w:eastAsia="zh-CN"/>
        </w:rPr>
        <w:t> </w:t>
      </w:r>
      <w:r>
        <w:rPr>
          <w:rFonts w:hint="eastAsia" w:ascii="仿宋_GB2312" w:hAnsi="仿宋_GB2312" w:eastAsia="仿宋_GB2312" w:cs="仿宋_GB2312"/>
          <w:color w:val="000000"/>
          <w:sz w:val="32"/>
          <w:szCs w:val="32"/>
          <w:lang w:eastAsia="zh-CN"/>
        </w:rPr>
        <w:t>药品上市许可</w:t>
      </w:r>
      <w:r>
        <w:rPr>
          <w:rFonts w:hint="eastAsia" w:ascii="仿宋_GB2312" w:hAnsi="仿宋_GB2312" w:eastAsia="仿宋_GB2312" w:cs="仿宋_GB2312"/>
          <w:color w:val="000000"/>
          <w:sz w:val="32"/>
          <w:szCs w:val="32"/>
        </w:rPr>
        <w:t>持有人和药品生产企业可以根据本企业产品分类、生产厂区等实际情况确定质量受权人。需要确定多个受权人的，应当在每个质量受权人授权书中明确负责放行的厂区和产品范围。</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000000"/>
          <w:sz w:val="32"/>
          <w:szCs w:val="32"/>
        </w:rPr>
        <w:t>质量受权人因故不在岗时，经</w:t>
      </w:r>
      <w:r>
        <w:rPr>
          <w:rFonts w:hint="eastAsia" w:ascii="仿宋_GB2312" w:hAnsi="仿宋_GB2312" w:eastAsia="仿宋_GB2312" w:cs="仿宋_GB2312"/>
          <w:color w:val="000000"/>
          <w:sz w:val="32"/>
          <w:szCs w:val="32"/>
          <w:shd w:val="clear" w:fill="FFFFFF"/>
        </w:rPr>
        <w:t>企业法定代表人或者企业负责人批准后，</w:t>
      </w:r>
      <w:r>
        <w:rPr>
          <w:rFonts w:hint="eastAsia" w:ascii="仿宋_GB2312" w:hAnsi="仿宋_GB2312" w:eastAsia="仿宋_GB2312" w:cs="仿宋_GB2312"/>
          <w:color w:val="000000"/>
          <w:sz w:val="32"/>
          <w:szCs w:val="32"/>
        </w:rPr>
        <w:t>可以将其职责临时转授其他质量受权人或者具有相关资质的人员，并以书面形式规定转授权范围、事项及时限。</w:t>
      </w:r>
      <w:r>
        <w:rPr>
          <w:rFonts w:hint="eastAsia" w:ascii="仿宋_GB2312" w:hAnsi="仿宋_GB2312" w:eastAsia="仿宋_GB2312" w:cs="仿宋_GB2312"/>
          <w:color w:val="auto"/>
          <w:sz w:val="32"/>
          <w:szCs w:val="32"/>
        </w:rPr>
        <w:t>转授权期间，原质量受权人仍须承担相应责任。</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接受质量受权人转授权的人员，应当具备与受权人职责相适应的资质和工作能力，并经质量受权人培训后上岗。</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第二十三条 </w:t>
      </w:r>
      <w:r>
        <w:rPr>
          <w:rFonts w:hint="eastAsia" w:ascii="仿宋_GB2312" w:hAnsi="仿宋_GB2312" w:eastAsia="仿宋_GB2312" w:cs="仿宋_GB2312"/>
          <w:color w:val="000000"/>
          <w:sz w:val="32"/>
          <w:szCs w:val="32"/>
          <w:lang w:eastAsia="zh-CN"/>
        </w:rPr>
        <w:t>药品上市许可</w:t>
      </w:r>
      <w:r>
        <w:rPr>
          <w:rFonts w:hint="eastAsia" w:ascii="仿宋_GB2312" w:hAnsi="仿宋_GB2312" w:eastAsia="仿宋_GB2312" w:cs="仿宋_GB2312"/>
          <w:color w:val="000000"/>
          <w:sz w:val="32"/>
          <w:szCs w:val="32"/>
        </w:rPr>
        <w:t>持有人和药品生产企业应当建立有关质量受权人工作和职权转授的书面规程，相关规定和记录应当纳入企业质量管理文件系统，存档备查。</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第二十四条 </w:t>
      </w:r>
      <w:r>
        <w:rPr>
          <w:rFonts w:hint="eastAsia" w:ascii="黑体" w:hAnsi="黑体" w:eastAsia="黑体" w:cs="黑体"/>
          <w:color w:val="000000"/>
          <w:sz w:val="32"/>
          <w:szCs w:val="32"/>
          <w:lang w:val="en-US" w:eastAsia="zh-CN"/>
        </w:rPr>
        <w:t xml:space="preserve"> </w:t>
      </w:r>
      <w:r>
        <w:rPr>
          <w:rFonts w:hint="eastAsia" w:ascii="仿宋_GB2312" w:hAnsi="仿宋_GB2312" w:eastAsia="仿宋_GB2312" w:cs="仿宋_GB2312"/>
          <w:color w:val="000000"/>
          <w:sz w:val="32"/>
          <w:szCs w:val="32"/>
        </w:rPr>
        <w:t>质量受权人（质量管理负责人）应当积极参加培训教育活动，不断提高业务水平和工作能力。企业应当为质量管理负责人、质量受权人、质量转授权人参加培训教育提供条件。</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黑体" w:hAnsi="黑体" w:eastAsia="黑体" w:cs="黑体"/>
          <w:color w:val="000000"/>
          <w:sz w:val="32"/>
          <w:szCs w:val="32"/>
          <w:lang w:eastAsia="zh-CN"/>
        </w:rPr>
        <w:t>第二十五条 </w:t>
      </w:r>
      <w:r>
        <w:rPr>
          <w:rFonts w:hint="eastAsia" w:ascii="仿宋_GB2312" w:hAnsi="仿宋_GB2312" w:eastAsia="仿宋_GB2312" w:cs="仿宋_GB2312"/>
          <w:color w:val="000000"/>
          <w:sz w:val="32"/>
          <w:szCs w:val="32"/>
        </w:rPr>
        <w:t>质量受权人（质量管理负责人）应于每年1月31日前向</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书面提交上一年度述职报告，报告内容包括述职年度的企业质量管理体系运行情况、药品审核放行情况、药品质量安全风险识别及控制情况等，质量受权人（质量管理负责人）应对年度述职报告的真实性、完整性负责并签字确认。企业质量受权人与质量管理负责人为同一人的，撰写一份年度述职报告；不同的，分别撰写年度述职报告。</w:t>
      </w:r>
      <w:bookmarkEnd w:id="5"/>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eastAsia" w:ascii="黑体" w:hAnsi="黑体" w:eastAsia="黑体" w:cs="黑体"/>
          <w:color w:val="000000"/>
          <w:sz w:val="32"/>
          <w:szCs w:val="32"/>
        </w:rPr>
      </w:pPr>
      <w:r>
        <w:rPr>
          <w:rFonts w:hint="eastAsia" w:ascii="黑体" w:hAnsi="黑体" w:eastAsia="黑体" w:cs="黑体"/>
          <w:color w:val="000000"/>
          <w:sz w:val="32"/>
          <w:szCs w:val="32"/>
        </w:rPr>
        <w:t> 第五章 停产复产管理</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lang w:val="en-US" w:eastAsia="zh-CN"/>
        </w:rPr>
      </w:pPr>
      <w:r>
        <w:rPr>
          <w:rFonts w:hint="eastAsia" w:ascii="黑体" w:hAnsi="黑体" w:eastAsia="黑体" w:cs="黑体"/>
          <w:color w:val="000000"/>
          <w:sz w:val="32"/>
          <w:szCs w:val="32"/>
          <w:lang w:eastAsia="zh-CN"/>
        </w:rPr>
        <w:t>第二十六条 </w:t>
      </w:r>
      <w:bookmarkStart w:id="6" w:name="OLE_LINK8"/>
      <w:r>
        <w:rPr>
          <w:rFonts w:hint="eastAsia" w:ascii="仿宋_GB2312" w:hAnsi="仿宋_GB2312" w:eastAsia="仿宋_GB2312" w:cs="仿宋_GB2312"/>
          <w:color w:val="000000"/>
          <w:sz w:val="32"/>
          <w:szCs w:val="32"/>
          <w:lang w:val="en-US" w:eastAsia="zh-CN"/>
        </w:rPr>
        <w:t>药品生产单位停止生产的，应当在计划停产实施1个月前向药品监管处报告。长期停产的，还应当提交《长期停产报告表》（附件2），停产报告应经法定代表人（或企业负责人）签字并加盖单位公章。</w:t>
      </w:r>
    </w:p>
    <w:bookmarkEnd w:id="6"/>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第二十七条 </w:t>
      </w:r>
      <w:r>
        <w:rPr>
          <w:rFonts w:hint="eastAsia" w:ascii="仿宋_GB2312" w:hAnsi="仿宋_GB2312" w:eastAsia="仿宋_GB2312" w:cs="仿宋_GB2312"/>
          <w:color w:val="000000"/>
          <w:sz w:val="32"/>
          <w:szCs w:val="32"/>
          <w:lang w:val="en-US" w:eastAsia="zh-CN"/>
        </w:rPr>
        <w:t>药品生产单位停产期间，要按照GMP、GPP</w:t>
      </w:r>
      <w:r>
        <w:rPr>
          <w:rFonts w:hint="eastAsia" w:ascii="仿宋_GB2312" w:hAnsi="仿宋_GB2312" w:eastAsia="仿宋_GB2312" w:cs="仿宋_GB2312"/>
          <w:color w:val="000000"/>
          <w:sz w:val="32"/>
          <w:szCs w:val="32"/>
        </w:rPr>
        <w:t>等要求，做好厂房设施设备的维护及仓库原辅料、半成品、成品等物料的贮存管理</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切实履行药品全生命周期质量安全的主体责任。</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黑体" w:hAnsi="黑体" w:eastAsia="黑体" w:cs="黑体"/>
          <w:color w:val="000000"/>
          <w:sz w:val="32"/>
          <w:szCs w:val="32"/>
          <w:lang w:eastAsia="zh-CN"/>
        </w:rPr>
        <w:t>第二十八条 </w:t>
      </w:r>
      <w:r>
        <w:rPr>
          <w:rFonts w:hint="eastAsia" w:ascii="仿宋_GB2312" w:hAnsi="仿宋_GB2312" w:eastAsia="仿宋_GB2312" w:cs="仿宋_GB2312"/>
          <w:color w:val="000000"/>
          <w:sz w:val="32"/>
          <w:szCs w:val="32"/>
          <w:lang w:eastAsia="zh-CN"/>
        </w:rPr>
        <w:t>长期停产药品生产单位恢复生产，应当向药品监管处</w:t>
      </w:r>
      <w:r>
        <w:rPr>
          <w:rFonts w:hint="eastAsia" w:ascii="仿宋_GB2312" w:hAnsi="仿宋_GB2312" w:eastAsia="仿宋_GB2312" w:cs="仿宋_GB2312"/>
          <w:color w:val="000000"/>
          <w:sz w:val="32"/>
          <w:szCs w:val="32"/>
        </w:rPr>
        <w:t>提出书面报告。</w:t>
      </w:r>
      <w:bookmarkStart w:id="7" w:name="OLE_LINK10"/>
      <w:r>
        <w:rPr>
          <w:rFonts w:hint="eastAsia" w:ascii="仿宋_GB2312" w:hAnsi="仿宋_GB2312" w:eastAsia="仿宋_GB2312" w:cs="仿宋_GB2312"/>
          <w:color w:val="000000"/>
          <w:sz w:val="32"/>
          <w:szCs w:val="32"/>
          <w:lang w:eastAsia="zh-CN"/>
        </w:rPr>
        <w:t>药品生产单位</w:t>
      </w:r>
      <w:r>
        <w:rPr>
          <w:rFonts w:hint="eastAsia" w:ascii="仿宋_GB2312" w:hAnsi="仿宋_GB2312" w:eastAsia="仿宋_GB2312" w:cs="仿宋_GB2312"/>
          <w:color w:val="000000"/>
          <w:sz w:val="32"/>
          <w:szCs w:val="32"/>
        </w:rPr>
        <w:t>长期停产拟恢复生产的，由</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组织开展GMP</w:t>
      </w:r>
      <w:r>
        <w:rPr>
          <w:rFonts w:hint="eastAsia" w:ascii="仿宋_GB2312" w:hAnsi="仿宋_GB2312" w:eastAsia="仿宋_GB2312" w:cs="仿宋_GB2312"/>
          <w:color w:val="000000"/>
          <w:sz w:val="32"/>
          <w:szCs w:val="32"/>
          <w:lang w:val="en-US" w:eastAsia="zh-CN"/>
        </w:rPr>
        <w:t>或GPP</w:t>
      </w:r>
      <w:r>
        <w:rPr>
          <w:rFonts w:hint="eastAsia" w:ascii="仿宋_GB2312" w:hAnsi="仿宋_GB2312" w:eastAsia="仿宋_GB2312" w:cs="仿宋_GB2312"/>
          <w:color w:val="000000"/>
          <w:sz w:val="32"/>
          <w:szCs w:val="32"/>
        </w:rPr>
        <w:t>符合性检查</w:t>
      </w:r>
      <w:r>
        <w:rPr>
          <w:rFonts w:hint="eastAsia" w:ascii="仿宋_GB2312" w:hAnsi="仿宋_GB2312" w:eastAsia="仿宋_GB2312" w:cs="仿宋_GB2312"/>
          <w:color w:val="000000"/>
          <w:sz w:val="32"/>
          <w:szCs w:val="32"/>
          <w:lang w:eastAsia="zh-CN"/>
        </w:rPr>
        <w:t>。</w:t>
      </w:r>
      <w:bookmarkEnd w:id="7"/>
      <w:r>
        <w:rPr>
          <w:rFonts w:hint="eastAsia" w:ascii="仿宋_GB2312" w:hAnsi="仿宋_GB2312" w:eastAsia="仿宋_GB2312" w:cs="仿宋_GB2312"/>
          <w:color w:val="000000"/>
          <w:sz w:val="32"/>
          <w:szCs w:val="32"/>
          <w:lang w:eastAsia="zh-CN"/>
        </w:rPr>
        <w:t>药品生产单位</w:t>
      </w:r>
      <w:r>
        <w:rPr>
          <w:rFonts w:hint="eastAsia" w:ascii="仿宋_GB2312" w:hAnsi="仿宋_GB2312" w:eastAsia="仿宋_GB2312" w:cs="仿宋_GB2312"/>
          <w:color w:val="000000"/>
          <w:sz w:val="32"/>
          <w:szCs w:val="32"/>
        </w:rPr>
        <w:t>应填写《恢复生产报告表》（附件5，一式三份），并同时提交以下资料：</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（一）对照GMP或者GPP的自查报告；</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（二）生产、质量管理人员变更情况；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（三）主要生产设施、设备、原辅料、包材的变更情况；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（四）按GMP或者GPP要求进行主要生产设施、设备的再确认、再验证情况；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（五）恢复生产的三批产品工艺验证完成情况。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lang w:eastAsia="zh-CN"/>
        </w:rPr>
      </w:pPr>
      <w:r>
        <w:rPr>
          <w:rFonts w:hint="eastAsia" w:ascii="黑体" w:hAnsi="黑体" w:eastAsia="黑体" w:cs="黑体"/>
          <w:color w:val="000000"/>
          <w:sz w:val="32"/>
          <w:szCs w:val="32"/>
          <w:lang w:eastAsia="zh-CN"/>
        </w:rPr>
        <w:t>第二十九条</w:t>
      </w:r>
      <w:r>
        <w:rPr>
          <w:rFonts w:hint="eastAsia" w:ascii="仿宋_GB2312" w:hAnsi="仿宋_GB2312" w:eastAsia="仿宋_GB2312" w:cs="仿宋_GB2312"/>
          <w:color w:val="000000"/>
          <w:sz w:val="32"/>
          <w:szCs w:val="32"/>
        </w:rPr>
        <w:t> </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收到药品生产单位恢复生产的资料后，</w:t>
      </w:r>
      <w:r>
        <w:rPr>
          <w:rFonts w:hint="eastAsia" w:ascii="仿宋_GB2312" w:hAnsi="仿宋_GB2312" w:eastAsia="仿宋_GB2312" w:cs="仿宋_GB2312"/>
          <w:color w:val="000000"/>
          <w:sz w:val="32"/>
          <w:szCs w:val="32"/>
          <w:lang w:eastAsia="zh-CN"/>
        </w:rPr>
        <w:t>经审核符合要求后，委托藏药审评中心按照《西藏自治区药品生产质量管理规范符合性检查工作程序》开展。</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黑体" w:hAnsi="黑体" w:eastAsia="黑体" w:cs="黑体"/>
          <w:color w:val="000000"/>
          <w:sz w:val="32"/>
          <w:szCs w:val="32"/>
          <w:lang w:eastAsia="zh-CN"/>
        </w:rPr>
        <w:t>第三十条 </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应当加强辖区内长期停产的药品生产单位的监督管理，对恢复生产不提出报告的单位，应当予以告诫或约谈，并列为重点监管对象，加大日常监管和产品抽检力度，对发现的违法违规问题，按照有关法律法规处理。</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eastAsia" w:ascii="黑体" w:hAnsi="黑体" w:eastAsia="黑体" w:cs="黑体"/>
          <w:color w:val="000000"/>
          <w:sz w:val="32"/>
          <w:szCs w:val="32"/>
        </w:rPr>
      </w:pPr>
      <w:r>
        <w:rPr>
          <w:rFonts w:hint="eastAsia" w:ascii="黑体" w:hAnsi="黑体" w:eastAsia="黑体" w:cs="黑体"/>
          <w:color w:val="000000"/>
          <w:sz w:val="32"/>
          <w:szCs w:val="32"/>
        </w:rPr>
        <w:t>第六章 仓储、公用系统、质量控制实验室变更管理</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第三十一条 </w:t>
      </w:r>
      <w:r>
        <w:rPr>
          <w:rFonts w:hint="eastAsia" w:ascii="仿宋_GB2312" w:hAnsi="仿宋_GB2312" w:eastAsia="仿宋_GB2312" w:cs="仿宋_GB2312"/>
          <w:color w:val="000000"/>
          <w:sz w:val="32"/>
          <w:szCs w:val="32"/>
        </w:rPr>
        <w:t>仓储、公用系统、质量控制实验室变更管理是对《药品上市后变更管理办法</w:t>
      </w:r>
      <w:r>
        <w:rPr>
          <w:rFonts w:hint="eastAsia" w:ascii="仿宋_GB2312" w:hAnsi="仿宋_GB2312" w:eastAsia="仿宋_GB2312" w:cs="仿宋_GB2312"/>
          <w:color w:val="000000"/>
          <w:sz w:val="32"/>
          <w:szCs w:val="32"/>
          <w:lang w:eastAsia="zh-CN"/>
        </w:rPr>
        <w:t>（试行）</w:t>
      </w:r>
      <w:r>
        <w:rPr>
          <w:rFonts w:hint="eastAsia" w:ascii="仿宋_GB2312" w:hAnsi="仿宋_GB2312" w:eastAsia="仿宋_GB2312" w:cs="仿宋_GB2312"/>
          <w:color w:val="000000"/>
          <w:sz w:val="32"/>
          <w:szCs w:val="32"/>
        </w:rPr>
        <w:t>》以及有关变更技术指导原则等相关规定的补充，药品生产企业</w:t>
      </w:r>
      <w:r>
        <w:rPr>
          <w:rFonts w:hint="eastAsia" w:ascii="仿宋_GB2312" w:hAnsi="仿宋_GB2312" w:eastAsia="仿宋_GB2312" w:cs="仿宋_GB2312"/>
          <w:color w:val="000000"/>
          <w:sz w:val="32"/>
          <w:szCs w:val="32"/>
          <w:lang w:eastAsia="zh-CN"/>
        </w:rPr>
        <w:t>、医疗机构制剂室</w:t>
      </w:r>
      <w:r>
        <w:rPr>
          <w:rFonts w:hint="eastAsia" w:ascii="仿宋_GB2312" w:hAnsi="仿宋_GB2312" w:eastAsia="仿宋_GB2312" w:cs="仿宋_GB2312"/>
          <w:color w:val="000000"/>
          <w:sz w:val="32"/>
          <w:szCs w:val="32"/>
        </w:rPr>
        <w:t>是仓储、公用系统、质量控制实验室变更的责任主体，应当建立相应的变更控制体系，相关变更不得对药品的安全性、有效性和质量可控性产生不良影响。</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第三十二条 </w:t>
      </w:r>
      <w:r>
        <w:rPr>
          <w:rFonts w:hint="eastAsia" w:ascii="仿宋_GB2312" w:hAnsi="仿宋_GB2312" w:eastAsia="仿宋_GB2312" w:cs="仿宋_GB2312"/>
          <w:color w:val="000000"/>
          <w:sz w:val="32"/>
          <w:szCs w:val="32"/>
        </w:rPr>
        <w:t>仓储、公用系统、质量控制实验室变更包含以下情形：</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（一）新增、更换空调净化系统；</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（二）新增、更换工艺气体系统等；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（三）新增、更换制药用水系统；</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（四）新建、改建、扩建质量控制实验室；</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（五）新建、改建、扩建仓库等；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（六）其他情形。</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第三十三条</w:t>
      </w:r>
      <w:r>
        <w:rPr>
          <w:rFonts w:hint="eastAsia" w:ascii="仿宋_GB2312" w:hAnsi="仿宋_GB2312" w:eastAsia="仿宋_GB2312" w:cs="仿宋_GB2312"/>
          <w:color w:val="000000"/>
          <w:sz w:val="32"/>
          <w:szCs w:val="32"/>
        </w:rPr>
        <w:t> 药品生产企业</w:t>
      </w:r>
      <w:r>
        <w:rPr>
          <w:rFonts w:hint="eastAsia" w:ascii="仿宋_GB2312" w:hAnsi="仿宋_GB2312" w:eastAsia="仿宋_GB2312" w:cs="仿宋_GB2312"/>
          <w:color w:val="000000"/>
          <w:sz w:val="32"/>
          <w:szCs w:val="32"/>
          <w:lang w:eastAsia="zh-CN"/>
        </w:rPr>
        <w:t>、医疗机构制剂室</w:t>
      </w:r>
      <w:r>
        <w:rPr>
          <w:rFonts w:hint="eastAsia" w:ascii="仿宋_GB2312" w:hAnsi="仿宋_GB2312" w:eastAsia="仿宋_GB2312" w:cs="仿宋_GB2312"/>
          <w:color w:val="000000"/>
          <w:sz w:val="32"/>
          <w:szCs w:val="32"/>
        </w:rPr>
        <w:t>涉及仓储、公用系统、质量控制实验室变更的，应当在实施变更后30个工作日内向</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报告，并在年度报告中详细载明。报告的材料应包含：</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（一）企业变更情况及自查报告；</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（二）变更事项所涉及的质量控制实验室、仓储区平面图，并标明人流、物流流向和空气洁净度级别，空调净化系统的送风、回风、排风平面布置图(原图及变更后图纸)；</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（三）变更事项涉及的空调净化系统、制药用水系统主要设施、设备验证概况；</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（四）变更事项需经消防、环保部门同意的，应当报送符合消防和环保要求的证明文件；</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（五）质量控制实验室变更事项涉及的主要检验仪器目录；</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（六）经办人员身份证复印件和法人代表委托书。</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第三十四条</w:t>
      </w:r>
      <w:r>
        <w:rPr>
          <w:rFonts w:hint="eastAsia" w:ascii="仿宋_GB2312" w:hAnsi="仿宋_GB2312" w:eastAsia="仿宋_GB2312" w:cs="仿宋_GB2312"/>
          <w:color w:val="000000"/>
          <w:sz w:val="32"/>
          <w:szCs w:val="32"/>
        </w:rPr>
        <w:t> </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应当结合日常监管加强对辖药品生产企业</w:t>
      </w:r>
      <w:r>
        <w:rPr>
          <w:rFonts w:hint="eastAsia" w:ascii="仿宋_GB2312" w:hAnsi="仿宋_GB2312" w:eastAsia="仿宋_GB2312" w:cs="仿宋_GB2312"/>
          <w:color w:val="000000"/>
          <w:sz w:val="32"/>
          <w:szCs w:val="32"/>
          <w:lang w:eastAsia="zh-CN"/>
        </w:rPr>
        <w:t>、医疗机构制剂室</w:t>
      </w:r>
      <w:r>
        <w:rPr>
          <w:rFonts w:hint="eastAsia" w:ascii="仿宋_GB2312" w:hAnsi="仿宋_GB2312" w:eastAsia="仿宋_GB2312" w:cs="仿宋_GB2312"/>
          <w:color w:val="000000"/>
          <w:sz w:val="32"/>
          <w:szCs w:val="32"/>
        </w:rPr>
        <w:t>仓储、公用系统、质量控制实验室变更的监督管理，对其变更控制体系进行监督检查，督促其履行变更管理的责任</w:t>
      </w:r>
      <w:r>
        <w:rPr>
          <w:rFonts w:hint="eastAsia" w:ascii="仿宋_GB2312" w:hAnsi="仿宋_GB2312" w:eastAsia="仿宋_GB2312" w:cs="仿宋_GB2312"/>
          <w:color w:val="000000"/>
          <w:sz w:val="32"/>
          <w:szCs w:val="32"/>
          <w:lang w:eastAsia="zh-CN"/>
        </w:rPr>
        <w:t>。若在</w:t>
      </w:r>
      <w:r>
        <w:rPr>
          <w:rFonts w:hint="eastAsia" w:ascii="仿宋_GB2312" w:hAnsi="仿宋_GB2312" w:eastAsia="仿宋_GB2312" w:cs="仿宋_GB2312"/>
          <w:color w:val="000000"/>
          <w:sz w:val="32"/>
          <w:szCs w:val="32"/>
        </w:rPr>
        <w:t>检查过程发现</w:t>
      </w:r>
      <w:r>
        <w:rPr>
          <w:rFonts w:hint="eastAsia" w:ascii="仿宋_GB2312" w:hAnsi="仿宋_GB2312" w:eastAsia="仿宋_GB2312" w:cs="仿宋_GB2312"/>
          <w:color w:val="000000"/>
          <w:sz w:val="32"/>
          <w:szCs w:val="32"/>
          <w:lang w:eastAsia="zh-CN"/>
        </w:rPr>
        <w:t>企业存在</w:t>
      </w:r>
      <w:r>
        <w:rPr>
          <w:rFonts w:hint="eastAsia" w:ascii="仿宋_GB2312" w:hAnsi="仿宋_GB2312" w:eastAsia="仿宋_GB2312" w:cs="仿宋_GB2312"/>
          <w:color w:val="000000"/>
          <w:sz w:val="32"/>
          <w:szCs w:val="32"/>
        </w:rPr>
        <w:t>风险隐患的应及时采取相应的风险控制措施。</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center"/>
        <w:textAlignment w:val="auto"/>
        <w:rPr>
          <w:rFonts w:hint="eastAsia" w:ascii="黑体" w:hAnsi="黑体" w:eastAsia="黑体" w:cs="黑体"/>
          <w:color w:val="000000"/>
          <w:sz w:val="32"/>
          <w:szCs w:val="32"/>
          <w:lang w:eastAsia="zh-CN"/>
        </w:rPr>
      </w:pPr>
      <w:r>
        <w:rPr>
          <w:rFonts w:hint="eastAsia" w:ascii="黑体" w:hAnsi="黑体" w:eastAsia="黑体" w:cs="黑体"/>
          <w:color w:val="000000"/>
          <w:sz w:val="32"/>
          <w:szCs w:val="32"/>
          <w:lang w:eastAsia="zh-CN"/>
        </w:rPr>
        <w:t>第七章  行政处理</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黑体" w:hAnsi="黑体" w:eastAsia="黑体" w:cs="黑体"/>
          <w:color w:val="000000"/>
          <w:sz w:val="32"/>
          <w:szCs w:val="32"/>
          <w:lang w:eastAsia="zh-CN"/>
        </w:rPr>
        <w:t>第三十五条 </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根据监督检查情况，对有证据证明可能存在安全隐患的，应当依法采取告诫、约谈、限期整改以及暂停生产、销售、使用、进口等措施。同时责令被检查单位对已上市药品的风险进行全面分析，采取召回等控制措施。</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第三十六条 </w:t>
      </w:r>
      <w:r>
        <w:rPr>
          <w:rFonts w:hint="eastAsia" w:ascii="仿宋_GB2312" w:hAnsi="仿宋_GB2312" w:eastAsia="仿宋_GB2312" w:cs="仿宋_GB2312"/>
          <w:color w:val="000000"/>
          <w:sz w:val="32"/>
          <w:szCs w:val="32"/>
        </w:rPr>
        <w:t>检查结论为“符合要求”或“待整改后评定”的，</w:t>
      </w:r>
      <w:r>
        <w:rPr>
          <w:rFonts w:hint="eastAsia" w:ascii="仿宋_GB2312" w:hAnsi="仿宋_GB2312" w:eastAsia="仿宋_GB2312" w:cs="仿宋_GB2312"/>
          <w:color w:val="000000"/>
          <w:sz w:val="32"/>
          <w:szCs w:val="32"/>
          <w:lang w:eastAsia="zh-CN"/>
        </w:rPr>
        <w:t>藏药审评中心</w:t>
      </w:r>
      <w:r>
        <w:rPr>
          <w:rFonts w:hint="eastAsia" w:ascii="仿宋_GB2312" w:hAnsi="仿宋_GB2312" w:eastAsia="仿宋_GB2312" w:cs="仿宋_GB2312"/>
          <w:color w:val="000000"/>
          <w:sz w:val="32"/>
          <w:szCs w:val="32"/>
        </w:rPr>
        <w:t>对被检查单位提交的整改材料进行书面审查，评估企业缺陷整改完成情况。根据整改报告审核情况，可要求被检查单位补充提交整改材料，必要时可进行现场复核。</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第三十七条</w:t>
      </w:r>
      <w:r>
        <w:rPr>
          <w:rFonts w:hint="eastAsia" w:ascii="仿宋_GB2312" w:hAnsi="仿宋_GB2312" w:eastAsia="仿宋_GB2312" w:cs="仿宋_GB2312"/>
          <w:color w:val="000000"/>
          <w:sz w:val="32"/>
          <w:szCs w:val="32"/>
        </w:rPr>
        <w:t> 检查结论判定为“不符合要求”的，</w:t>
      </w:r>
      <w:r>
        <w:rPr>
          <w:rFonts w:hint="eastAsia" w:ascii="仿宋_GB2312" w:hAnsi="仿宋_GB2312" w:eastAsia="仿宋_GB2312" w:cs="仿宋_GB2312"/>
          <w:color w:val="000000"/>
          <w:sz w:val="32"/>
          <w:szCs w:val="32"/>
          <w:lang w:eastAsia="zh-CN"/>
        </w:rPr>
        <w:t>药品监管处</w:t>
      </w:r>
      <w:r>
        <w:rPr>
          <w:rFonts w:hint="eastAsia" w:ascii="仿宋_GB2312" w:hAnsi="仿宋_GB2312" w:eastAsia="仿宋_GB2312" w:cs="仿宋_GB2312"/>
          <w:color w:val="000000"/>
          <w:sz w:val="32"/>
          <w:szCs w:val="32"/>
        </w:rPr>
        <w:t>应当依法采取告诫、约谈、限期整改以及暂停生产、销售、使用、进口等风险控制措施，消除安全隐患</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并依据《药品管理法》等相关规定进行处理。</w:t>
      </w:r>
      <w:r>
        <w:rPr>
          <w:rFonts w:hint="eastAsia" w:ascii="仿宋_GB2312" w:hAnsi="仿宋_GB2312" w:eastAsia="仿宋_GB2312" w:cs="仿宋_GB2312"/>
          <w:color w:val="000000"/>
          <w:sz w:val="32"/>
          <w:szCs w:val="32"/>
          <w:lang w:eastAsia="zh-CN"/>
        </w:rPr>
        <w:t>藏药审评中心</w:t>
      </w:r>
      <w:r>
        <w:rPr>
          <w:rFonts w:hint="eastAsia" w:ascii="仿宋_GB2312" w:hAnsi="仿宋_GB2312" w:eastAsia="仿宋_GB2312" w:cs="仿宋_GB2312"/>
          <w:color w:val="000000"/>
          <w:sz w:val="32"/>
          <w:szCs w:val="32"/>
        </w:rPr>
        <w:t>对被检查单位提交的整改材料进行书面审查，评估企业缺陷整改完成情况。根据整改报告审核情况，可要求被检查单位补充提交整改材料，必要时可进行现场复核。</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tabs>
          <w:tab w:val="left" w:pos="0"/>
        </w:tabs>
        <w:kinsoku/>
        <w:wordWrap/>
        <w:overflowPunct/>
        <w:topLinePunct w:val="0"/>
        <w:autoSpaceDE/>
        <w:autoSpaceDN/>
        <w:bidi w:val="0"/>
        <w:adjustRightInd/>
        <w:snapToGrid/>
        <w:spacing w:before="0" w:beforeAutospacing="0" w:after="0" w:afterAutospacing="0" w:line="576" w:lineRule="exact"/>
        <w:ind w:left="0" w:leftChars="0" w:right="0" w:rightChars="0" w:firstLine="630"/>
        <w:jc w:val="center"/>
        <w:textAlignment w:val="auto"/>
        <w:rPr>
          <w:rFonts w:hint="eastAsia" w:ascii="黑体" w:hAnsi="黑体" w:eastAsia="黑体" w:cs="黑体"/>
          <w:color w:val="000000"/>
          <w:sz w:val="32"/>
          <w:szCs w:val="32"/>
          <w:lang w:eastAsia="zh-CN"/>
        </w:rPr>
      </w:pPr>
      <w:r>
        <w:rPr>
          <w:rFonts w:hint="eastAsia" w:ascii="黑体" w:hAnsi="黑体" w:eastAsia="黑体" w:cs="黑体"/>
          <w:color w:val="000000"/>
          <w:sz w:val="32"/>
          <w:szCs w:val="32"/>
          <w:lang w:eastAsia="zh-CN"/>
        </w:rPr>
        <w:t>第八章 监管责任</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黑体" w:hAnsi="黑体" w:eastAsia="黑体" w:cs="黑体"/>
          <w:color w:val="000000"/>
          <w:sz w:val="32"/>
          <w:szCs w:val="32"/>
          <w:lang w:eastAsia="zh-CN"/>
        </w:rPr>
        <w:t>第三十八条 </w:t>
      </w:r>
      <w:r>
        <w:rPr>
          <w:rFonts w:hint="eastAsia" w:ascii="仿宋_GB2312" w:hAnsi="仿宋_GB2312" w:eastAsia="仿宋_GB2312" w:cs="仿宋_GB2312"/>
          <w:color w:val="000000"/>
          <w:sz w:val="32"/>
          <w:szCs w:val="32"/>
        </w:rPr>
        <w:t>药品监督管理人员</w:t>
      </w:r>
      <w:r>
        <w:rPr>
          <w:rFonts w:hint="eastAsia" w:ascii="仿宋_GB2312" w:hAnsi="仿宋_GB2312" w:eastAsia="仿宋_GB2312" w:cs="仿宋_GB2312"/>
          <w:color w:val="000000"/>
          <w:sz w:val="32"/>
          <w:szCs w:val="32"/>
          <w:lang w:eastAsia="zh-CN"/>
        </w:rPr>
        <w:t>（含检查人员）</w:t>
      </w:r>
      <w:r>
        <w:rPr>
          <w:rFonts w:hint="eastAsia" w:ascii="仿宋_GB2312" w:hAnsi="仿宋_GB2312" w:eastAsia="仿宋_GB2312" w:cs="仿宋_GB2312"/>
          <w:color w:val="000000"/>
          <w:sz w:val="32"/>
          <w:szCs w:val="32"/>
        </w:rPr>
        <w:t>应当熟练掌握药品管理法律、法规、规章和相关的专业知识，依照法定权限和程序行使职权，忠于职守，公平公正</w:t>
      </w:r>
      <w:r>
        <w:rPr>
          <w:rFonts w:hint="eastAsia" w:ascii="仿宋_GB2312" w:hAnsi="仿宋_GB2312" w:eastAsia="仿宋_GB2312" w:cs="仿宋_GB2312"/>
          <w:color w:val="000000"/>
          <w:sz w:val="32"/>
          <w:szCs w:val="32"/>
          <w:lang w:eastAsia="zh-CN"/>
        </w:rPr>
        <w:t>，并</w:t>
      </w:r>
      <w:r>
        <w:rPr>
          <w:rFonts w:hint="eastAsia" w:ascii="仿宋_GB2312" w:hAnsi="仿宋_GB2312" w:eastAsia="仿宋_GB2312" w:cs="仿宋_GB2312"/>
          <w:color w:val="000000"/>
          <w:sz w:val="32"/>
          <w:szCs w:val="32"/>
        </w:rPr>
        <w:t>对知悉的企业技术秘密和商业秘密应当保密。</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第三十九条 </w:t>
      </w:r>
      <w:r>
        <w:rPr>
          <w:rFonts w:hint="eastAsia" w:ascii="仿宋_GB2312" w:hAnsi="仿宋_GB2312" w:eastAsia="仿宋_GB2312" w:cs="仿宋_GB2312"/>
          <w:color w:val="000000"/>
          <w:sz w:val="32"/>
          <w:szCs w:val="32"/>
        </w:rPr>
        <w:t> </w:t>
      </w:r>
      <w:r>
        <w:rPr>
          <w:rFonts w:hint="eastAsia" w:ascii="仿宋_GB2312" w:hAnsi="仿宋_GB2312" w:eastAsia="仿宋_GB2312" w:cs="仿宋_GB2312"/>
          <w:color w:val="000000"/>
          <w:sz w:val="32"/>
          <w:szCs w:val="32"/>
          <w:lang w:eastAsia="zh-CN"/>
        </w:rPr>
        <w:t>在</w:t>
      </w:r>
      <w:r>
        <w:rPr>
          <w:rFonts w:hint="eastAsia" w:ascii="仿宋_GB2312" w:hAnsi="仿宋_GB2312" w:eastAsia="仿宋_GB2312" w:cs="仿宋_GB2312"/>
          <w:color w:val="000000"/>
          <w:sz w:val="32"/>
          <w:szCs w:val="32"/>
        </w:rPr>
        <w:t>开展日常监管工作，</w:t>
      </w:r>
      <w:r>
        <w:rPr>
          <w:rFonts w:hint="eastAsia" w:ascii="仿宋_GB2312" w:hAnsi="仿宋_GB2312" w:eastAsia="仿宋_GB2312" w:cs="仿宋_GB2312"/>
          <w:color w:val="000000"/>
          <w:sz w:val="32"/>
          <w:szCs w:val="32"/>
          <w:lang w:eastAsia="zh-CN"/>
        </w:rPr>
        <w:t>检查员</w:t>
      </w:r>
      <w:r>
        <w:rPr>
          <w:rFonts w:hint="eastAsia" w:ascii="仿宋_GB2312" w:hAnsi="仿宋_GB2312" w:eastAsia="仿宋_GB2312" w:cs="仿宋_GB2312"/>
          <w:color w:val="000000"/>
          <w:sz w:val="32"/>
          <w:szCs w:val="32"/>
        </w:rPr>
        <w:t>不得妨碍药品生产单位的正常生产活动，不得索取或者收受药品生产单位的财物，不得谋取其他利益。</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第四十条</w:t>
      </w:r>
      <w:r>
        <w:rPr>
          <w:rFonts w:hint="eastAsia" w:ascii="仿宋_GB2312" w:hAnsi="仿宋_GB2312" w:eastAsia="仿宋_GB2312" w:cs="仿宋_GB2312"/>
          <w:color w:val="000000"/>
          <w:sz w:val="32"/>
          <w:szCs w:val="32"/>
        </w:rPr>
        <w:t> 药品监督管理人员未按规定履行日常监管职责、失职渎职或者存在违法违纪行为的，造成危害后果或者不良影响的，依法追究有关责任，并按有关规定处理。</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eastAsia" w:ascii="黑体" w:hAnsi="黑体" w:eastAsia="黑体" w:cs="黑体"/>
          <w:color w:val="000000"/>
          <w:sz w:val="32"/>
          <w:szCs w:val="32"/>
          <w:lang w:eastAsia="zh-CN"/>
        </w:rPr>
        <w:t>第四十一条</w:t>
      </w:r>
      <w:r>
        <w:rPr>
          <w:rFonts w:hint="eastAsia" w:ascii="仿宋_GB2312" w:hAnsi="仿宋_GB2312" w:eastAsia="仿宋_GB2312" w:cs="仿宋_GB2312"/>
          <w:color w:val="000000"/>
          <w:sz w:val="32"/>
          <w:szCs w:val="32"/>
        </w:rPr>
        <w:t> 药品监督管理人员已依法履行监管职责，符合《市场监督管理行政执法责任制规定》尽职免责情形的，不构成行政执法过错行为，不应追究有关工作人员的行政执法责任。</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center"/>
        <w:textAlignment w:val="auto"/>
        <w:rPr>
          <w:rFonts w:hint="eastAsia" w:ascii="黑体" w:hAnsi="黑体" w:eastAsia="黑体" w:cs="黑体"/>
          <w:color w:val="000000"/>
          <w:sz w:val="32"/>
          <w:szCs w:val="32"/>
          <w:lang w:eastAsia="zh-CN"/>
        </w:rPr>
      </w:pPr>
      <w:r>
        <w:rPr>
          <w:rFonts w:hint="eastAsia" w:ascii="黑体" w:hAnsi="黑体" w:eastAsia="黑体" w:cs="黑体"/>
          <w:color w:val="000000"/>
          <w:sz w:val="32"/>
          <w:szCs w:val="32"/>
          <w:lang w:eastAsia="zh-CN"/>
        </w:rPr>
        <w:t>第九章 附 则</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第四十二条 </w:t>
      </w:r>
      <w:r>
        <w:rPr>
          <w:rFonts w:hint="eastAsia" w:ascii="仿宋_GB2312" w:hAnsi="仿宋_GB2312" w:eastAsia="仿宋_GB2312" w:cs="仿宋_GB2312"/>
          <w:color w:val="000000"/>
          <w:sz w:val="32"/>
          <w:szCs w:val="32"/>
        </w:rPr>
        <w:t>本规定下列用语的含义是：</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45"/>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药品生产单位是指涉及药品生产环节的企业，包括取得《药品生产许可证》的药品上市许可持有人及药品生产企业，取得《医疗机构制剂许可证》的医疗机构制剂室等。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45"/>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企业关键人员是指企业负责人、生产管理负责人、质量管理负责人、质量受权人、药物警戒负责人等。</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分类管理是指按照药品对人体的风险程度，将药品生产企业分为高风险药品生产企业和一般风险药品生产企业；高风险药品生产企业包括</w:t>
      </w:r>
      <w:r>
        <w:rPr>
          <w:rFonts w:hint="eastAsia" w:ascii="仿宋_GB2312" w:hAnsi="仿宋_GB2312" w:eastAsia="仿宋_GB2312" w:cs="仿宋_GB2312"/>
          <w:color w:val="000000"/>
          <w:sz w:val="32"/>
          <w:szCs w:val="32"/>
          <w:lang w:eastAsia="zh-CN"/>
        </w:rPr>
        <w:t>疫苗、</w:t>
      </w:r>
      <w:r>
        <w:rPr>
          <w:rFonts w:hint="eastAsia" w:ascii="仿宋_GB2312" w:hAnsi="仿宋_GB2312" w:eastAsia="仿宋_GB2312" w:cs="仿宋_GB2312"/>
          <w:color w:val="000000"/>
          <w:sz w:val="32"/>
          <w:szCs w:val="32"/>
        </w:rPr>
        <w:t>血液制品、放射性药品、医疗用毒性药品、无菌药品生产企业，其他为一般风险药品生产企业。</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rPr>
        <w:t>分级管理是指根据药品生产企业质量安全信用情况，将药品生产企业分为守信、基本守信、失信、严重失信四个等级。</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bookmarkStart w:id="8" w:name="OLE_LINK9"/>
      <w:r>
        <w:rPr>
          <w:rFonts w:hint="eastAsia" w:ascii="仿宋_GB2312" w:hAnsi="仿宋_GB2312" w:eastAsia="仿宋_GB2312" w:cs="仿宋_GB2312"/>
          <w:color w:val="000000"/>
          <w:sz w:val="32"/>
          <w:szCs w:val="32"/>
        </w:rPr>
        <w:t>长期停产是指高风险药品生产企业（含药品生产车间、生产线）连续停产6个月</w:t>
      </w:r>
      <w:r>
        <w:rPr>
          <w:rFonts w:hint="eastAsia" w:ascii="仿宋_GB2312" w:hAnsi="仿宋_GB2312" w:eastAsia="仿宋_GB2312" w:cs="仿宋_GB2312"/>
          <w:color w:val="000000"/>
          <w:sz w:val="32"/>
          <w:szCs w:val="32"/>
          <w:lang w:eastAsia="zh-CN"/>
        </w:rPr>
        <w:t>及</w:t>
      </w:r>
      <w:r>
        <w:rPr>
          <w:rFonts w:hint="eastAsia" w:ascii="仿宋_GB2312" w:hAnsi="仿宋_GB2312" w:eastAsia="仿宋_GB2312" w:cs="仿宋_GB2312"/>
          <w:color w:val="000000"/>
          <w:sz w:val="32"/>
          <w:szCs w:val="32"/>
        </w:rPr>
        <w:t>以上，一般风险药品生产企业（含药品生产车间、生产线）、医疗机构制剂室连续停产超过一年。</w:t>
      </w:r>
    </w:p>
    <w:bookmarkEnd w:id="8"/>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第四十三条 </w:t>
      </w:r>
      <w:r>
        <w:rPr>
          <w:rFonts w:hint="eastAsia" w:ascii="仿宋_GB2312" w:hAnsi="仿宋_GB2312" w:eastAsia="仿宋_GB2312" w:cs="仿宋_GB2312"/>
          <w:color w:val="000000"/>
          <w:sz w:val="32"/>
          <w:szCs w:val="32"/>
        </w:rPr>
        <w:t>本办法</w:t>
      </w:r>
      <w:r>
        <w:rPr>
          <w:rFonts w:hint="eastAsia" w:ascii="仿宋_GB2312" w:eastAsia="仿宋_GB2312"/>
          <w:sz w:val="32"/>
          <w:szCs w:val="32"/>
        </w:rPr>
        <w:t>由</w:t>
      </w:r>
      <w:r>
        <w:rPr>
          <w:rFonts w:hint="eastAsia" w:ascii="仿宋_GB2312" w:eastAsia="仿宋_GB2312"/>
          <w:sz w:val="32"/>
          <w:szCs w:val="32"/>
          <w:lang w:eastAsia="zh-CN"/>
        </w:rPr>
        <w:t>西藏自治区</w:t>
      </w:r>
      <w:r>
        <w:rPr>
          <w:rFonts w:hint="eastAsia" w:ascii="仿宋_GB2312" w:eastAsia="仿宋_GB2312"/>
          <w:sz w:val="32"/>
          <w:szCs w:val="32"/>
        </w:rPr>
        <w:t>药品监督管理局负责解释。</w:t>
      </w:r>
      <w:bookmarkStart w:id="9" w:name="OLE_LINK11"/>
      <w:r>
        <w:rPr>
          <w:rFonts w:hint="eastAsia" w:ascii="仿宋_GB2312" w:hAnsi="仿宋_GB2312" w:eastAsia="仿宋_GB2312" w:cs="仿宋_GB2312"/>
          <w:color w:val="000000"/>
          <w:sz w:val="32"/>
          <w:szCs w:val="32"/>
        </w:rPr>
        <w:t>法律法规及国家政策另有规定的，从其规定。</w:t>
      </w:r>
      <w:bookmarkEnd w:id="9"/>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sz w:val="32"/>
          <w:szCs w:val="32"/>
        </w:rPr>
      </w:pPr>
      <w:r>
        <w:rPr>
          <w:rFonts w:hint="eastAsia" w:ascii="黑体" w:hAnsi="黑体" w:eastAsia="黑体" w:cs="黑体"/>
          <w:color w:val="000000"/>
          <w:sz w:val="32"/>
          <w:szCs w:val="32"/>
          <w:lang w:eastAsia="zh-CN"/>
        </w:rPr>
        <w:t>第四十四条</w:t>
      </w:r>
      <w:r>
        <w:rPr>
          <w:rFonts w:hint="eastAsia" w:ascii="黑体" w:hAnsi="黑体" w:eastAsia="黑体" w:cs="黑体"/>
          <w:color w:val="000000"/>
          <w:sz w:val="32"/>
          <w:szCs w:val="32"/>
          <w:lang w:val="en-US" w:eastAsia="zh-CN"/>
        </w:rPr>
        <w:t xml:space="preserve"> </w:t>
      </w:r>
      <w:r>
        <w:rPr>
          <w:rFonts w:hint="eastAsia" w:ascii="仿宋_GB2312" w:eastAsia="仿宋_GB2312"/>
          <w:sz w:val="32"/>
          <w:szCs w:val="32"/>
          <w:lang w:val="en-US" w:eastAsia="zh-CN"/>
        </w:rPr>
        <w:t>本办法自</w:t>
      </w:r>
      <w:r>
        <w:rPr>
          <w:rFonts w:hint="eastAsia" w:ascii="仿宋_GB2312" w:hAnsi="仿宋_GB2312" w:eastAsia="仿宋_GB2312" w:cs="仿宋_GB2312"/>
          <w:color w:val="000000"/>
          <w:sz w:val="32"/>
          <w:szCs w:val="32"/>
          <w:lang w:eastAsia="zh-CN"/>
        </w:rPr>
        <w:t>印发之日起施行。</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pPr>
      <w: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rPr>
          <w:rFonts w:hint="eastAsia" w:ascii="黑体" w:hAnsi="黑体" w:eastAsia="黑体" w:cs="黑体"/>
          <w:lang w:eastAsia="zh-CN"/>
        </w:rPr>
      </w:pPr>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1</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pPr>
      <w:r>
        <w:rPr>
          <w:rFonts w:ascii="方正小标宋简体" w:hAnsi="方正小标宋简体" w:eastAsia="方正小标宋简体" w:cs="方正小标宋简体"/>
          <w:color w:val="000000"/>
          <w:sz w:val="36"/>
          <w:szCs w:val="36"/>
        </w:rPr>
        <w:t>药品质量受权人授权书（式样）</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420"/>
        <w:jc w:val="both"/>
      </w:pPr>
      <w: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default" w:ascii="仿宋_GB2312" w:hAnsi="仿宋_GB2312" w:eastAsia="仿宋_GB2312" w:cs="仿宋_GB2312"/>
          <w:color w:val="000000"/>
          <w:sz w:val="32"/>
          <w:szCs w:val="32"/>
        </w:rPr>
        <w:t>为落实企业主体责任，完善本企业药品质量管理体系，保证药品生产质量管理规范有效执行，确保药品质量，保障公众用药安全，根据《中华人民共和国药品管理法》《药品生产监督管理办法》及药品生产质量管理规范等规定，法定代表人</w:t>
      </w:r>
      <w:r>
        <w:rPr>
          <w:rFonts w:hint="default" w:ascii="仿宋_GB2312" w:hAnsi="仿宋_GB2312" w:eastAsia="仿宋_GB2312" w:cs="仿宋_GB2312"/>
          <w:color w:val="000000"/>
          <w:sz w:val="32"/>
          <w:szCs w:val="32"/>
          <w:u w:val="single"/>
        </w:rPr>
        <w:t>            </w:t>
      </w:r>
      <w:r>
        <w:rPr>
          <w:rFonts w:hint="default" w:ascii="仿宋_GB2312" w:hAnsi="仿宋_GB2312" w:eastAsia="仿宋_GB2312" w:cs="仿宋_GB2312"/>
          <w:color w:val="000000"/>
          <w:sz w:val="32"/>
          <w:szCs w:val="32"/>
        </w:rPr>
        <w:t>授权</w:t>
      </w:r>
      <w:r>
        <w:rPr>
          <w:rFonts w:hint="default" w:ascii="仿宋_GB2312" w:hAnsi="仿宋_GB2312" w:eastAsia="仿宋_GB2312" w:cs="仿宋_GB2312"/>
          <w:color w:val="000000"/>
          <w:sz w:val="32"/>
          <w:szCs w:val="32"/>
          <w:u w:val="single"/>
        </w:rPr>
        <w:t>            </w:t>
      </w:r>
      <w:r>
        <w:rPr>
          <w:rFonts w:hint="default" w:ascii="仿宋_GB2312" w:hAnsi="仿宋_GB2312" w:eastAsia="仿宋_GB2312" w:cs="仿宋_GB2312"/>
          <w:color w:val="000000"/>
          <w:sz w:val="32"/>
          <w:szCs w:val="32"/>
        </w:rPr>
        <w:t>为本企业质量受权人，在药品生产质量管理过程中行使质量受权人职权，负责</w:t>
      </w:r>
      <w:r>
        <w:rPr>
          <w:rFonts w:hint="default" w:ascii="仿宋_GB2312" w:hAnsi="仿宋_GB2312" w:eastAsia="仿宋_GB2312" w:cs="仿宋_GB2312"/>
          <w:color w:val="000000"/>
          <w:sz w:val="32"/>
          <w:szCs w:val="32"/>
          <w:u w:val="single"/>
        </w:rPr>
        <w:t>                  </w:t>
      </w:r>
      <w:r>
        <w:rPr>
          <w:rFonts w:hint="default" w:ascii="仿宋_GB2312" w:hAnsi="仿宋_GB2312" w:eastAsia="仿宋_GB2312" w:cs="仿宋_GB2312"/>
          <w:color w:val="000000"/>
          <w:sz w:val="32"/>
          <w:szCs w:val="32"/>
        </w:rPr>
        <w:t>（厂区和产品范围）产品的放行。企业保证为受权人开展工作提供必要的工作条件，确保受权人独立履行职责，不受企业内部因素的干扰。</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eastAsia" w:ascii="仿宋_GB2312" w:hAnsi="仿宋_GB2312" w:eastAsia="仿宋_GB2312" w:cs="仿宋_GB2312"/>
          <w:color w:val="000000"/>
          <w:sz w:val="32"/>
          <w:szCs w:val="32"/>
        </w:rPr>
      </w:pPr>
      <w:r>
        <w:rPr>
          <w:rFonts w:hint="default" w:ascii="仿宋_GB2312" w:hAnsi="仿宋_GB2312" w:eastAsia="仿宋_GB2312" w:cs="仿宋_GB2312"/>
          <w:color w:val="000000"/>
          <w:sz w:val="32"/>
          <w:szCs w:val="32"/>
        </w:rPr>
        <w:t>特此授权。</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765"/>
      </w:pPr>
      <w:r>
        <w:rPr>
          <w:rFonts w:hint="default" w:ascii="Times New Roman" w:hAnsi="Times New Roman" w:cs="Times New Roman"/>
          <w:color w:val="000000"/>
          <w:sz w:val="32"/>
          <w:szCs w:val="32"/>
        </w:rP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default" w:ascii="仿宋_GB2312" w:hAnsi="仿宋_GB2312" w:eastAsia="仿宋_GB2312" w:cs="仿宋_GB2312"/>
          <w:color w:val="000000"/>
          <w:sz w:val="32"/>
          <w:szCs w:val="32"/>
        </w:rPr>
      </w:pPr>
      <w:r>
        <w:rPr>
          <w:rFonts w:hint="default" w:ascii="仿宋_GB2312" w:hAnsi="仿宋_GB2312" w:eastAsia="仿宋_GB2312" w:cs="仿宋_GB2312"/>
          <w:color w:val="000000"/>
          <w:sz w:val="32"/>
          <w:szCs w:val="32"/>
        </w:rPr>
        <w:t>法定代表人签字：                     年   月   日</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default" w:ascii="仿宋_GB2312" w:hAnsi="仿宋_GB2312" w:eastAsia="仿宋_GB2312" w:cs="仿宋_GB2312"/>
          <w:color w:val="000000"/>
          <w:sz w:val="32"/>
          <w:szCs w:val="32"/>
        </w:rPr>
      </w:pPr>
      <w:r>
        <w:rPr>
          <w:rFonts w:hint="default" w:ascii="仿宋_GB2312" w:hAnsi="仿宋_GB2312" w:eastAsia="仿宋_GB2312" w:cs="仿宋_GB2312"/>
          <w:color w:val="000000"/>
          <w:sz w:val="32"/>
          <w:szCs w:val="32"/>
        </w:rP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default" w:ascii="仿宋_GB2312" w:hAnsi="仿宋_GB2312" w:eastAsia="仿宋_GB2312" w:cs="仿宋_GB2312"/>
          <w:color w:val="000000"/>
          <w:sz w:val="32"/>
          <w:szCs w:val="32"/>
        </w:rPr>
      </w:pPr>
      <w:r>
        <w:rPr>
          <w:rFonts w:hint="default" w:ascii="仿宋_GB2312" w:hAnsi="仿宋_GB2312" w:eastAsia="仿宋_GB2312" w:cs="仿宋_GB2312"/>
          <w:color w:val="000000"/>
          <w:sz w:val="32"/>
          <w:szCs w:val="32"/>
        </w:rPr>
        <w:t>受权人签字：                           年   月   日</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default" w:ascii="仿宋_GB2312" w:hAnsi="仿宋_GB2312" w:eastAsia="仿宋_GB2312" w:cs="仿宋_GB2312"/>
          <w:color w:val="000000"/>
          <w:sz w:val="32"/>
          <w:szCs w:val="32"/>
        </w:rPr>
      </w:pPr>
      <w:r>
        <w:rPr>
          <w:rFonts w:hint="default" w:ascii="仿宋_GB2312" w:hAnsi="仿宋_GB2312" w:eastAsia="仿宋_GB2312" w:cs="仿宋_GB2312"/>
          <w:color w:val="000000"/>
          <w:sz w:val="32"/>
          <w:szCs w:val="32"/>
        </w:rP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before="0" w:beforeAutospacing="0" w:after="0" w:afterAutospacing="0" w:line="576" w:lineRule="exact"/>
        <w:ind w:left="0" w:leftChars="0" w:right="0" w:rightChars="0" w:firstLine="630"/>
        <w:jc w:val="both"/>
        <w:textAlignment w:val="auto"/>
        <w:rPr>
          <w:rFonts w:hint="default" w:ascii="仿宋_GB2312" w:hAnsi="仿宋_GB2312" w:eastAsia="仿宋_GB2312" w:cs="仿宋_GB2312"/>
          <w:color w:val="000000"/>
          <w:sz w:val="32"/>
          <w:szCs w:val="32"/>
        </w:rPr>
      </w:pPr>
      <w:r>
        <w:rPr>
          <w:rFonts w:hint="default" w:ascii="仿宋_GB2312" w:hAnsi="仿宋_GB2312" w:eastAsia="仿宋_GB2312" w:cs="仿宋_GB2312"/>
          <w:color w:val="000000"/>
          <w:sz w:val="32"/>
          <w:szCs w:val="32"/>
        </w:rPr>
        <w:t>企业名称(盖章)：                      年   月   日</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pPr>
      <w: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pPr>
      <w: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rPr>
          <w:rFonts w:hint="eastAsia" w:eastAsiaTheme="minorEastAsia"/>
          <w:lang w:eastAsia="zh-CN"/>
        </w:rPr>
      </w:pPr>
      <w:r>
        <w:rPr>
          <w:rFonts w:hint="default" w:ascii="Times New Roman" w:hAnsi="Times New Roman" w:cs="Times New Roman"/>
          <w:color w:val="000000"/>
          <w:sz w:val="32"/>
          <w:szCs w:val="32"/>
        </w:rPr>
        <w:br w:type="page"/>
      </w:r>
      <w:r>
        <w:rPr>
          <w:rFonts w:hint="eastAsia" w:ascii="黑体" w:hAnsi="黑体" w:eastAsia="黑体" w:cs="黑体"/>
          <w:color w:val="000000"/>
          <w:sz w:val="32"/>
          <w:szCs w:val="32"/>
        </w:rPr>
        <w:t> 附件</w:t>
      </w:r>
      <w:r>
        <w:rPr>
          <w:rFonts w:hint="eastAsia" w:ascii="黑体" w:hAnsi="黑体" w:eastAsia="黑体" w:cs="黑体"/>
          <w:color w:val="000000"/>
          <w:sz w:val="32"/>
          <w:szCs w:val="32"/>
          <w:lang w:val="en-US" w:eastAsia="zh-CN"/>
        </w:rPr>
        <w:t>2</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ascii="方正小标宋简体" w:hAnsi="方正小标宋简体" w:eastAsia="方正小标宋简体" w:cs="方正小标宋简体"/>
          <w:color w:val="000000"/>
          <w:sz w:val="36"/>
          <w:szCs w:val="36"/>
        </w:rPr>
      </w:pPr>
      <w:r>
        <w:rPr>
          <w:rFonts w:hint="default" w:ascii="方正小标宋简体" w:hAnsi="方正小标宋简体" w:eastAsia="方正小标宋简体" w:cs="方正小标宋简体"/>
          <w:color w:val="000000"/>
          <w:sz w:val="36"/>
          <w:szCs w:val="36"/>
        </w:rPr>
        <w:t>长期停产报告表</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295"/>
      </w:pPr>
      <w:r>
        <w:rPr>
          <w:rFonts w:hint="default" w:ascii="Times New Roman" w:hAnsi="Times New Roman" w:cs="Times New Roman"/>
          <w:color w:val="000000"/>
          <w:sz w:val="30"/>
          <w:szCs w:val="30"/>
        </w:rPr>
        <w:t>报告人：                                   联系方式：         </w:t>
      </w:r>
    </w:p>
    <w:tbl>
      <w:tblPr>
        <w:tblStyle w:val="8"/>
        <w:tblW w:w="9084" w:type="dxa"/>
        <w:jc w:val="center"/>
        <w:tblCellSpacing w:w="0"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auto"/>
        <w:tblLayout w:type="fixed"/>
        <w:tblCellMar>
          <w:top w:w="0" w:type="dxa"/>
          <w:left w:w="105" w:type="dxa"/>
          <w:bottom w:w="0" w:type="dxa"/>
          <w:right w:w="105" w:type="dxa"/>
        </w:tblCellMar>
      </w:tblPr>
      <w:tblGrid>
        <w:gridCol w:w="1317"/>
        <w:gridCol w:w="1373"/>
        <w:gridCol w:w="1511"/>
        <w:gridCol w:w="1078"/>
        <w:gridCol w:w="380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auto"/>
          <w:tblLayout w:type="fixed"/>
          <w:tblCellMar>
            <w:top w:w="0" w:type="dxa"/>
            <w:left w:w="105" w:type="dxa"/>
            <w:bottom w:w="0" w:type="dxa"/>
            <w:right w:w="105" w:type="dxa"/>
          </w:tblCellMar>
        </w:tblPrEx>
        <w:trPr>
          <w:trHeight w:val="675" w:hRule="atLeast"/>
          <w:tblCellSpacing w:w="0" w:type="dxa"/>
          <w:jc w:val="center"/>
        </w:trPr>
        <w:tc>
          <w:tcPr>
            <w:tcW w:w="269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单 位 名 称</w:t>
            </w:r>
          </w:p>
        </w:tc>
        <w:tc>
          <w:tcPr>
            <w:tcW w:w="639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rPr>
              <w:t>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915" w:hRule="atLeast"/>
          <w:tblCellSpacing w:w="0" w:type="dxa"/>
          <w:jc w:val="center"/>
        </w:trPr>
        <w:tc>
          <w:tcPr>
            <w:tcW w:w="269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生产（配制）地址</w:t>
            </w:r>
          </w:p>
        </w:tc>
        <w:tc>
          <w:tcPr>
            <w:tcW w:w="639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rPr>
              <w:t>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780" w:hRule="atLeast"/>
          <w:tblCellSpacing w:w="0" w:type="dxa"/>
          <w:jc w:val="center"/>
        </w:trPr>
        <w:tc>
          <w:tcPr>
            <w:tcW w:w="269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生产（配制）范围</w:t>
            </w:r>
          </w:p>
        </w:tc>
        <w:tc>
          <w:tcPr>
            <w:tcW w:w="639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rPr>
              <w:t>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855" w:hRule="atLeast"/>
          <w:tblCellSpacing w:w="0" w:type="dxa"/>
          <w:jc w:val="center"/>
        </w:trPr>
        <w:tc>
          <w:tcPr>
            <w:tcW w:w="1317"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长期停产药品生产单位情况</w:t>
            </w:r>
          </w:p>
        </w:tc>
        <w:tc>
          <w:tcPr>
            <w:tcW w:w="1373"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预计停产</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起止时间</w:t>
            </w:r>
          </w:p>
        </w:tc>
        <w:tc>
          <w:tcPr>
            <w:tcW w:w="639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年   月   日 至      年   月   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1740" w:hRule="atLeast"/>
          <w:tblCellSpacing w:w="0" w:type="dxa"/>
          <w:jc w:val="center"/>
        </w:trPr>
        <w:tc>
          <w:tcPr>
            <w:tcW w:w="1317"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76" w:lineRule="exact"/>
              <w:ind w:left="0" w:leftChars="0" w:right="0" w:rightChars="0"/>
              <w:rPr>
                <w:rFonts w:hint="eastAsia" w:ascii="宋体"/>
                <w:sz w:val="24"/>
                <w:szCs w:val="24"/>
              </w:rPr>
            </w:pPr>
          </w:p>
        </w:tc>
        <w:tc>
          <w:tcPr>
            <w:tcW w:w="1373"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停产范围</w:t>
            </w:r>
          </w:p>
        </w:tc>
        <w:tc>
          <w:tcPr>
            <w:tcW w:w="639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（可按生产车间或生产单位填写,中药饮片生产企业按照生产范围或炮制方法报告）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1845" w:hRule="atLeast"/>
          <w:tblCellSpacing w:w="0" w:type="dxa"/>
          <w:jc w:val="center"/>
        </w:trPr>
        <w:tc>
          <w:tcPr>
            <w:tcW w:w="1317"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76" w:lineRule="exact"/>
              <w:ind w:left="0" w:leftChars="0" w:right="0" w:rightChars="0"/>
              <w:rPr>
                <w:rFonts w:hint="eastAsia" w:ascii="宋体"/>
                <w:sz w:val="24"/>
                <w:szCs w:val="24"/>
              </w:rPr>
            </w:pPr>
          </w:p>
        </w:tc>
        <w:tc>
          <w:tcPr>
            <w:tcW w:w="1373"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停产原因</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rPr>
              <w:t> </w:t>
            </w:r>
          </w:p>
        </w:tc>
        <w:tc>
          <w:tcPr>
            <w:tcW w:w="639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（简要描述）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2190" w:hRule="atLeast"/>
          <w:tblCellSpacing w:w="0" w:type="dxa"/>
          <w:jc w:val="center"/>
        </w:trPr>
        <w:tc>
          <w:tcPr>
            <w:tcW w:w="1317"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企业负责人签字</w:t>
            </w:r>
          </w:p>
        </w:tc>
        <w:tc>
          <w:tcPr>
            <w:tcW w:w="2884"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rPr>
              <w:t> </w:t>
            </w:r>
          </w:p>
        </w:tc>
        <w:tc>
          <w:tcPr>
            <w:tcW w:w="1078"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日 期</w:t>
            </w:r>
          </w:p>
        </w:tc>
        <w:tc>
          <w:tcPr>
            <w:tcW w:w="3805"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470"/>
              <w:jc w:val="center"/>
              <w:rPr>
                <w:rFonts w:hint="default"/>
              </w:rPr>
            </w:pPr>
            <w:r>
              <w:rPr>
                <w:rFonts w:hint="default" w:ascii="Times New Roman" w:hAnsi="Times New Roman" w:cs="Times New Roman"/>
                <w:color w:val="000000"/>
                <w:sz w:val="24"/>
                <w:szCs w:val="24"/>
              </w:rPr>
              <w:t>年   月   日（盖章）</w:t>
            </w:r>
          </w:p>
        </w:tc>
      </w:tr>
    </w:tbl>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pPr>
      <w: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pPr>
      <w: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rPr>
          <w:rFonts w:hint="eastAsia" w:ascii="黑体" w:hAnsi="黑体" w:eastAsia="黑体" w:cs="黑体"/>
          <w:color w:val="000000"/>
          <w:sz w:val="32"/>
          <w:szCs w:val="32"/>
        </w:rPr>
      </w:pP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rPr>
          <w:rFonts w:hint="eastAsia" w:ascii="黑体" w:hAnsi="黑体" w:eastAsia="黑体" w:cs="黑体"/>
          <w:lang w:eastAsia="zh-CN"/>
        </w:rPr>
      </w:pPr>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3</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420"/>
        <w:jc w:val="center"/>
      </w:pPr>
      <w:r>
        <w:rPr>
          <w:rFonts w:hint="eastAsia" w:ascii="方正小标宋简体" w:hAnsi="方正小标宋简体" w:eastAsia="方正小标宋简体" w:cs="方正小标宋简体"/>
          <w:color w:val="000000"/>
          <w:sz w:val="36"/>
          <w:szCs w:val="36"/>
        </w:rPr>
        <w:t>长期停产拟恢复生产报告表</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420"/>
      </w:pPr>
      <w:r>
        <w:rPr>
          <w:rFonts w:hint="default" w:ascii="Times New Roman" w:hAnsi="Times New Roman" w:cs="Times New Roman"/>
          <w:color w:val="000000"/>
          <w:sz w:val="30"/>
          <w:szCs w:val="30"/>
        </w:rPr>
        <w:t>报告人：                               联系方式：       </w:t>
      </w:r>
      <w:r>
        <w:rPr>
          <w:rFonts w:hint="default" w:ascii="Times New Roman" w:hAnsi="Times New Roman" w:cs="Times New Roman"/>
          <w:color w:val="000000"/>
          <w:sz w:val="24"/>
          <w:szCs w:val="24"/>
        </w:rPr>
        <w:t>          </w:t>
      </w:r>
    </w:p>
    <w:tbl>
      <w:tblPr>
        <w:tblStyle w:val="8"/>
        <w:tblW w:w="9090" w:type="dxa"/>
        <w:tblCellSpacing w:w="0" w:type="dxa"/>
        <w:tblInd w:w="-10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auto"/>
        <w:tblLayout w:type="fixed"/>
        <w:tblCellMar>
          <w:top w:w="0" w:type="dxa"/>
          <w:left w:w="105" w:type="dxa"/>
          <w:bottom w:w="0" w:type="dxa"/>
          <w:right w:w="105" w:type="dxa"/>
        </w:tblCellMar>
      </w:tblPr>
      <w:tblGrid>
        <w:gridCol w:w="1012"/>
        <w:gridCol w:w="548"/>
        <w:gridCol w:w="1068"/>
        <w:gridCol w:w="1072"/>
        <w:gridCol w:w="961"/>
        <w:gridCol w:w="442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shd w:val="clear" w:color="auto" w:fill="auto"/>
          <w:tblLayout w:type="fixed"/>
          <w:tblCellMar>
            <w:top w:w="0" w:type="dxa"/>
            <w:left w:w="105" w:type="dxa"/>
            <w:bottom w:w="0" w:type="dxa"/>
            <w:right w:w="105" w:type="dxa"/>
          </w:tblCellMar>
        </w:tblPrEx>
        <w:trPr>
          <w:trHeight w:val="675" w:hRule="atLeast"/>
          <w:tblCellSpacing w:w="0" w:type="dxa"/>
        </w:trPr>
        <w:tc>
          <w:tcPr>
            <w:tcW w:w="2628"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单 位 名 称</w:t>
            </w:r>
          </w:p>
        </w:tc>
        <w:tc>
          <w:tcPr>
            <w:tcW w:w="646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rPr>
                <w:rFonts w:hint="default"/>
              </w:rPr>
            </w:pPr>
            <w:r>
              <w:rPr>
                <w:rFonts w:hint="default"/>
              </w:rPr>
              <w:t>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915" w:hRule="atLeast"/>
          <w:tblCellSpacing w:w="0" w:type="dxa"/>
        </w:trPr>
        <w:tc>
          <w:tcPr>
            <w:tcW w:w="2628"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生产（配制）地址</w:t>
            </w:r>
          </w:p>
        </w:tc>
        <w:tc>
          <w:tcPr>
            <w:tcW w:w="646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rPr>
                <w:rFonts w:hint="default"/>
              </w:rPr>
            </w:pPr>
            <w:r>
              <w:rPr>
                <w:rFonts w:hint="default"/>
              </w:rPr>
              <w:t>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780" w:hRule="atLeast"/>
          <w:tblCellSpacing w:w="0" w:type="dxa"/>
        </w:trPr>
        <w:tc>
          <w:tcPr>
            <w:tcW w:w="2628"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生产（配制）范围</w:t>
            </w:r>
          </w:p>
        </w:tc>
        <w:tc>
          <w:tcPr>
            <w:tcW w:w="646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rPr>
                <w:rFonts w:hint="default"/>
              </w:rPr>
            </w:pPr>
            <w:r>
              <w:rPr>
                <w:rFonts w:hint="default"/>
              </w:rPr>
              <w:t>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855" w:hRule="atLeast"/>
          <w:tblCellSpacing w:w="0" w:type="dxa"/>
        </w:trPr>
        <w:tc>
          <w:tcPr>
            <w:tcW w:w="1012"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拟恢复生产的药品生产单位情况</w:t>
            </w:r>
          </w:p>
        </w:tc>
        <w:tc>
          <w:tcPr>
            <w:tcW w:w="1616"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停产起止时间</w:t>
            </w:r>
          </w:p>
        </w:tc>
        <w:tc>
          <w:tcPr>
            <w:tcW w:w="646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rPr>
                <w:rFonts w:hint="default"/>
              </w:rPr>
            </w:pPr>
            <w:r>
              <w:rPr>
                <w:rFonts w:hint="default"/>
              </w:rPr>
              <w:t>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1420" w:hRule="atLeast"/>
          <w:tblCellSpacing w:w="0" w:type="dxa"/>
        </w:trPr>
        <w:tc>
          <w:tcPr>
            <w:tcW w:w="101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76" w:lineRule="exact"/>
              <w:ind w:left="0" w:leftChars="0" w:right="0" w:rightChars="0"/>
              <w:rPr>
                <w:rFonts w:hint="eastAsia" w:ascii="宋体"/>
                <w:sz w:val="24"/>
                <w:szCs w:val="24"/>
              </w:rPr>
            </w:pPr>
          </w:p>
        </w:tc>
        <w:tc>
          <w:tcPr>
            <w:tcW w:w="1616"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拟恢复的生产范围</w:t>
            </w:r>
          </w:p>
        </w:tc>
        <w:tc>
          <w:tcPr>
            <w:tcW w:w="646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rPr>
                <w:rFonts w:hint="default"/>
              </w:rPr>
            </w:pPr>
            <w:r>
              <w:rPr>
                <w:rFonts w:hint="default" w:ascii="Times New Roman" w:hAnsi="Times New Roman" w:cs="Times New Roman"/>
                <w:color w:val="000000"/>
                <w:sz w:val="24"/>
                <w:szCs w:val="24"/>
              </w:rPr>
              <w:t>（可按生产车间或生产单位填写,中药饮片生产企业按照生产范围或炮制方法报告）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1320" w:hRule="atLeast"/>
          <w:tblCellSpacing w:w="0" w:type="dxa"/>
        </w:trPr>
        <w:tc>
          <w:tcPr>
            <w:tcW w:w="101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76" w:lineRule="exact"/>
              <w:ind w:left="0" w:leftChars="0" w:right="0" w:rightChars="0"/>
              <w:rPr>
                <w:rFonts w:hint="eastAsia" w:ascii="宋体"/>
                <w:sz w:val="24"/>
                <w:szCs w:val="24"/>
              </w:rPr>
            </w:pPr>
          </w:p>
        </w:tc>
        <w:tc>
          <w:tcPr>
            <w:tcW w:w="1616"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恢复生产前完成的主要准备工作</w:t>
            </w:r>
          </w:p>
        </w:tc>
        <w:tc>
          <w:tcPr>
            <w:tcW w:w="646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rPr>
                <w:rFonts w:hint="default"/>
              </w:rPr>
            </w:pPr>
            <w:r>
              <w:rPr>
                <w:rFonts w:hint="default" w:ascii="Times New Roman" w:hAnsi="Times New Roman" w:cs="Times New Roman"/>
                <w:color w:val="000000"/>
                <w:sz w:val="24"/>
                <w:szCs w:val="24"/>
              </w:rPr>
              <w:t>（简要描述）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885" w:hRule="atLeast"/>
          <w:tblCellSpacing w:w="0" w:type="dxa"/>
        </w:trPr>
        <w:tc>
          <w:tcPr>
            <w:tcW w:w="156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default" w:ascii="Times New Roman" w:hAnsi="Times New Roman" w:cs="Times New Roman"/>
                <w:color w:val="000000"/>
                <w:sz w:val="24"/>
                <w:szCs w:val="24"/>
              </w:rPr>
              <w:t>企业负责人签字</w:t>
            </w:r>
          </w:p>
        </w:tc>
        <w:tc>
          <w:tcPr>
            <w:tcW w:w="214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rPr>
                <w:rFonts w:hint="default"/>
              </w:rPr>
            </w:pPr>
            <w:r>
              <w:rPr>
                <w:rFonts w:hint="default"/>
              </w:rPr>
              <w:t> </w:t>
            </w: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rPr>
                <w:rFonts w:hint="default"/>
              </w:rPr>
            </w:pPr>
            <w:r>
              <w:rPr>
                <w:rFonts w:hint="default" w:ascii="Times New Roman" w:hAnsi="Times New Roman" w:cs="Times New Roman"/>
                <w:color w:val="000000"/>
                <w:sz w:val="24"/>
                <w:szCs w:val="24"/>
              </w:rPr>
              <w:t>日 期</w:t>
            </w:r>
          </w:p>
        </w:tc>
        <w:tc>
          <w:tcPr>
            <w:tcW w:w="4429"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705"/>
              <w:rPr>
                <w:rFonts w:hint="default"/>
              </w:rPr>
            </w:pPr>
            <w:r>
              <w:rPr>
                <w:rFonts w:hint="default" w:ascii="Times New Roman" w:hAnsi="Times New Roman" w:cs="Times New Roman"/>
                <w:color w:val="000000"/>
                <w:sz w:val="24"/>
                <w:szCs w:val="24"/>
              </w:rPr>
              <w:t>年   月   日（盖章）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5" w:type="dxa"/>
            <w:bottom w:w="0" w:type="dxa"/>
            <w:right w:w="105" w:type="dxa"/>
          </w:tblCellMar>
        </w:tblPrEx>
        <w:trPr>
          <w:trHeight w:val="1680" w:hRule="atLeast"/>
          <w:tblCellSpacing w:w="0" w:type="dxa"/>
        </w:trPr>
        <w:tc>
          <w:tcPr>
            <w:tcW w:w="156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center"/>
              <w:rPr>
                <w:rFonts w:hint="default"/>
              </w:rPr>
            </w:pPr>
            <w:r>
              <w:rPr>
                <w:rFonts w:hint="eastAsia" w:ascii="Times New Roman" w:hAnsi="Times New Roman" w:cs="Times New Roman"/>
                <w:color w:val="000000"/>
                <w:sz w:val="24"/>
                <w:szCs w:val="24"/>
                <w:u w:val="single"/>
                <w:lang w:eastAsia="zh-CN"/>
              </w:rPr>
              <w:t>药品监管处</w:t>
            </w:r>
            <w:r>
              <w:rPr>
                <w:rFonts w:hint="default" w:ascii="Times New Roman" w:hAnsi="Times New Roman" w:cs="Times New Roman"/>
                <w:color w:val="000000"/>
                <w:sz w:val="24"/>
                <w:szCs w:val="24"/>
              </w:rPr>
              <w:t>意见</w:t>
            </w:r>
          </w:p>
        </w:tc>
        <w:tc>
          <w:tcPr>
            <w:tcW w:w="7530"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4465"/>
              <w:rPr>
                <w:rFonts w:hint="default"/>
              </w:rPr>
            </w:pPr>
            <w:r>
              <w:rPr>
                <w:rFonts w:hint="default"/>
              </w:rP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4465"/>
              <w:rPr>
                <w:rFonts w:hint="default"/>
              </w:rPr>
            </w:pPr>
            <w:r>
              <w:rPr>
                <w:rFonts w:hint="default" w:ascii="Times New Roman" w:hAnsi="Times New Roman" w:cs="Times New Roman"/>
                <w:color w:val="000000"/>
                <w:sz w:val="24"/>
                <w:szCs w:val="24"/>
              </w:rPr>
              <w:t>年   月   日</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firstLine="4700"/>
              <w:rPr>
                <w:rFonts w:hint="default"/>
              </w:rPr>
            </w:pPr>
            <w:r>
              <w:rPr>
                <w:rFonts w:hint="default" w:ascii="Times New Roman" w:hAnsi="Times New Roman" w:cs="Times New Roman"/>
                <w:color w:val="000000"/>
                <w:sz w:val="24"/>
                <w:szCs w:val="24"/>
              </w:rPr>
              <w:t>（盖章）</w:t>
            </w:r>
          </w:p>
        </w:tc>
      </w:tr>
    </w:tbl>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pPr>
      <w:r>
        <w:t> </w:t>
      </w:r>
    </w:p>
    <w:p>
      <w:pPr>
        <w:pStyle w:val="5"/>
        <w:keepNext w:val="0"/>
        <w:keepLines w:val="0"/>
        <w:pageBreakBefore w:val="0"/>
        <w:widowControl w:val="0"/>
        <w:suppressLineNumbers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spacing w:before="0" w:beforeAutospacing="0" w:after="0" w:afterAutospacing="0" w:line="576" w:lineRule="exact"/>
        <w:ind w:left="0" w:leftChars="0" w:right="0" w:rightChars="0"/>
        <w:jc w:val="both"/>
      </w:pPr>
      <w:r>
        <w:t> </w:t>
      </w:r>
    </w:p>
    <w:p>
      <w:pPr>
        <w:pStyle w:val="10"/>
        <w:keepNext w:val="0"/>
        <w:keepLines w:val="0"/>
        <w:pageBreakBefore w:val="0"/>
        <w:widowControl w:val="0"/>
        <w:kinsoku/>
        <w:wordWrap/>
        <w:overflowPunct/>
        <w:topLinePunct w:val="0"/>
        <w:autoSpaceDE/>
        <w:autoSpaceDN/>
        <w:bidi w:val="0"/>
        <w:spacing w:line="576" w:lineRule="exact"/>
        <w:ind w:left="0" w:leftChars="0" w:right="0" w:rightChars="0"/>
        <w:rPr>
          <w:rFonts w:hint="eastAsia"/>
          <w:sz w:val="32"/>
          <w:szCs w:val="32"/>
          <w:lang w:val="en-US" w:eastAsia="zh-CN"/>
        </w:rPr>
      </w:pPr>
      <w:r>
        <w:rPr>
          <w:rFonts w:hint="eastAsia"/>
          <w:sz w:val="32"/>
          <w:szCs w:val="32"/>
          <w:lang w:eastAsia="zh-CN"/>
        </w:rPr>
        <w:t>附件</w:t>
      </w:r>
      <w:r>
        <w:rPr>
          <w:rFonts w:hint="eastAsia"/>
          <w:sz w:val="32"/>
          <w:szCs w:val="32"/>
          <w:lang w:val="en-US" w:eastAsia="zh-CN"/>
        </w:rPr>
        <w:t>2：</w:t>
      </w:r>
    </w:p>
    <w:p>
      <w:pPr>
        <w:keepNext w:val="0"/>
        <w:keepLines w:val="0"/>
        <w:pageBreakBefore w:val="0"/>
        <w:widowControl w:val="0"/>
        <w:kinsoku/>
        <w:wordWrap/>
        <w:overflowPunct/>
        <w:topLinePunct w:val="0"/>
        <w:autoSpaceDE/>
        <w:autoSpaceDN/>
        <w:bidi w:val="0"/>
        <w:spacing w:line="576" w:lineRule="exact"/>
        <w:ind w:left="0" w:leftChars="0" w:right="0" w:rightChars="0"/>
        <w:jc w:val="center"/>
        <w:rPr>
          <w:rFonts w:hint="eastAsia" w:ascii="方正小标宋简体" w:hAnsi="方正小标宋简体" w:eastAsia="方正小标宋简体" w:cs="方正小标宋简体"/>
          <w:spacing w:val="0"/>
          <w:kern w:val="0"/>
          <w:sz w:val="44"/>
          <w:szCs w:val="44"/>
          <w:lang w:eastAsia="zh-CN"/>
        </w:rPr>
      </w:pPr>
    </w:p>
    <w:p>
      <w:pPr>
        <w:keepNext w:val="0"/>
        <w:keepLines w:val="0"/>
        <w:pageBreakBefore w:val="0"/>
        <w:widowControl w:val="0"/>
        <w:kinsoku/>
        <w:wordWrap/>
        <w:overflowPunct/>
        <w:topLinePunct w:val="0"/>
        <w:autoSpaceDE/>
        <w:autoSpaceDN/>
        <w:bidi w:val="0"/>
        <w:spacing w:line="576" w:lineRule="exact"/>
        <w:ind w:left="0" w:leftChars="0" w:right="0" w:rightChars="0"/>
        <w:jc w:val="center"/>
        <w:rPr>
          <w:rFonts w:hint="eastAsia" w:ascii="方正小标宋简体" w:hAnsi="方正小标宋简体" w:eastAsia="方正小标宋简体" w:cs="方正小标宋简体"/>
          <w:spacing w:val="0"/>
          <w:kern w:val="0"/>
          <w:sz w:val="44"/>
          <w:szCs w:val="44"/>
        </w:rPr>
      </w:pPr>
      <w:r>
        <w:rPr>
          <w:rFonts w:hint="eastAsia" w:ascii="方正小标宋简体" w:hAnsi="方正小标宋简体" w:eastAsia="方正小标宋简体" w:cs="方正小标宋简体"/>
          <w:spacing w:val="0"/>
          <w:kern w:val="0"/>
          <w:sz w:val="44"/>
          <w:szCs w:val="44"/>
          <w:lang w:eastAsia="zh-CN"/>
        </w:rPr>
        <w:t>西藏自治区</w:t>
      </w:r>
      <w:r>
        <w:rPr>
          <w:rFonts w:hint="eastAsia" w:ascii="方正小标宋简体" w:hAnsi="方正小标宋简体" w:eastAsia="方正小标宋简体" w:cs="方正小标宋简体"/>
          <w:spacing w:val="0"/>
          <w:kern w:val="0"/>
          <w:sz w:val="44"/>
          <w:szCs w:val="44"/>
        </w:rPr>
        <w:t>药品生产质量管理规范</w:t>
      </w:r>
    </w:p>
    <w:p>
      <w:pPr>
        <w:keepNext w:val="0"/>
        <w:keepLines w:val="0"/>
        <w:pageBreakBefore w:val="0"/>
        <w:widowControl w:val="0"/>
        <w:kinsoku/>
        <w:wordWrap/>
        <w:overflowPunct/>
        <w:topLinePunct w:val="0"/>
        <w:autoSpaceDE/>
        <w:autoSpaceDN/>
        <w:bidi w:val="0"/>
        <w:spacing w:line="576" w:lineRule="exact"/>
        <w:ind w:left="0" w:leftChars="0" w:right="0" w:rightChars="0"/>
        <w:jc w:val="center"/>
        <w:rPr>
          <w:rFonts w:hint="eastAsia" w:ascii="方正小标宋简体" w:hAnsi="方正小标宋简体" w:eastAsia="方正小标宋简体" w:cs="方正小标宋简体"/>
          <w:spacing w:val="0"/>
          <w:kern w:val="0"/>
          <w:sz w:val="44"/>
          <w:szCs w:val="44"/>
        </w:rPr>
      </w:pPr>
      <w:r>
        <w:rPr>
          <w:rFonts w:hint="eastAsia" w:ascii="方正小标宋简体" w:hAnsi="方正小标宋简体" w:eastAsia="方正小标宋简体" w:cs="方正小标宋简体"/>
          <w:spacing w:val="0"/>
          <w:kern w:val="0"/>
          <w:sz w:val="44"/>
          <w:szCs w:val="44"/>
        </w:rPr>
        <w:t>符合性检查工作程序</w:t>
      </w:r>
    </w:p>
    <w:p>
      <w:pPr>
        <w:keepNext w:val="0"/>
        <w:keepLines w:val="0"/>
        <w:pageBreakBefore w:val="0"/>
        <w:widowControl w:val="0"/>
        <w:kinsoku/>
        <w:wordWrap/>
        <w:overflowPunct/>
        <w:topLinePunct w:val="0"/>
        <w:autoSpaceDE/>
        <w:autoSpaceDN/>
        <w:bidi w:val="0"/>
        <w:spacing w:line="576" w:lineRule="exact"/>
        <w:ind w:left="0" w:leftChars="0" w:right="0" w:rightChars="0"/>
        <w:jc w:val="center"/>
        <w:rPr>
          <w:rFonts w:hint="eastAsia" w:ascii="方正小标宋简体" w:hAnsi="方正小标宋简体" w:eastAsia="方正小标宋简体" w:cs="方正小标宋简体"/>
          <w:spacing w:val="0"/>
          <w:kern w:val="0"/>
          <w:sz w:val="44"/>
          <w:szCs w:val="44"/>
        </w:rPr>
      </w:pPr>
    </w:p>
    <w:p>
      <w:pPr>
        <w:keepNext w:val="0"/>
        <w:keepLines w:val="0"/>
        <w:pageBreakBefore w:val="0"/>
        <w:widowControl w:val="0"/>
        <w:kinsoku/>
        <w:wordWrap/>
        <w:overflowPunct/>
        <w:topLinePunct w:val="0"/>
        <w:autoSpaceDE/>
        <w:autoSpaceDN/>
        <w:bidi w:val="0"/>
        <w:spacing w:line="576" w:lineRule="exact"/>
        <w:ind w:left="0" w:leftChars="0" w:right="0" w:rightChars="0"/>
        <w:jc w:val="center"/>
        <w:rPr>
          <w:rFonts w:hint="eastAsia" w:ascii="方正小标宋简体" w:hAnsi="方正小标宋简体" w:eastAsia="方正小标宋简体" w:cs="方正小标宋简体"/>
          <w:spacing w:val="0"/>
          <w:sz w:val="32"/>
          <w:szCs w:val="32"/>
        </w:rPr>
      </w:pPr>
      <w:r>
        <w:rPr>
          <w:rFonts w:hint="eastAsia" w:ascii="方正小标宋简体" w:hAnsi="方正小标宋简体" w:eastAsia="方正小标宋简体" w:cs="方正小标宋简体"/>
          <w:spacing w:val="0"/>
          <w:sz w:val="32"/>
          <w:szCs w:val="32"/>
        </w:rPr>
        <w:t>第一章  总</w:t>
      </w:r>
      <w:r>
        <w:rPr>
          <w:rFonts w:hint="eastAsia" w:ascii="方正小标宋简体" w:hAnsi="方正小标宋简体" w:eastAsia="方正小标宋简体" w:cs="方正小标宋简体"/>
          <w:spacing w:val="0"/>
          <w:sz w:val="32"/>
          <w:szCs w:val="32"/>
          <w:lang w:val="en-US" w:eastAsia="zh-CN"/>
        </w:rPr>
        <w:t xml:space="preserve">  </w:t>
      </w:r>
      <w:r>
        <w:rPr>
          <w:rFonts w:hint="eastAsia" w:ascii="方正小标宋简体" w:hAnsi="方正小标宋简体" w:eastAsia="方正小标宋简体" w:cs="方正小标宋简体"/>
          <w:spacing w:val="0"/>
          <w:sz w:val="32"/>
          <w:szCs w:val="32"/>
        </w:rPr>
        <w:t>则</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bidi="ar"/>
        </w:rPr>
        <w:t>第一条</w:t>
      </w:r>
      <w:r>
        <w:rPr>
          <w:rFonts w:hint="eastAsia" w:ascii="仿宋_GB2312" w:hAnsi="仿宋_GB2312" w:eastAsia="仿宋_GB2312" w:cs="仿宋_GB2312"/>
          <w:color w:val="333333"/>
          <w:spacing w:val="0"/>
          <w:sz w:val="32"/>
          <w:szCs w:val="32"/>
          <w:lang w:bidi="ar"/>
        </w:rPr>
        <w:t xml:space="preserve"> </w:t>
      </w:r>
      <w:r>
        <w:rPr>
          <w:rFonts w:hint="eastAsia" w:ascii="仿宋_GB2312" w:hAnsi="仿宋_GB2312" w:eastAsia="仿宋_GB2312" w:cs="仿宋_GB2312"/>
          <w:spacing w:val="0"/>
          <w:sz w:val="32"/>
          <w:szCs w:val="32"/>
        </w:rPr>
        <w:t>为进一步规范</w:t>
      </w:r>
      <w:r>
        <w:rPr>
          <w:rFonts w:hint="eastAsia" w:ascii="仿宋_GB2312" w:hAnsi="仿宋_GB2312" w:eastAsia="仿宋_GB2312" w:cs="仿宋_GB2312"/>
          <w:spacing w:val="0"/>
          <w:sz w:val="32"/>
          <w:szCs w:val="32"/>
          <w:lang w:eastAsia="zh-CN"/>
        </w:rPr>
        <w:t>西藏自治区</w:t>
      </w:r>
      <w:r>
        <w:rPr>
          <w:rFonts w:hint="eastAsia" w:ascii="仿宋_GB2312" w:hAnsi="仿宋_GB2312" w:eastAsia="仿宋_GB2312" w:cs="仿宋_GB2312"/>
          <w:spacing w:val="0"/>
          <w:sz w:val="32"/>
          <w:szCs w:val="32"/>
        </w:rPr>
        <w:t>药品生产质量管理规范符合性检查工作，依据《中华人民共和国药品管理法》《药品注册管理办法》《药品生产监督管理办法》和</w:t>
      </w:r>
      <w:r>
        <w:rPr>
          <w:rFonts w:hint="eastAsia" w:ascii="仿宋_GB2312" w:hAnsi="仿宋_GB2312" w:eastAsia="仿宋_GB2312" w:cs="仿宋_GB2312"/>
          <w:spacing w:val="0"/>
          <w:sz w:val="32"/>
          <w:szCs w:val="32"/>
          <w:lang w:eastAsia="zh-CN"/>
        </w:rPr>
        <w:t>《国家药监局关于进一步明确药品生产质量管理规范符合性检查有关工作的函》（藏药监药管函〔</w:t>
      </w:r>
      <w:r>
        <w:rPr>
          <w:rFonts w:hint="eastAsia" w:ascii="仿宋_GB2312" w:hAnsi="仿宋_GB2312" w:eastAsia="仿宋_GB2312" w:cs="仿宋_GB2312"/>
          <w:spacing w:val="0"/>
          <w:sz w:val="32"/>
          <w:szCs w:val="32"/>
          <w:lang w:val="en-US" w:eastAsia="zh-CN"/>
        </w:rPr>
        <w:t>2024</w:t>
      </w:r>
      <w:r>
        <w:rPr>
          <w:rFonts w:hint="eastAsia" w:ascii="仿宋_GB2312" w:hAnsi="仿宋_GB2312" w:eastAsia="仿宋_GB2312" w:cs="仿宋_GB2312"/>
          <w:spacing w:val="0"/>
          <w:sz w:val="32"/>
          <w:szCs w:val="32"/>
          <w:lang w:eastAsia="zh-CN"/>
        </w:rPr>
        <w:t>〕</w:t>
      </w:r>
      <w:r>
        <w:rPr>
          <w:rFonts w:hint="eastAsia" w:ascii="仿宋_GB2312" w:hAnsi="仿宋_GB2312" w:eastAsia="仿宋_GB2312" w:cs="仿宋_GB2312"/>
          <w:spacing w:val="0"/>
          <w:sz w:val="32"/>
          <w:szCs w:val="32"/>
          <w:lang w:val="en-US" w:eastAsia="zh-CN"/>
        </w:rPr>
        <w:t>371号</w:t>
      </w:r>
      <w:r>
        <w:rPr>
          <w:rFonts w:hint="eastAsia" w:ascii="仿宋_GB2312" w:hAnsi="仿宋_GB2312" w:eastAsia="仿宋_GB2312" w:cs="仿宋_GB2312"/>
          <w:spacing w:val="0"/>
          <w:sz w:val="32"/>
          <w:szCs w:val="32"/>
          <w:lang w:eastAsia="zh-CN"/>
        </w:rPr>
        <w:t>）</w:t>
      </w:r>
      <w:r>
        <w:rPr>
          <w:rFonts w:hint="eastAsia" w:ascii="仿宋_GB2312" w:hAnsi="仿宋_GB2312" w:eastAsia="仿宋_GB2312" w:cs="仿宋_GB2312"/>
          <w:spacing w:val="0"/>
          <w:sz w:val="32"/>
          <w:szCs w:val="32"/>
        </w:rPr>
        <w:t>等有关</w:t>
      </w:r>
      <w:r>
        <w:rPr>
          <w:rFonts w:hint="eastAsia" w:ascii="仿宋_GB2312" w:hAnsi="仿宋_GB2312" w:eastAsia="仿宋_GB2312" w:cs="仿宋_GB2312"/>
          <w:spacing w:val="0"/>
          <w:sz w:val="32"/>
          <w:szCs w:val="32"/>
          <w:lang w:eastAsia="zh-CN"/>
        </w:rPr>
        <w:t>法律法规</w:t>
      </w:r>
      <w:r>
        <w:rPr>
          <w:rFonts w:hint="eastAsia" w:ascii="仿宋_GB2312" w:hAnsi="仿宋_GB2312" w:eastAsia="仿宋_GB2312" w:cs="仿宋_GB2312"/>
          <w:spacing w:val="0"/>
          <w:sz w:val="32"/>
          <w:szCs w:val="32"/>
        </w:rPr>
        <w:t>，结合</w:t>
      </w:r>
      <w:r>
        <w:rPr>
          <w:rFonts w:hint="eastAsia" w:ascii="仿宋_GB2312" w:hAnsi="仿宋_GB2312" w:eastAsia="仿宋_GB2312" w:cs="仿宋_GB2312"/>
          <w:spacing w:val="0"/>
          <w:sz w:val="32"/>
          <w:szCs w:val="32"/>
          <w:lang w:eastAsia="zh-CN"/>
        </w:rPr>
        <w:t>自治区</w:t>
      </w:r>
      <w:r>
        <w:rPr>
          <w:rFonts w:hint="eastAsia" w:ascii="仿宋_GB2312" w:hAnsi="仿宋_GB2312" w:eastAsia="仿宋_GB2312" w:cs="仿宋_GB2312"/>
          <w:spacing w:val="0"/>
          <w:sz w:val="32"/>
          <w:szCs w:val="32"/>
        </w:rPr>
        <w:t>实际，制定本程序。</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bidi="ar"/>
        </w:rPr>
        <w:t>第二条</w:t>
      </w:r>
      <w:r>
        <w:rPr>
          <w:rFonts w:hint="eastAsia" w:ascii="仿宋_GB2312" w:hAnsi="仿宋_GB2312" w:eastAsia="仿宋_GB2312" w:cs="仿宋_GB2312"/>
          <w:color w:val="333333"/>
          <w:spacing w:val="0"/>
          <w:sz w:val="32"/>
          <w:szCs w:val="32"/>
          <w:lang w:bidi="ar"/>
        </w:rPr>
        <w:t xml:space="preserve"> </w:t>
      </w:r>
      <w:r>
        <w:rPr>
          <w:rFonts w:hint="eastAsia" w:ascii="仿宋_GB2312" w:hAnsi="仿宋_GB2312" w:eastAsia="仿宋_GB2312" w:cs="仿宋_GB2312"/>
          <w:spacing w:val="0"/>
          <w:sz w:val="32"/>
          <w:szCs w:val="32"/>
        </w:rPr>
        <w:t>本程序所称的药品生产质量管理规范符合性检查（以下简称GMP符合性检查）指药品监管部门依据药品监管法律法规及有关规定，对药品上市许可持有人（以下简称持有人）、药品生产企业实施药品生产质量管理规范情况开展的检查，</w:t>
      </w:r>
      <w:r>
        <w:rPr>
          <w:rFonts w:hint="eastAsia" w:ascii="仿宋_GB2312" w:hAnsi="仿宋_GB2312" w:eastAsia="仿宋_GB2312" w:cs="仿宋_GB2312"/>
          <w:spacing w:val="0"/>
          <w:sz w:val="32"/>
          <w:szCs w:val="32"/>
          <w:lang w:eastAsia="zh-CN"/>
        </w:rPr>
        <w:t>药品</w:t>
      </w:r>
      <w:r>
        <w:rPr>
          <w:rFonts w:hint="eastAsia" w:ascii="仿宋_GB2312" w:hAnsi="仿宋_GB2312" w:eastAsia="仿宋_GB2312" w:cs="仿宋_GB2312"/>
          <w:spacing w:val="0"/>
          <w:sz w:val="32"/>
          <w:szCs w:val="32"/>
          <w:lang w:val="en-US" w:eastAsia="zh-CN"/>
        </w:rPr>
        <w:t>GMP符合性检查原则上应当为全面的、动态的现场检查</w:t>
      </w:r>
      <w:r>
        <w:rPr>
          <w:rFonts w:hint="eastAsia" w:ascii="仿宋_GB2312" w:hAnsi="仿宋_GB2312" w:eastAsia="仿宋_GB2312" w:cs="仿宋_GB2312"/>
          <w:spacing w:val="0"/>
          <w:sz w:val="32"/>
          <w:szCs w:val="32"/>
        </w:rPr>
        <w:t>，也可以是结合企业历次被检查情况开展的有重点的系统检查，包括依申请的GMP符合性检查和依职责的GMP符合性检查。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依申请的GMP符合性检查是指持有人、药品生产企业依据药品监管法律法规及有关规定，向药品监管部门主动申请的GMP符合性检查，分为上市前GMP符合性检查、上市后GMP符合性检查。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 xml:space="preserve">依职责的GMP符合性检查是指药品监管部门依据药品监管法律法规及有关规定，对持有人、药品生产企业药品上市后实施GMP情况的监督检查。 </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default"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eastAsia="zh-CN"/>
        </w:rPr>
        <w:t>药品生产环节的许可检查、常规检查、有因检查、其他检查均可采取</w:t>
      </w:r>
      <w:r>
        <w:rPr>
          <w:rFonts w:hint="eastAsia" w:ascii="仿宋_GB2312" w:hAnsi="仿宋_GB2312" w:eastAsia="仿宋_GB2312" w:cs="仿宋_GB2312"/>
          <w:spacing w:val="0"/>
          <w:sz w:val="32"/>
          <w:szCs w:val="32"/>
          <w:lang w:val="en-US" w:eastAsia="zh-CN"/>
        </w:rPr>
        <w:t>GMP符合性检查的形式开展。为强化各类检查高效融合，依申请的GMP符合性检查、依职责的药品GMP符合性检查、许可检查、注册核查、日常监管检查等可合并实施。</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bidi="ar"/>
        </w:rPr>
        <w:t>第三条</w:t>
      </w:r>
      <w:r>
        <w:rPr>
          <w:rFonts w:hint="eastAsia" w:ascii="仿宋_GB2312" w:hAnsi="仿宋_GB2312" w:eastAsia="仿宋_GB2312" w:cs="仿宋_GB2312"/>
          <w:color w:val="333333"/>
          <w:spacing w:val="0"/>
          <w:sz w:val="32"/>
          <w:szCs w:val="32"/>
          <w:lang w:bidi="ar"/>
        </w:rPr>
        <w:t xml:space="preserve"> </w:t>
      </w:r>
      <w:r>
        <w:rPr>
          <w:rFonts w:hint="eastAsia" w:ascii="仿宋_GB2312" w:hAnsi="仿宋_GB2312" w:eastAsia="仿宋_GB2312" w:cs="仿宋_GB2312"/>
          <w:spacing w:val="0"/>
          <w:sz w:val="32"/>
          <w:szCs w:val="32"/>
        </w:rPr>
        <w:t>本程序适用于</w:t>
      </w:r>
      <w:r>
        <w:rPr>
          <w:rFonts w:hint="eastAsia" w:ascii="仿宋_GB2312" w:hAnsi="仿宋_GB2312" w:eastAsia="仿宋_GB2312" w:cs="仿宋_GB2312"/>
          <w:spacing w:val="0"/>
          <w:sz w:val="32"/>
          <w:szCs w:val="32"/>
          <w:lang w:eastAsia="zh-CN"/>
        </w:rPr>
        <w:t>西藏自治区</w:t>
      </w:r>
      <w:r>
        <w:rPr>
          <w:rFonts w:hint="eastAsia" w:ascii="仿宋_GB2312" w:hAnsi="仿宋_GB2312" w:eastAsia="仿宋_GB2312" w:cs="仿宋_GB2312"/>
          <w:spacing w:val="0"/>
          <w:sz w:val="32"/>
          <w:szCs w:val="32"/>
        </w:rPr>
        <w:t>内GMP符合性检查的申请/发起、检查和结果处理。</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bidi="ar"/>
        </w:rPr>
        <w:t xml:space="preserve">第四条 </w:t>
      </w:r>
      <w:r>
        <w:rPr>
          <w:rFonts w:hint="eastAsia" w:ascii="仿宋_GB2312" w:hAnsi="仿宋_GB2312" w:eastAsia="仿宋_GB2312" w:cs="仿宋_GB2312"/>
          <w:spacing w:val="0"/>
          <w:sz w:val="32"/>
          <w:szCs w:val="32"/>
          <w:lang w:eastAsia="zh-CN"/>
        </w:rPr>
        <w:t>西藏自治区</w:t>
      </w:r>
      <w:r>
        <w:rPr>
          <w:rFonts w:hint="eastAsia" w:ascii="仿宋_GB2312" w:hAnsi="仿宋_GB2312" w:eastAsia="仿宋_GB2312" w:cs="仿宋_GB2312"/>
          <w:spacing w:val="0"/>
          <w:sz w:val="32"/>
          <w:szCs w:val="32"/>
        </w:rPr>
        <w:t>药品监督管理局（以下简称</w:t>
      </w:r>
      <w:r>
        <w:rPr>
          <w:rFonts w:hint="eastAsia" w:ascii="仿宋_GB2312" w:hAnsi="仿宋_GB2312" w:eastAsia="仿宋_GB2312" w:cs="仿宋_GB2312"/>
          <w:spacing w:val="0"/>
          <w:sz w:val="32"/>
          <w:szCs w:val="32"/>
          <w:lang w:eastAsia="zh-CN"/>
        </w:rPr>
        <w:t>区</w:t>
      </w:r>
      <w:r>
        <w:rPr>
          <w:rFonts w:hint="eastAsia" w:ascii="仿宋_GB2312" w:hAnsi="仿宋_GB2312" w:eastAsia="仿宋_GB2312" w:cs="仿宋_GB2312"/>
          <w:spacing w:val="0"/>
          <w:sz w:val="32"/>
          <w:szCs w:val="32"/>
        </w:rPr>
        <w:t>局）药品</w:t>
      </w:r>
      <w:r>
        <w:rPr>
          <w:rFonts w:hint="eastAsia" w:ascii="仿宋_GB2312" w:hAnsi="仿宋_GB2312" w:eastAsia="仿宋_GB2312" w:cs="仿宋_GB2312"/>
          <w:spacing w:val="0"/>
          <w:sz w:val="32"/>
          <w:szCs w:val="32"/>
          <w:lang w:eastAsia="zh-CN"/>
        </w:rPr>
        <w:t>监管</w:t>
      </w:r>
      <w:r>
        <w:rPr>
          <w:rFonts w:hint="eastAsia" w:ascii="仿宋_GB2312" w:hAnsi="仿宋_GB2312" w:eastAsia="仿宋_GB2312" w:cs="仿宋_GB2312"/>
          <w:spacing w:val="0"/>
          <w:sz w:val="32"/>
          <w:szCs w:val="32"/>
        </w:rPr>
        <w:t>处、</w:t>
      </w:r>
      <w:r>
        <w:rPr>
          <w:rFonts w:hint="eastAsia" w:ascii="仿宋_GB2312" w:hAnsi="仿宋_GB2312" w:eastAsia="仿宋_GB2312" w:cs="仿宋_GB2312"/>
          <w:spacing w:val="0"/>
          <w:sz w:val="32"/>
          <w:szCs w:val="32"/>
          <w:lang w:eastAsia="zh-CN"/>
        </w:rPr>
        <w:t>西藏自治区藏药审评中心</w:t>
      </w:r>
      <w:r>
        <w:rPr>
          <w:rFonts w:hint="eastAsia" w:ascii="仿宋_GB2312" w:hAnsi="仿宋_GB2312" w:eastAsia="仿宋_GB2312" w:cs="仿宋_GB2312"/>
          <w:spacing w:val="0"/>
          <w:sz w:val="32"/>
          <w:szCs w:val="32"/>
        </w:rPr>
        <w:t>（以下简称</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）在各自职责范围内承担GMP符合性检查相关工作。</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lang w:eastAsia="zh-CN"/>
        </w:rPr>
      </w:pPr>
      <w:r>
        <w:rPr>
          <w:rFonts w:hint="eastAsia" w:ascii="仿宋_GB2312" w:hAnsi="仿宋_GB2312" w:eastAsia="仿宋_GB2312" w:cs="仿宋_GB2312"/>
          <w:spacing w:val="0"/>
          <w:sz w:val="32"/>
          <w:szCs w:val="32"/>
        </w:rPr>
        <w:t>药品</w:t>
      </w:r>
      <w:r>
        <w:rPr>
          <w:rFonts w:hint="eastAsia" w:ascii="仿宋_GB2312" w:hAnsi="仿宋_GB2312" w:eastAsia="仿宋_GB2312" w:cs="仿宋_GB2312"/>
          <w:spacing w:val="0"/>
          <w:sz w:val="32"/>
          <w:szCs w:val="32"/>
          <w:lang w:eastAsia="zh-CN"/>
        </w:rPr>
        <w:t>监管</w:t>
      </w:r>
      <w:r>
        <w:rPr>
          <w:rFonts w:hint="eastAsia" w:ascii="仿宋_GB2312" w:hAnsi="仿宋_GB2312" w:eastAsia="仿宋_GB2312" w:cs="仿宋_GB2312"/>
          <w:spacing w:val="0"/>
          <w:sz w:val="32"/>
          <w:szCs w:val="32"/>
        </w:rPr>
        <w:t>处负责全</w:t>
      </w:r>
      <w:r>
        <w:rPr>
          <w:rFonts w:hint="eastAsia" w:ascii="仿宋_GB2312" w:hAnsi="仿宋_GB2312" w:eastAsia="仿宋_GB2312" w:cs="仿宋_GB2312"/>
          <w:spacing w:val="0"/>
          <w:sz w:val="32"/>
          <w:szCs w:val="32"/>
          <w:lang w:eastAsia="zh-CN"/>
        </w:rPr>
        <w:t>区</w:t>
      </w:r>
      <w:r>
        <w:rPr>
          <w:rFonts w:hint="eastAsia" w:ascii="仿宋_GB2312" w:hAnsi="仿宋_GB2312" w:eastAsia="仿宋_GB2312" w:cs="仿宋_GB2312"/>
          <w:spacing w:val="0"/>
          <w:sz w:val="32"/>
          <w:szCs w:val="32"/>
        </w:rPr>
        <w:t>GMP符合性检查的受理和监督实施，统筹协调跨省</w:t>
      </w:r>
      <w:r>
        <w:rPr>
          <w:rFonts w:hint="eastAsia" w:ascii="仿宋_GB2312" w:hAnsi="仿宋_GB2312" w:eastAsia="仿宋_GB2312" w:cs="仿宋_GB2312"/>
          <w:spacing w:val="0"/>
          <w:sz w:val="32"/>
          <w:szCs w:val="32"/>
          <w:lang w:eastAsia="zh-CN"/>
        </w:rPr>
        <w:t>委托生产</w:t>
      </w:r>
      <w:r>
        <w:rPr>
          <w:rFonts w:hint="eastAsia" w:ascii="仿宋_GB2312" w:hAnsi="仿宋_GB2312" w:eastAsia="仿宋_GB2312" w:cs="仿宋_GB2312"/>
          <w:spacing w:val="0"/>
          <w:sz w:val="32"/>
          <w:szCs w:val="32"/>
          <w:lang w:val="en-US" w:eastAsia="zh-CN"/>
        </w:rPr>
        <w:t>GMP</w:t>
      </w:r>
      <w:r>
        <w:rPr>
          <w:rFonts w:hint="eastAsia" w:ascii="仿宋_GB2312" w:hAnsi="仿宋_GB2312" w:eastAsia="仿宋_GB2312" w:cs="仿宋_GB2312"/>
          <w:spacing w:val="0"/>
          <w:sz w:val="32"/>
          <w:szCs w:val="32"/>
          <w:lang w:eastAsia="zh-CN"/>
        </w:rPr>
        <w:t>符合性</w:t>
      </w:r>
      <w:r>
        <w:rPr>
          <w:rFonts w:hint="eastAsia" w:ascii="仿宋_GB2312" w:hAnsi="仿宋_GB2312" w:eastAsia="仿宋_GB2312" w:cs="仿宋_GB2312"/>
          <w:spacing w:val="0"/>
          <w:sz w:val="32"/>
          <w:szCs w:val="32"/>
        </w:rPr>
        <w:t>检查</w:t>
      </w:r>
      <w:r>
        <w:rPr>
          <w:rFonts w:hint="eastAsia" w:ascii="仿宋_GB2312" w:hAnsi="仿宋_GB2312" w:eastAsia="仿宋_GB2312" w:cs="仿宋_GB2312"/>
          <w:spacing w:val="0"/>
          <w:sz w:val="32"/>
          <w:szCs w:val="32"/>
          <w:lang w:eastAsia="zh-CN"/>
        </w:rPr>
        <w:t>，并对检查结果进行公告；</w:t>
      </w:r>
      <w:r>
        <w:rPr>
          <w:rFonts w:hint="eastAsia" w:ascii="仿宋_GB2312" w:hAnsi="仿宋_GB2312" w:eastAsia="仿宋_GB2312" w:cs="仿宋_GB2312"/>
          <w:spacing w:val="0"/>
          <w:sz w:val="32"/>
          <w:szCs w:val="32"/>
        </w:rPr>
        <w:t>负责辖区内持有人、药品生产企业GMP符合性检查发现存在违法违规行为查处</w:t>
      </w:r>
      <w:r>
        <w:rPr>
          <w:rFonts w:hint="eastAsia" w:ascii="仿宋_GB2312" w:hAnsi="仿宋_GB2312" w:eastAsia="仿宋_GB2312" w:cs="仿宋_GB2312"/>
          <w:spacing w:val="0"/>
          <w:sz w:val="32"/>
          <w:szCs w:val="32"/>
          <w:lang w:eastAsia="zh-CN"/>
        </w:rPr>
        <w:t>等。</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负责GMP符合性检查的具体实施，对检查结果及整改报告进行审核评估，提出检查技术意见和处理建议，出具《药品检查综合评定报告书》。</w:t>
      </w:r>
    </w:p>
    <w:p>
      <w:pPr>
        <w:keepNext w:val="0"/>
        <w:keepLines w:val="0"/>
        <w:pageBreakBefore w:val="0"/>
        <w:widowControl w:val="0"/>
        <w:kinsoku/>
        <w:wordWrap/>
        <w:overflowPunct/>
        <w:topLinePunct w:val="0"/>
        <w:autoSpaceDE/>
        <w:autoSpaceDN/>
        <w:bidi w:val="0"/>
        <w:spacing w:line="576" w:lineRule="exact"/>
        <w:ind w:left="0" w:leftChars="0" w:right="0" w:rightChars="0"/>
        <w:jc w:val="center"/>
        <w:rPr>
          <w:rFonts w:hint="eastAsia" w:ascii="方正小标宋简体" w:hAnsi="方正小标宋简体" w:eastAsia="方正小标宋简体" w:cs="方正小标宋简体"/>
          <w:spacing w:val="0"/>
          <w:sz w:val="32"/>
          <w:szCs w:val="32"/>
        </w:rPr>
      </w:pPr>
      <w:r>
        <w:rPr>
          <w:rFonts w:hint="eastAsia" w:ascii="方正小标宋简体" w:hAnsi="方正小标宋简体" w:eastAsia="方正小标宋简体" w:cs="方正小标宋简体"/>
          <w:spacing w:val="0"/>
          <w:sz w:val="32"/>
          <w:szCs w:val="32"/>
        </w:rPr>
        <w:t>第二章  依申请的GMP符合性检查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jc w:val="center"/>
        <w:rPr>
          <w:rFonts w:hint="eastAsia" w:ascii="楷体_GB2312" w:hAnsi="楷体_GB2312" w:eastAsia="楷体_GB2312" w:cs="楷体_GB2312"/>
          <w:spacing w:val="0"/>
          <w:sz w:val="32"/>
          <w:szCs w:val="32"/>
        </w:rPr>
      </w:pPr>
      <w:r>
        <w:rPr>
          <w:rFonts w:hint="eastAsia" w:ascii="楷体_GB2312" w:hAnsi="楷体_GB2312" w:eastAsia="楷体_GB2312" w:cs="楷体_GB2312"/>
          <w:spacing w:val="0"/>
          <w:sz w:val="32"/>
          <w:szCs w:val="32"/>
        </w:rPr>
        <w:t>第一节 申请情形</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bidi="ar"/>
        </w:rPr>
        <w:t xml:space="preserve">第五条 </w:t>
      </w:r>
      <w:r>
        <w:rPr>
          <w:rFonts w:hint="eastAsia" w:ascii="仿宋_GB2312" w:hAnsi="仿宋_GB2312" w:eastAsia="仿宋_GB2312" w:cs="仿宋_GB2312"/>
          <w:spacing w:val="0"/>
          <w:sz w:val="32"/>
          <w:szCs w:val="32"/>
        </w:rPr>
        <w:t>符合下列情形之一的，持有人、药品生产企业可依法申请并配合开展上市前GMP符合性检查：</w:t>
      </w:r>
    </w:p>
    <w:p>
      <w:pPr>
        <w:pStyle w:val="5"/>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（一）申请创新药、改良型新药以及生物制品等注册上市的；</w:t>
      </w:r>
    </w:p>
    <w:p>
      <w:pPr>
        <w:pStyle w:val="5"/>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6" w:lineRule="exact"/>
        <w:ind w:left="0" w:leftChars="0" w:right="0" w:rightChars="0" w:firstLine="640" w:firstLineChars="200"/>
        <w:jc w:val="both"/>
        <w:textAlignment w:val="auto"/>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（二）申请仿制药、古代经典名方中药复方制剂、同名同方药等注册上市，且相应制剂车间或生产线三年内未通过GMP符合性检查的；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（三）其他依据风险管理原则，药品监管部门认为需要申请检查的。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bidi="ar"/>
        </w:rPr>
        <w:t xml:space="preserve">第六条 </w:t>
      </w:r>
      <w:r>
        <w:rPr>
          <w:rFonts w:hint="eastAsia" w:ascii="仿宋_GB2312" w:hAnsi="仿宋_GB2312" w:eastAsia="仿宋_GB2312" w:cs="仿宋_GB2312"/>
          <w:spacing w:val="0"/>
          <w:sz w:val="32"/>
          <w:szCs w:val="32"/>
        </w:rPr>
        <w:t>符合下列情形之一的，持有人、药品生产企业可依法申请并配合开展上市后GMP符合性检查：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（一）已批准再注册药品恢复生产，该品种所在生产线未通过GMP符合性检查或处于停产状态的；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（二）持有人发生变更的；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（三）药品注册证书及其附件载明内容发生重大变更，需要进行相关检查的；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（四）首次申请《药品生产许可证》的；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（五）药品生产场地发生变更的（含原址或者异地新建、改建、扩建车间或者生产线的）；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（六）申请重新发放《药品生产许可证》时，依据风险管理原则，需要开展GMP符合性检查的；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（七）受托生产企业涉及的车间或者生产线未经过GMP符合性检查的；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（八）申请药品出口销售证明文件需要检查的；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（九）因生产车间/生产线主动停产拟恢复生产的；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（十）被监管部门责令停产停业后拟恢复生产的；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（十</w:t>
      </w:r>
      <w:r>
        <w:rPr>
          <w:rFonts w:hint="eastAsia" w:ascii="仿宋_GB2312" w:hAnsi="仿宋_GB2312" w:eastAsia="仿宋_GB2312" w:cs="仿宋_GB2312"/>
          <w:spacing w:val="0"/>
          <w:sz w:val="32"/>
          <w:szCs w:val="32"/>
          <w:lang w:eastAsia="zh-CN"/>
        </w:rPr>
        <w:t>一</w:t>
      </w:r>
      <w:r>
        <w:rPr>
          <w:rFonts w:hint="eastAsia" w:ascii="仿宋_GB2312" w:hAnsi="仿宋_GB2312" w:eastAsia="仿宋_GB2312" w:cs="仿宋_GB2312"/>
          <w:spacing w:val="0"/>
          <w:sz w:val="32"/>
          <w:szCs w:val="32"/>
        </w:rPr>
        <w:t>）其他依据风险管理原则，药品监管部门认为需要申请检查的。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jc w:val="center"/>
        <w:rPr>
          <w:rFonts w:hint="eastAsia" w:ascii="楷体_GB2312" w:hAnsi="楷体_GB2312" w:eastAsia="楷体_GB2312" w:cs="楷体_GB2312"/>
          <w:spacing w:val="0"/>
          <w:sz w:val="32"/>
          <w:szCs w:val="32"/>
        </w:rPr>
      </w:pPr>
      <w:r>
        <w:rPr>
          <w:rFonts w:hint="eastAsia" w:ascii="楷体_GB2312" w:hAnsi="楷体_GB2312" w:eastAsia="楷体_GB2312" w:cs="楷体_GB2312"/>
          <w:spacing w:val="0"/>
          <w:sz w:val="32"/>
          <w:szCs w:val="32"/>
        </w:rPr>
        <w:t>第二节 申请程序</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bidi="ar"/>
        </w:rPr>
        <w:t xml:space="preserve">第七条 </w:t>
      </w:r>
      <w:r>
        <w:rPr>
          <w:rFonts w:hint="eastAsia" w:ascii="仿宋_GB2312" w:hAnsi="仿宋_GB2312" w:eastAsia="仿宋_GB2312" w:cs="仿宋_GB2312"/>
          <w:spacing w:val="0"/>
          <w:sz w:val="32"/>
          <w:szCs w:val="32"/>
        </w:rPr>
        <w:t>持有人、药品生产企业（以下简称申请人）应当依据《国家药监局关于实施新修订〈药品生产监督管理办法〉有关事项的公告》(2020年第47号)附件材料要求，向药品</w:t>
      </w:r>
      <w:r>
        <w:rPr>
          <w:rFonts w:hint="eastAsia" w:ascii="仿宋_GB2312" w:hAnsi="仿宋_GB2312" w:eastAsia="仿宋_GB2312" w:cs="仿宋_GB2312"/>
          <w:spacing w:val="0"/>
          <w:sz w:val="32"/>
          <w:szCs w:val="32"/>
          <w:lang w:eastAsia="zh-CN"/>
        </w:rPr>
        <w:t>监管</w:t>
      </w:r>
      <w:r>
        <w:rPr>
          <w:rFonts w:hint="eastAsia" w:ascii="仿宋_GB2312" w:hAnsi="仿宋_GB2312" w:eastAsia="仿宋_GB2312" w:cs="仿宋_GB2312"/>
          <w:spacing w:val="0"/>
          <w:sz w:val="32"/>
          <w:szCs w:val="32"/>
        </w:rPr>
        <w:t>处提交GMP符合性检查申请材料（见附</w:t>
      </w:r>
      <w:r>
        <w:rPr>
          <w:rFonts w:hint="eastAsia" w:ascii="仿宋_GB2312" w:hAnsi="仿宋_GB2312" w:eastAsia="仿宋_GB2312" w:cs="仿宋_GB2312"/>
          <w:spacing w:val="0"/>
          <w:sz w:val="32"/>
          <w:szCs w:val="32"/>
          <w:lang w:eastAsia="zh-CN"/>
        </w:rPr>
        <w:t>件</w:t>
      </w:r>
      <w:r>
        <w:rPr>
          <w:rFonts w:hint="eastAsia" w:ascii="仿宋_GB2312" w:hAnsi="仿宋_GB2312" w:eastAsia="仿宋_GB2312" w:cs="仿宋_GB2312"/>
          <w:spacing w:val="0"/>
          <w:sz w:val="32"/>
          <w:szCs w:val="32"/>
        </w:rPr>
        <w:t>1、附</w:t>
      </w:r>
      <w:r>
        <w:rPr>
          <w:rFonts w:hint="eastAsia" w:ascii="仿宋_GB2312" w:hAnsi="仿宋_GB2312" w:eastAsia="仿宋_GB2312" w:cs="仿宋_GB2312"/>
          <w:spacing w:val="0"/>
          <w:sz w:val="32"/>
          <w:szCs w:val="32"/>
          <w:lang w:eastAsia="zh-CN"/>
        </w:rPr>
        <w:t>件</w:t>
      </w:r>
      <w:r>
        <w:rPr>
          <w:rFonts w:hint="eastAsia" w:ascii="仿宋_GB2312" w:hAnsi="仿宋_GB2312" w:eastAsia="仿宋_GB2312" w:cs="仿宋_GB2312"/>
          <w:spacing w:val="0"/>
          <w:sz w:val="32"/>
          <w:szCs w:val="32"/>
        </w:rPr>
        <w:t xml:space="preserve">2）。 </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bidi="ar"/>
        </w:rPr>
        <w:t xml:space="preserve">第八条 </w:t>
      </w:r>
      <w:r>
        <w:rPr>
          <w:rFonts w:hint="eastAsia" w:ascii="仿宋_GB2312" w:hAnsi="仿宋_GB2312" w:eastAsia="仿宋_GB2312" w:cs="仿宋_GB2312"/>
          <w:spacing w:val="0"/>
          <w:sz w:val="32"/>
          <w:szCs w:val="32"/>
        </w:rPr>
        <w:t>持有人自行生产药品的，由持有人提交GMP符合性检查申请。</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委托生产药品的，由持有人提交GMP符合性检查申请，必要时对受托方开展延伸检查或由受托方所在地省级药品监管部门出具拟受托生产车间/生产线通过GMP符合性检查的相关证明性材料。</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需同步进行药品注册现场核查和上市前GMP符合性检查的，持有人在收到药品注册现场核查通知时，应当按本程序规定向药品</w:t>
      </w:r>
      <w:r>
        <w:rPr>
          <w:rFonts w:hint="eastAsia" w:ascii="仿宋_GB2312" w:hAnsi="仿宋_GB2312" w:eastAsia="仿宋_GB2312" w:cs="仿宋_GB2312"/>
          <w:spacing w:val="0"/>
          <w:sz w:val="32"/>
          <w:szCs w:val="32"/>
          <w:lang w:eastAsia="zh-CN"/>
        </w:rPr>
        <w:t>监管</w:t>
      </w:r>
      <w:r>
        <w:rPr>
          <w:rFonts w:hint="eastAsia" w:ascii="仿宋_GB2312" w:hAnsi="仿宋_GB2312" w:eastAsia="仿宋_GB2312" w:cs="仿宋_GB2312"/>
          <w:spacing w:val="0"/>
          <w:sz w:val="32"/>
          <w:szCs w:val="32"/>
        </w:rPr>
        <w:t>处提出上市前GMP符合性检查申请。</w:t>
      </w:r>
    </w:p>
    <w:p>
      <w:pPr>
        <w:pStyle w:val="5"/>
        <w:keepNext w:val="0"/>
        <w:keepLines w:val="0"/>
        <w:pageBreakBefore w:val="0"/>
        <w:widowControl w:val="0"/>
        <w:numPr>
          <w:ilvl w:val="0"/>
          <w:numId w:val="2"/>
        </w:numPr>
        <w:kinsoku/>
        <w:wordWrap/>
        <w:overflowPunct/>
        <w:topLinePunct w:val="0"/>
        <w:autoSpaceDE/>
        <w:autoSpaceDN/>
        <w:bidi w:val="0"/>
        <w:spacing w:before="0" w:beforeAutospacing="0" w:after="0" w:afterAutospacing="0" w:line="576" w:lineRule="exact"/>
        <w:ind w:left="0" w:leftChars="0" w:right="0" w:rightChars="0" w:firstLine="640" w:firstLineChars="200"/>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自收到GMP符合性检查申请资料后，应在5个工作日内对申请资料进行形式审查。申请资料不齐全或者不符合法定形式的，应当一次性告知申请人需要补正的全部内容，5个工作日内不告知的视为受理。资料齐全</w:t>
      </w:r>
      <w:r>
        <w:rPr>
          <w:rFonts w:hint="eastAsia" w:ascii="仿宋_GB2312" w:hAnsi="仿宋_GB2312" w:eastAsia="仿宋_GB2312" w:cs="仿宋_GB2312"/>
          <w:spacing w:val="0"/>
          <w:sz w:val="32"/>
          <w:szCs w:val="32"/>
          <w:lang w:eastAsia="zh-CN"/>
        </w:rPr>
        <w:t>且经藏药审评认证中心技术审查符合后</w:t>
      </w:r>
      <w:r>
        <w:rPr>
          <w:rFonts w:hint="eastAsia" w:ascii="仿宋_GB2312" w:hAnsi="仿宋_GB2312" w:eastAsia="仿宋_GB2312" w:cs="仿宋_GB2312"/>
          <w:spacing w:val="0"/>
          <w:sz w:val="32"/>
          <w:szCs w:val="32"/>
        </w:rPr>
        <w:t>，应予受理</w:t>
      </w:r>
      <w:r>
        <w:rPr>
          <w:rFonts w:hint="eastAsia" w:ascii="仿宋_GB2312" w:hAnsi="仿宋_GB2312" w:eastAsia="仿宋_GB2312" w:cs="仿宋_GB2312"/>
          <w:spacing w:val="0"/>
          <w:sz w:val="32"/>
          <w:szCs w:val="32"/>
          <w:lang w:eastAsia="zh-CN"/>
        </w:rPr>
        <w:t>，并及时将书面委托和</w:t>
      </w:r>
      <w:r>
        <w:rPr>
          <w:rFonts w:hint="eastAsia" w:ascii="仿宋_GB2312" w:hAnsi="仿宋_GB2312" w:eastAsia="仿宋_GB2312" w:cs="仿宋_GB2312"/>
          <w:spacing w:val="0"/>
          <w:sz w:val="32"/>
          <w:szCs w:val="32"/>
        </w:rPr>
        <w:t>申请资料转</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开展现场检查。</w:t>
      </w:r>
    </w:p>
    <w:p>
      <w:pPr>
        <w:pStyle w:val="5"/>
        <w:keepNext w:val="0"/>
        <w:keepLines w:val="0"/>
        <w:pageBreakBefore w:val="0"/>
        <w:widowControl w:val="0"/>
        <w:numPr>
          <w:ilvl w:val="0"/>
          <w:numId w:val="0"/>
        </w:numPr>
        <w:kinsoku/>
        <w:wordWrap/>
        <w:overflowPunct/>
        <w:topLinePunct w:val="0"/>
        <w:autoSpaceDE/>
        <w:autoSpaceDN/>
        <w:bidi w:val="0"/>
        <w:spacing w:before="0" w:beforeAutospacing="0" w:after="0" w:afterAutospacing="0" w:line="576" w:lineRule="exact"/>
        <w:ind w:left="0" w:leftChars="0" w:right="0" w:rightChars="0" w:firstLine="640" w:firstLineChars="200"/>
        <w:jc w:val="both"/>
        <w:rPr>
          <w:rFonts w:hint="default"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rPr>
        <w:t>申请人应当在5个工作日内完成材料补正。无正当理由逾期不予补正的，视为放弃申请，无需作出不予受理的决定。</w:t>
      </w:r>
    </w:p>
    <w:p>
      <w:pPr>
        <w:pStyle w:val="5"/>
        <w:keepNext w:val="0"/>
        <w:keepLines w:val="0"/>
        <w:pageBreakBefore w:val="0"/>
        <w:widowControl w:val="0"/>
        <w:numPr>
          <w:ilvl w:val="0"/>
          <w:numId w:val="0"/>
        </w:numPr>
        <w:kinsoku/>
        <w:wordWrap/>
        <w:overflowPunct/>
        <w:topLinePunct w:val="0"/>
        <w:autoSpaceDE/>
        <w:autoSpaceDN/>
        <w:bidi w:val="0"/>
        <w:spacing w:before="0" w:beforeAutospacing="0" w:after="0" w:afterAutospacing="0" w:line="576" w:lineRule="exact"/>
        <w:ind w:left="0" w:leftChars="0" w:right="0" w:rightChars="0" w:firstLine="640" w:firstLineChars="200"/>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第十条</w:t>
      </w:r>
      <w:r>
        <w:rPr>
          <w:rFonts w:hint="eastAsia" w:ascii="仿宋_GB2312" w:hAnsi="仿宋_GB2312" w:eastAsia="仿宋_GB2312" w:cs="仿宋_GB2312"/>
          <w:color w:val="333333"/>
          <w:spacing w:val="0"/>
          <w:sz w:val="32"/>
          <w:szCs w:val="32"/>
          <w:lang w:bidi="ar"/>
        </w:rPr>
        <w:t xml:space="preserve"> </w:t>
      </w:r>
      <w:r>
        <w:rPr>
          <w:rFonts w:hint="eastAsia" w:ascii="仿宋_GB2312" w:hAnsi="仿宋_GB2312" w:eastAsia="仿宋_GB2312" w:cs="仿宋_GB2312"/>
          <w:spacing w:val="0"/>
          <w:sz w:val="32"/>
          <w:szCs w:val="32"/>
        </w:rPr>
        <w:t>已受理的申请，申请人可在</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发出检查通知前，向药品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书面提出撤回GMP符合性检查申请并说明理由，药品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应及时将撤回情况书面通知</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jc w:val="center"/>
        <w:rPr>
          <w:rFonts w:hint="eastAsia" w:ascii="楷体_GB2312" w:hAnsi="楷体_GB2312" w:eastAsia="楷体_GB2312" w:cs="楷体_GB2312"/>
          <w:spacing w:val="0"/>
          <w:sz w:val="32"/>
          <w:szCs w:val="32"/>
        </w:rPr>
      </w:pPr>
      <w:r>
        <w:rPr>
          <w:rFonts w:hint="eastAsia" w:ascii="楷体_GB2312" w:hAnsi="楷体_GB2312" w:eastAsia="楷体_GB2312" w:cs="楷体_GB2312"/>
          <w:spacing w:val="0"/>
          <w:sz w:val="32"/>
          <w:szCs w:val="32"/>
        </w:rPr>
        <w:t>第三节 检查实施</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第十一条</w:t>
      </w:r>
      <w:r>
        <w:rPr>
          <w:rFonts w:hint="eastAsia" w:ascii="仿宋_GB2312" w:hAnsi="仿宋_GB2312" w:eastAsia="仿宋_GB2312" w:cs="仿宋_GB2312"/>
          <w:spacing w:val="0"/>
          <w:sz w:val="32"/>
          <w:szCs w:val="32"/>
        </w:rPr>
        <w:t xml:space="preserve"> </w:t>
      </w:r>
      <w:r>
        <w:rPr>
          <w:rFonts w:hint="eastAsia" w:ascii="仿宋_GB2312" w:hAnsi="仿宋_GB2312" w:eastAsia="仿宋_GB2312" w:cs="仿宋_GB2312"/>
          <w:spacing w:val="0"/>
          <w:sz w:val="32"/>
          <w:szCs w:val="32"/>
          <w:lang w:eastAsia="zh-CN"/>
        </w:rPr>
        <w:t>藏药审评中心应在检查前</w:t>
      </w:r>
      <w:r>
        <w:rPr>
          <w:rFonts w:hint="eastAsia" w:ascii="仿宋_GB2312" w:hAnsi="仿宋_GB2312" w:eastAsia="仿宋_GB2312" w:cs="仿宋_GB2312"/>
          <w:spacing w:val="0"/>
          <w:sz w:val="32"/>
          <w:szCs w:val="32"/>
          <w:lang w:val="en-US" w:eastAsia="zh-CN"/>
        </w:rPr>
        <w:t>3个工作日内向申请人发出GMP符合性检查安排通知，</w:t>
      </w:r>
      <w:r>
        <w:rPr>
          <w:rFonts w:hint="eastAsia" w:ascii="仿宋_GB2312" w:hAnsi="仿宋_GB2312" w:eastAsia="仿宋_GB2312" w:cs="仿宋_GB2312"/>
          <w:spacing w:val="0"/>
          <w:sz w:val="32"/>
          <w:szCs w:val="32"/>
        </w:rPr>
        <w:t>申请人收到GMP符合性检查安排通知后，应当及时通知相关方共同做好检查前的准备工作，包括但不限于准备动态排产计划等</w:t>
      </w:r>
      <w:r>
        <w:rPr>
          <w:rFonts w:hint="eastAsia" w:ascii="仿宋_GB2312" w:hAnsi="仿宋_GB2312" w:eastAsia="仿宋_GB2312" w:cs="仿宋_GB2312"/>
          <w:spacing w:val="0"/>
          <w:sz w:val="32"/>
          <w:szCs w:val="32"/>
          <w:lang w:eastAsia="zh-CN"/>
        </w:rPr>
        <w:t>，</w:t>
      </w:r>
      <w:r>
        <w:rPr>
          <w:rFonts w:hint="eastAsia" w:ascii="仿宋_GB2312" w:hAnsi="仿宋_GB2312" w:eastAsia="仿宋_GB2312" w:cs="仿宋_GB2312"/>
          <w:spacing w:val="0"/>
          <w:sz w:val="32"/>
          <w:szCs w:val="32"/>
        </w:rPr>
        <w:t>必要时与</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作必要的沟通，并在规定时限内接受检查。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生产企业应当安排与检查相关的动态生产，申请人及其相关方应当及时提供检查所需的全部材料并确认检查相关文书。必要时，还应配合检查组进行抽样、送样等工作。</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无正当理由不按时接受检查或不配合检查导致检查无法完成的，由</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直接给予“不符合要求”的现场检查结论。</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第十二条 </w:t>
      </w:r>
      <w:r>
        <w:rPr>
          <w:rFonts w:hint="eastAsia" w:ascii="仿宋_GB2312" w:hAnsi="仿宋_GB2312" w:eastAsia="仿宋_GB2312" w:cs="仿宋_GB2312"/>
          <w:spacing w:val="0"/>
          <w:sz w:val="32"/>
          <w:szCs w:val="32"/>
          <w:lang w:eastAsia="zh-CN"/>
        </w:rPr>
        <w:t>受药品监管处委托，藏药审评中心</w:t>
      </w:r>
      <w:r>
        <w:rPr>
          <w:rFonts w:hint="eastAsia" w:ascii="仿宋_GB2312" w:hAnsi="仿宋_GB2312" w:eastAsia="仿宋_GB2312" w:cs="仿宋_GB2312"/>
          <w:spacing w:val="0"/>
          <w:sz w:val="32"/>
          <w:szCs w:val="32"/>
        </w:rPr>
        <w:t>应按照法律法规、规范、标准和</w:t>
      </w:r>
      <w:r>
        <w:rPr>
          <w:rFonts w:hint="eastAsia" w:ascii="仿宋_GB2312" w:hAnsi="仿宋_GB2312" w:eastAsia="仿宋_GB2312" w:cs="仿宋_GB2312"/>
          <w:spacing w:val="0"/>
          <w:sz w:val="32"/>
          <w:szCs w:val="32"/>
          <w:lang w:eastAsia="zh-CN"/>
        </w:rPr>
        <w:t>区局</w:t>
      </w:r>
      <w:r>
        <w:rPr>
          <w:rFonts w:hint="eastAsia" w:ascii="仿宋_GB2312" w:hAnsi="仿宋_GB2312" w:eastAsia="仿宋_GB2312" w:cs="仿宋_GB2312"/>
          <w:spacing w:val="0"/>
          <w:sz w:val="32"/>
          <w:szCs w:val="32"/>
        </w:rPr>
        <w:t>有关规定组织检查，结合药品</w:t>
      </w:r>
      <w:r>
        <w:rPr>
          <w:rFonts w:hint="eastAsia" w:ascii="仿宋_GB2312" w:hAnsi="仿宋_GB2312" w:eastAsia="仿宋_GB2312" w:cs="仿宋_GB2312"/>
          <w:spacing w:val="0"/>
          <w:sz w:val="32"/>
          <w:szCs w:val="32"/>
          <w:lang w:eastAsia="zh-CN"/>
        </w:rPr>
        <w:t>监管处委托函</w:t>
      </w:r>
      <w:r>
        <w:rPr>
          <w:rFonts w:hint="eastAsia" w:ascii="仿宋_GB2312" w:hAnsi="仿宋_GB2312" w:eastAsia="仿宋_GB2312" w:cs="仿宋_GB2312"/>
          <w:spacing w:val="0"/>
          <w:sz w:val="32"/>
          <w:szCs w:val="32"/>
        </w:rPr>
        <w:t>上提及的信息确定检查方式、制定检查方案并实施检查。必要时，可对受托方开展延伸检查。需跨省检查或协查的，</w:t>
      </w:r>
      <w:r>
        <w:rPr>
          <w:rFonts w:hint="eastAsia" w:ascii="仿宋_GB2312" w:hAnsi="仿宋_GB2312" w:eastAsia="仿宋_GB2312" w:cs="仿宋_GB2312"/>
          <w:spacing w:val="0"/>
          <w:sz w:val="32"/>
          <w:szCs w:val="32"/>
          <w:lang w:eastAsia="zh-CN"/>
        </w:rPr>
        <w:t>由</w:t>
      </w:r>
      <w:r>
        <w:rPr>
          <w:rFonts w:hint="eastAsia" w:ascii="仿宋_GB2312" w:hAnsi="仿宋_GB2312" w:eastAsia="仿宋_GB2312" w:cs="仿宋_GB2312"/>
          <w:spacing w:val="0"/>
          <w:sz w:val="32"/>
          <w:szCs w:val="32"/>
        </w:rPr>
        <w:t>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协调</w:t>
      </w:r>
      <w:r>
        <w:rPr>
          <w:rFonts w:hint="eastAsia" w:ascii="仿宋_GB2312" w:hAnsi="仿宋_GB2312" w:eastAsia="仿宋_GB2312" w:cs="仿宋_GB2312"/>
          <w:spacing w:val="0"/>
          <w:sz w:val="32"/>
          <w:szCs w:val="32"/>
          <w:lang w:eastAsia="zh-CN"/>
        </w:rPr>
        <w:t>组织</w:t>
      </w:r>
      <w:r>
        <w:rPr>
          <w:rFonts w:hint="eastAsia" w:ascii="仿宋_GB2312" w:hAnsi="仿宋_GB2312" w:eastAsia="仿宋_GB2312" w:cs="仿宋_GB2312"/>
          <w:spacing w:val="0"/>
          <w:sz w:val="32"/>
          <w:szCs w:val="32"/>
        </w:rPr>
        <w:t>开展。</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第十三条</w:t>
      </w:r>
      <w:r>
        <w:rPr>
          <w:rFonts w:hint="eastAsia" w:ascii="仿宋_GB2312" w:hAnsi="仿宋_GB2312" w:eastAsia="仿宋_GB2312" w:cs="仿宋_GB2312"/>
          <w:spacing w:val="0"/>
          <w:sz w:val="32"/>
          <w:szCs w:val="32"/>
        </w:rPr>
        <w:t xml:space="preserve"> </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应当基于风险制定检查方案，原则上应当采取全面的、动态的现场检查。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第十四条 </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应当自收到药品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流转材料之日起30个工作日内实施现场检查。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color w:val="333333"/>
          <w:spacing w:val="0"/>
          <w:sz w:val="32"/>
          <w:szCs w:val="32"/>
          <w:lang w:bidi="ar"/>
        </w:rPr>
      </w:pPr>
      <w:r>
        <w:rPr>
          <w:rFonts w:hint="eastAsia" w:ascii="黑体" w:hAnsi="黑体" w:eastAsia="黑体" w:cs="黑体"/>
          <w:color w:val="333333"/>
          <w:spacing w:val="0"/>
          <w:sz w:val="32"/>
          <w:szCs w:val="32"/>
          <w:lang w:eastAsia="zh-CN" w:bidi="ar"/>
        </w:rPr>
        <w:t xml:space="preserve">第十五条 </w:t>
      </w:r>
      <w:r>
        <w:rPr>
          <w:rFonts w:hint="eastAsia" w:ascii="仿宋_GB2312" w:hAnsi="仿宋_GB2312" w:eastAsia="仿宋_GB2312" w:cs="仿宋_GB2312"/>
          <w:spacing w:val="0"/>
          <w:sz w:val="32"/>
          <w:szCs w:val="32"/>
        </w:rPr>
        <w:t>检查组应当依据《药品检查管理办法（试行）》等有关规定确定检查缺陷的风险等级和现场检查结论。检查缺陷依风险等级降低依次分为严重缺陷、主要缺陷和一般缺陷。现场检查结论分为符合要求、待整改后评定和不符合要求。</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第十六条 </w:t>
      </w:r>
      <w:r>
        <w:rPr>
          <w:rFonts w:hint="eastAsia" w:ascii="仿宋_GB2312" w:hAnsi="仿宋_GB2312" w:eastAsia="仿宋_GB2312" w:cs="仿宋_GB2312"/>
          <w:spacing w:val="0"/>
          <w:sz w:val="32"/>
          <w:szCs w:val="32"/>
        </w:rPr>
        <w:t>检查组应当综合申请人质量管理体系运行情况，评估缺陷造成危害的严重性及危害发生的可能性，提出采取相应风险控制措施的处理建议。</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检查结束前，检查组应当向申请人通报、确认现场检查情况，包括但不限于检查缺陷项目、风险等级、现场检查结论等。</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申请人有异议的，可以当场提出、提交证据和书面材料进行陈述申辩。检查组应当如实记录，并结合陈述申辩内容，客观、公平、公正地确定检查缺陷并合理分级。</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第十七条 </w:t>
      </w:r>
      <w:r>
        <w:rPr>
          <w:rFonts w:hint="eastAsia" w:ascii="仿宋_GB2312" w:hAnsi="仿宋_GB2312" w:eastAsia="仿宋_GB2312" w:cs="仿宋_GB2312"/>
          <w:spacing w:val="0"/>
          <w:sz w:val="32"/>
          <w:szCs w:val="32"/>
        </w:rPr>
        <w:t>药品GMP符合性检查缺陷项目表（见</w:t>
      </w:r>
      <w:r>
        <w:rPr>
          <w:rFonts w:hint="eastAsia" w:ascii="仿宋_GB2312" w:hAnsi="仿宋_GB2312" w:eastAsia="仿宋_GB2312" w:cs="仿宋_GB2312"/>
          <w:spacing w:val="0"/>
          <w:sz w:val="32"/>
          <w:szCs w:val="32"/>
          <w:lang w:eastAsia="zh-CN"/>
        </w:rPr>
        <w:t>附件</w:t>
      </w:r>
      <w:r>
        <w:rPr>
          <w:rFonts w:hint="eastAsia" w:ascii="仿宋_GB2312" w:hAnsi="仿宋_GB2312" w:eastAsia="仿宋_GB2312" w:cs="仿宋_GB2312"/>
          <w:spacing w:val="0"/>
          <w:sz w:val="32"/>
          <w:szCs w:val="32"/>
          <w:lang w:val="en-US" w:eastAsia="zh-CN"/>
        </w:rPr>
        <w:t>3</w:t>
      </w:r>
      <w:r>
        <w:rPr>
          <w:rFonts w:hint="eastAsia" w:ascii="仿宋_GB2312" w:hAnsi="仿宋_GB2312" w:eastAsia="仿宋_GB2312" w:cs="仿宋_GB2312"/>
          <w:spacing w:val="0"/>
          <w:sz w:val="32"/>
          <w:szCs w:val="32"/>
        </w:rPr>
        <w:t>）应经检查组全体成员和企业负责人签字确认。</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申请人拒绝签字确认的，检查组应在药品GMP符合性检查报告（见</w:t>
      </w:r>
      <w:r>
        <w:rPr>
          <w:rFonts w:hint="eastAsia" w:ascii="仿宋_GB2312" w:hAnsi="仿宋_GB2312" w:eastAsia="仿宋_GB2312" w:cs="仿宋_GB2312"/>
          <w:spacing w:val="0"/>
          <w:sz w:val="32"/>
          <w:szCs w:val="32"/>
          <w:lang w:eastAsia="zh-CN"/>
        </w:rPr>
        <w:t>附件</w:t>
      </w:r>
      <w:r>
        <w:rPr>
          <w:rFonts w:hint="eastAsia" w:ascii="仿宋_GB2312" w:hAnsi="仿宋_GB2312" w:eastAsia="仿宋_GB2312" w:cs="仿宋_GB2312"/>
          <w:spacing w:val="0"/>
          <w:sz w:val="32"/>
          <w:szCs w:val="32"/>
          <w:lang w:val="en-US" w:eastAsia="zh-CN"/>
        </w:rPr>
        <w:t>3</w:t>
      </w:r>
      <w:r>
        <w:rPr>
          <w:rFonts w:hint="eastAsia" w:ascii="仿宋_GB2312" w:hAnsi="仿宋_GB2312" w:eastAsia="仿宋_GB2312" w:cs="仿宋_GB2312"/>
          <w:spacing w:val="0"/>
          <w:sz w:val="32"/>
          <w:szCs w:val="32"/>
        </w:rPr>
        <w:t>）和检查缺陷项目表中注明“被检查单位拒绝签字”字样，并经检查组全体成员签字确认。申请人应当就拒绝签字情况另行书面说明，经企业负责人签字，并加盖公章后交检查组。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color w:val="FF0000"/>
          <w:spacing w:val="0"/>
          <w:sz w:val="32"/>
          <w:szCs w:val="32"/>
        </w:rPr>
      </w:pPr>
      <w:r>
        <w:rPr>
          <w:rFonts w:hint="eastAsia" w:ascii="仿宋_GB2312" w:hAnsi="仿宋_GB2312" w:eastAsia="仿宋_GB2312" w:cs="仿宋_GB2312"/>
          <w:spacing w:val="0"/>
          <w:sz w:val="32"/>
          <w:szCs w:val="32"/>
        </w:rPr>
        <w:t>检查完成后，检查组应当于5个工作日内将检查报告、检查记录及相关资料报送</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应当自收到现场检查报告后15个工作日内</w:t>
      </w:r>
      <w:r>
        <w:rPr>
          <w:rFonts w:hint="eastAsia" w:ascii="仿宋_GB2312" w:hAnsi="仿宋_GB2312" w:eastAsia="仿宋_GB2312" w:cs="仿宋_GB2312"/>
          <w:spacing w:val="0"/>
          <w:sz w:val="32"/>
          <w:szCs w:val="32"/>
          <w:lang w:eastAsia="zh-CN"/>
        </w:rPr>
        <w:t>对</w:t>
      </w:r>
      <w:r>
        <w:rPr>
          <w:rFonts w:hint="eastAsia" w:ascii="仿宋_GB2312" w:hAnsi="仿宋_GB2312" w:eastAsia="仿宋_GB2312" w:cs="仿宋_GB2312"/>
          <w:spacing w:val="0"/>
          <w:sz w:val="32"/>
          <w:szCs w:val="32"/>
        </w:rPr>
        <w:t>现场检查报告</w:t>
      </w:r>
      <w:r>
        <w:rPr>
          <w:rFonts w:hint="eastAsia" w:ascii="仿宋_GB2312" w:hAnsi="仿宋_GB2312" w:eastAsia="仿宋_GB2312" w:cs="仿宋_GB2312"/>
          <w:spacing w:val="0"/>
          <w:sz w:val="32"/>
          <w:szCs w:val="32"/>
          <w:lang w:eastAsia="zh-CN"/>
        </w:rPr>
        <w:t>进行风险研判</w:t>
      </w:r>
      <w:r>
        <w:rPr>
          <w:rFonts w:hint="eastAsia" w:ascii="仿宋_GB2312" w:hAnsi="仿宋_GB2312" w:eastAsia="仿宋_GB2312" w:cs="仿宋_GB2312"/>
          <w:spacing w:val="0"/>
          <w:sz w:val="32"/>
          <w:szCs w:val="32"/>
        </w:rPr>
        <w:t>，并形成意见。必要时可对缺陷项目和检查结论进行重新调整和认定，并及时将调整后的缺陷项目以《药品GMP符合性检查缺陷</w:t>
      </w:r>
      <w:r>
        <w:rPr>
          <w:rFonts w:hint="eastAsia" w:ascii="仿宋_GB2312" w:hAnsi="仿宋_GB2312" w:eastAsia="仿宋_GB2312" w:cs="仿宋_GB2312"/>
          <w:spacing w:val="0"/>
          <w:sz w:val="32"/>
          <w:szCs w:val="32"/>
          <w:lang w:eastAsia="zh-CN"/>
        </w:rPr>
        <w:t>调整</w:t>
      </w:r>
      <w:r>
        <w:rPr>
          <w:rFonts w:hint="eastAsia" w:ascii="仿宋_GB2312" w:hAnsi="仿宋_GB2312" w:eastAsia="仿宋_GB2312" w:cs="仿宋_GB2312"/>
          <w:spacing w:val="0"/>
          <w:sz w:val="32"/>
          <w:szCs w:val="32"/>
        </w:rPr>
        <w:t>通知单》（见附</w:t>
      </w:r>
      <w:r>
        <w:rPr>
          <w:rFonts w:hint="eastAsia" w:ascii="仿宋_GB2312" w:hAnsi="仿宋_GB2312" w:eastAsia="仿宋_GB2312" w:cs="仿宋_GB2312"/>
          <w:spacing w:val="0"/>
          <w:sz w:val="32"/>
          <w:szCs w:val="32"/>
          <w:lang w:eastAsia="zh-CN"/>
        </w:rPr>
        <w:t>件</w:t>
      </w:r>
      <w:r>
        <w:rPr>
          <w:rFonts w:hint="eastAsia" w:ascii="仿宋_GB2312" w:hAnsi="仿宋_GB2312" w:eastAsia="仿宋_GB2312" w:cs="仿宋_GB2312"/>
          <w:spacing w:val="0"/>
          <w:sz w:val="32"/>
          <w:szCs w:val="32"/>
        </w:rPr>
        <w:t>4）书面提供给申请人。申请人对检查缺陷有异议的，可以在收到通知单后5个工作日内向</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提出异议。</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应对企业提出的异议认真研究，必要时召开沟通交流会议，</w:t>
      </w:r>
      <w:r>
        <w:rPr>
          <w:rFonts w:hint="eastAsia" w:ascii="仿宋_GB2312" w:hAnsi="仿宋_GB2312" w:eastAsia="仿宋_GB2312" w:cs="仿宋_GB2312"/>
          <w:spacing w:val="0"/>
          <w:sz w:val="32"/>
          <w:szCs w:val="32"/>
          <w:lang w:eastAsia="zh-CN"/>
        </w:rPr>
        <w:t>再次</w:t>
      </w:r>
      <w:r>
        <w:rPr>
          <w:rFonts w:hint="eastAsia" w:ascii="仿宋_GB2312" w:hAnsi="仿宋_GB2312" w:eastAsia="仿宋_GB2312" w:cs="仿宋_GB2312"/>
          <w:spacing w:val="0"/>
          <w:sz w:val="32"/>
          <w:szCs w:val="32"/>
        </w:rPr>
        <w:t>进行风险研判。</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第十八条 </w:t>
      </w:r>
      <w:r>
        <w:rPr>
          <w:rFonts w:hint="eastAsia" w:ascii="仿宋_GB2312" w:hAnsi="仿宋_GB2312" w:eastAsia="仿宋_GB2312" w:cs="仿宋_GB2312"/>
          <w:spacing w:val="0"/>
          <w:sz w:val="32"/>
          <w:szCs w:val="32"/>
        </w:rPr>
        <w:t>现场检查结束后，申请人应当针对缺陷项目进行整改，于30个工作日内向</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提交整改报告。缺陷项目经</w:t>
      </w:r>
      <w:r>
        <w:rPr>
          <w:rFonts w:hint="eastAsia" w:ascii="仿宋_GB2312" w:hAnsi="仿宋_GB2312" w:eastAsia="仿宋_GB2312" w:cs="仿宋_GB2312"/>
          <w:spacing w:val="0"/>
          <w:sz w:val="32"/>
          <w:szCs w:val="32"/>
          <w:lang w:eastAsia="zh-CN"/>
        </w:rPr>
        <w:t>藏药审评中心风险研判</w:t>
      </w:r>
      <w:r>
        <w:rPr>
          <w:rFonts w:hint="eastAsia" w:ascii="仿宋_GB2312" w:hAnsi="仿宋_GB2312" w:eastAsia="仿宋_GB2312" w:cs="仿宋_GB2312"/>
          <w:spacing w:val="0"/>
          <w:sz w:val="32"/>
          <w:szCs w:val="32"/>
        </w:rPr>
        <w:t>后作出调整重新发放的，整改时限可延长10个工作日。无法按期完成整改的，应当制定切实可行的整改计划，整改完成后，应当及时将整改情况形成补充整改报告报送</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。申请人在整改期间应当主动结合发现的缺陷和风险，采取必要的风险控制措施。必要时，</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可以对申请人整改落实情况进行现场检查。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lang w:eastAsia="zh-CN"/>
        </w:rPr>
      </w:pPr>
      <w:r>
        <w:rPr>
          <w:rFonts w:hint="eastAsia" w:ascii="仿宋_GB2312" w:hAnsi="仿宋_GB2312" w:eastAsia="仿宋_GB2312" w:cs="仿宋_GB2312"/>
          <w:spacing w:val="0"/>
          <w:sz w:val="32"/>
          <w:szCs w:val="32"/>
        </w:rPr>
        <w:t>整改报告应当至少包含缺陷</w:t>
      </w:r>
      <w:r>
        <w:rPr>
          <w:rFonts w:hint="eastAsia" w:ascii="仿宋_GB2312" w:hAnsi="仿宋_GB2312" w:eastAsia="仿宋_GB2312" w:cs="仿宋_GB2312"/>
          <w:spacing w:val="0"/>
          <w:sz w:val="32"/>
          <w:szCs w:val="32"/>
          <w:lang w:eastAsia="zh-CN"/>
        </w:rPr>
        <w:t>项</w:t>
      </w:r>
      <w:r>
        <w:rPr>
          <w:rFonts w:hint="eastAsia" w:ascii="仿宋_GB2312" w:hAnsi="仿宋_GB2312" w:eastAsia="仿宋_GB2312" w:cs="仿宋_GB2312"/>
          <w:spacing w:val="0"/>
          <w:sz w:val="32"/>
          <w:szCs w:val="32"/>
        </w:rPr>
        <w:t>、</w:t>
      </w:r>
      <w:r>
        <w:rPr>
          <w:rFonts w:hint="eastAsia" w:ascii="仿宋_GB2312" w:hAnsi="仿宋_GB2312" w:eastAsia="仿宋_GB2312" w:cs="仿宋_GB2312"/>
          <w:spacing w:val="0"/>
          <w:sz w:val="32"/>
          <w:szCs w:val="32"/>
          <w:lang w:eastAsia="zh-CN"/>
        </w:rPr>
        <w:t>根本分析原因、风险评估与风险控制、采取的纠正与预防措施、对应措施整改完成日期或合理的计划完成日期、整改证明材料等。</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jc w:val="center"/>
        <w:rPr>
          <w:rFonts w:hint="eastAsia" w:ascii="楷体_GB2312" w:hAnsi="楷体_GB2312" w:eastAsia="楷体_GB2312" w:cs="楷体_GB2312"/>
          <w:spacing w:val="0"/>
          <w:sz w:val="32"/>
          <w:szCs w:val="32"/>
        </w:rPr>
      </w:pPr>
      <w:r>
        <w:rPr>
          <w:rFonts w:hint="eastAsia" w:ascii="楷体_GB2312" w:hAnsi="楷体_GB2312" w:eastAsia="楷体_GB2312" w:cs="楷体_GB2312"/>
          <w:spacing w:val="0"/>
          <w:sz w:val="32"/>
          <w:szCs w:val="32"/>
          <w:lang w:eastAsia="zh-CN"/>
        </w:rPr>
        <w:t>第四节</w:t>
      </w:r>
      <w:r>
        <w:rPr>
          <w:rFonts w:hint="eastAsia" w:ascii="楷体_GB2312" w:hAnsi="楷体_GB2312" w:eastAsia="楷体_GB2312" w:cs="楷体_GB2312"/>
          <w:spacing w:val="0"/>
          <w:sz w:val="32"/>
          <w:szCs w:val="32"/>
          <w:lang w:val="en-US" w:eastAsia="zh-CN"/>
        </w:rPr>
        <w:t xml:space="preserve"> </w:t>
      </w:r>
      <w:r>
        <w:rPr>
          <w:rFonts w:hint="eastAsia" w:ascii="楷体_GB2312" w:hAnsi="楷体_GB2312" w:eastAsia="楷体_GB2312" w:cs="楷体_GB2312"/>
          <w:spacing w:val="0"/>
          <w:sz w:val="32"/>
          <w:szCs w:val="32"/>
        </w:rPr>
        <w:t>结果认定与公告</w:t>
      </w:r>
    </w:p>
    <w:p>
      <w:pPr>
        <w:pStyle w:val="5"/>
        <w:keepNext w:val="0"/>
        <w:keepLines w:val="0"/>
        <w:pageBreakBefore w:val="0"/>
        <w:widowControl w:val="0"/>
        <w:numPr>
          <w:ilvl w:val="0"/>
          <w:numId w:val="0"/>
        </w:numPr>
        <w:kinsoku/>
        <w:wordWrap/>
        <w:overflowPunct/>
        <w:topLinePunct w:val="0"/>
        <w:autoSpaceDE/>
        <w:autoSpaceDN/>
        <w:bidi w:val="0"/>
        <w:spacing w:before="0" w:beforeAutospacing="0" w:after="0" w:afterAutospacing="0" w:line="576" w:lineRule="exact"/>
        <w:ind w:left="0" w:leftChars="0" w:right="0" w:rightChars="0" w:firstLine="640" w:firstLineChars="200"/>
        <w:jc w:val="both"/>
        <w:rPr>
          <w:rFonts w:hint="eastAsia" w:ascii="仿宋_GB2312" w:hAnsi="仿宋_GB2312" w:eastAsia="仿宋_GB2312" w:cs="仿宋_GB2312"/>
          <w:spacing w:val="0"/>
          <w:sz w:val="32"/>
          <w:szCs w:val="32"/>
          <w:lang w:eastAsia="zh-CN"/>
        </w:rPr>
      </w:pPr>
      <w:r>
        <w:rPr>
          <w:rFonts w:hint="eastAsia" w:ascii="黑体" w:hAnsi="黑体" w:eastAsia="黑体" w:cs="黑体"/>
          <w:color w:val="333333"/>
          <w:spacing w:val="0"/>
          <w:sz w:val="32"/>
          <w:szCs w:val="32"/>
          <w:lang w:eastAsia="zh-CN" w:bidi="ar"/>
        </w:rPr>
        <w:t xml:space="preserve">第十九条 </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应当按照《药品检查管理办法（试行）》</w:t>
      </w:r>
      <w:r>
        <w:rPr>
          <w:rFonts w:hint="eastAsia" w:ascii="仿宋_GB2312" w:hAnsi="仿宋_GB2312" w:eastAsia="仿宋_GB2312" w:cs="仿宋_GB2312"/>
          <w:color w:val="000000"/>
          <w:sz w:val="32"/>
          <w:szCs w:val="32"/>
          <w:lang w:eastAsia="zh-CN"/>
        </w:rPr>
        <w:t>《西藏自治区</w:t>
      </w:r>
      <w:r>
        <w:rPr>
          <w:rFonts w:hint="eastAsia" w:ascii="仿宋_GB2312" w:hAnsi="仿宋_GB2312" w:eastAsia="仿宋_GB2312" w:cs="仿宋_GB2312"/>
          <w:color w:val="000000"/>
          <w:sz w:val="32"/>
          <w:szCs w:val="32"/>
          <w:lang w:val="en-US" w:eastAsia="zh-CN"/>
        </w:rPr>
        <w:t>&lt;药品检查管理办法（试行）&gt;实施细则</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spacing w:val="0"/>
          <w:sz w:val="32"/>
          <w:szCs w:val="32"/>
        </w:rPr>
        <w:t>有关规定完成</w:t>
      </w:r>
      <w:r>
        <w:rPr>
          <w:rFonts w:hint="eastAsia" w:ascii="仿宋_GB2312" w:hAnsi="仿宋_GB2312" w:eastAsia="仿宋_GB2312" w:cs="仿宋_GB2312"/>
          <w:spacing w:val="0"/>
          <w:sz w:val="32"/>
          <w:szCs w:val="32"/>
          <w:lang w:eastAsia="zh-CN"/>
        </w:rPr>
        <w:t>检查报告审核和综合评定</w:t>
      </w:r>
      <w:r>
        <w:rPr>
          <w:rFonts w:hint="eastAsia" w:ascii="仿宋_GB2312" w:hAnsi="仿宋_GB2312" w:eastAsia="仿宋_GB2312" w:cs="仿宋_GB2312"/>
          <w:spacing w:val="0"/>
          <w:sz w:val="32"/>
          <w:szCs w:val="32"/>
        </w:rPr>
        <w:t>，并将综合评定结论报药品</w:t>
      </w:r>
      <w:r>
        <w:rPr>
          <w:rFonts w:hint="eastAsia" w:ascii="仿宋_GB2312" w:hAnsi="仿宋_GB2312" w:eastAsia="仿宋_GB2312" w:cs="仿宋_GB2312"/>
          <w:spacing w:val="0"/>
          <w:sz w:val="32"/>
          <w:szCs w:val="32"/>
          <w:lang w:eastAsia="zh-CN"/>
        </w:rPr>
        <w:t>监管处。</w:t>
      </w:r>
    </w:p>
    <w:p>
      <w:pPr>
        <w:pStyle w:val="5"/>
        <w:keepNext w:val="0"/>
        <w:keepLines w:val="0"/>
        <w:pageBreakBefore w:val="0"/>
        <w:widowControl w:val="0"/>
        <w:numPr>
          <w:ilvl w:val="0"/>
          <w:numId w:val="0"/>
        </w:numPr>
        <w:kinsoku/>
        <w:wordWrap/>
        <w:overflowPunct/>
        <w:topLinePunct w:val="0"/>
        <w:autoSpaceDE/>
        <w:autoSpaceDN/>
        <w:bidi w:val="0"/>
        <w:spacing w:before="0" w:beforeAutospacing="0" w:after="0" w:afterAutospacing="0" w:line="576" w:lineRule="exact"/>
        <w:ind w:left="0" w:leftChars="0" w:right="0" w:rightChars="0" w:firstLine="640" w:firstLineChars="200"/>
        <w:jc w:val="both"/>
        <w:rPr>
          <w:rFonts w:hint="eastAsia" w:ascii="仿宋_GB2312" w:hAnsi="仿宋_GB2312" w:eastAsia="仿宋_GB2312" w:cs="仿宋_GB2312"/>
          <w:spacing w:val="0"/>
          <w:sz w:val="32"/>
          <w:szCs w:val="32"/>
          <w:lang w:eastAsia="zh-CN"/>
        </w:rPr>
      </w:pPr>
      <w:r>
        <w:rPr>
          <w:rFonts w:hint="eastAsia" w:ascii="仿宋_GB2312" w:hAnsi="仿宋_GB2312" w:eastAsia="仿宋_GB2312" w:cs="仿宋_GB2312"/>
          <w:spacing w:val="0"/>
          <w:sz w:val="32"/>
          <w:szCs w:val="32"/>
          <w:lang w:eastAsia="zh-CN"/>
        </w:rPr>
        <w:t>藏药审评中心采取风险研判等形式对检查及时进行审核。综合评定结论分为符合要求和不符合要求。</w:t>
      </w:r>
    </w:p>
    <w:p>
      <w:pPr>
        <w:pStyle w:val="5"/>
        <w:keepNext w:val="0"/>
        <w:keepLines w:val="0"/>
        <w:pageBreakBefore w:val="0"/>
        <w:widowControl w:val="0"/>
        <w:numPr>
          <w:ilvl w:val="0"/>
          <w:numId w:val="0"/>
        </w:numPr>
        <w:kinsoku/>
        <w:wordWrap/>
        <w:overflowPunct/>
        <w:topLinePunct w:val="0"/>
        <w:autoSpaceDE/>
        <w:autoSpaceDN/>
        <w:bidi w:val="0"/>
        <w:spacing w:before="0" w:beforeAutospacing="0" w:after="0" w:afterAutospacing="0" w:line="576" w:lineRule="exact"/>
        <w:ind w:left="0" w:leftChars="0" w:right="0" w:rightChars="0" w:firstLine="640" w:firstLineChars="200"/>
        <w:jc w:val="both"/>
        <w:rPr>
          <w:rFonts w:hint="default"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eastAsia="zh-CN"/>
        </w:rPr>
        <w:t>现场检查发现问题影响综合评定，可书面要求申请人5个工作日内提交问题书面说明。申请人逾期未予回复反馈的，藏药审评中心应当基于已有的检查材料等进行综合评定。</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eastAsia="zh-CN"/>
        </w:rPr>
        <w:t>现场检查结论审核后为符合要求或不符合要求的，藏药审评中心应当自结论认定之日起</w:t>
      </w:r>
      <w:r>
        <w:rPr>
          <w:rFonts w:hint="eastAsia" w:ascii="仿宋_GB2312" w:hAnsi="仿宋_GB2312" w:eastAsia="仿宋_GB2312" w:cs="仿宋_GB2312"/>
          <w:spacing w:val="0"/>
          <w:sz w:val="32"/>
          <w:szCs w:val="32"/>
          <w:lang w:val="en-US" w:eastAsia="zh-CN"/>
        </w:rPr>
        <w:t>10个工作日内形成综合认定结论，出具《药品检查综合评定报告书》（见附件5）。现场检查结论审核后为待整改后评定的，藏药审评中心应当自收到整改报告后20个工作日内，形成综合评定结论，出具《药品检查综合评定报告书》。必要时可进行现场复核或组织召开风险会商会或专家评审会，确定综合评定结论，相关时间不计入工作时限。</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第二十条</w:t>
      </w:r>
      <w:r>
        <w:rPr>
          <w:rFonts w:hint="eastAsia" w:ascii="仿宋_GB2312" w:hAnsi="仿宋_GB2312" w:eastAsia="仿宋_GB2312" w:cs="仿宋_GB2312"/>
          <w:spacing w:val="0"/>
          <w:sz w:val="32"/>
          <w:szCs w:val="32"/>
        </w:rPr>
        <w:t xml:space="preserve"> 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收到《药品检查综合评定报告书》及相关检查材料后，应当及时完成审核，针对检查结果提出最终的处理意见。</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综合评定结论为“符合要求”的，由药品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在</w:t>
      </w:r>
      <w:r>
        <w:rPr>
          <w:rFonts w:hint="eastAsia" w:ascii="仿宋_GB2312" w:hAnsi="仿宋_GB2312" w:eastAsia="仿宋_GB2312" w:cs="仿宋_GB2312"/>
          <w:spacing w:val="0"/>
          <w:sz w:val="32"/>
          <w:szCs w:val="32"/>
          <w:lang w:eastAsia="zh-CN"/>
        </w:rPr>
        <w:t>区局</w:t>
      </w:r>
      <w:r>
        <w:rPr>
          <w:rFonts w:hint="eastAsia" w:ascii="仿宋_GB2312" w:hAnsi="仿宋_GB2312" w:eastAsia="仿宋_GB2312" w:cs="仿宋_GB2312"/>
          <w:spacing w:val="0"/>
          <w:sz w:val="32"/>
          <w:szCs w:val="32"/>
        </w:rPr>
        <w:t>网站上发布</w:t>
      </w:r>
      <w:r>
        <w:rPr>
          <w:rFonts w:hint="eastAsia" w:ascii="仿宋_GB2312" w:hAnsi="仿宋_GB2312" w:eastAsia="仿宋_GB2312" w:cs="仿宋_GB2312"/>
          <w:spacing w:val="0"/>
          <w:sz w:val="32"/>
          <w:szCs w:val="32"/>
          <w:lang w:eastAsia="zh-CN"/>
        </w:rPr>
        <w:t>《</w:t>
      </w:r>
      <w:r>
        <w:rPr>
          <w:rFonts w:hint="eastAsia" w:ascii="仿宋_GB2312" w:hAnsi="仿宋_GB2312" w:eastAsia="仿宋_GB2312" w:cs="仿宋_GB2312"/>
          <w:spacing w:val="0"/>
          <w:sz w:val="32"/>
          <w:szCs w:val="32"/>
        </w:rPr>
        <w:t>药品GMP符合性检查结果公告</w:t>
      </w:r>
      <w:r>
        <w:rPr>
          <w:rFonts w:hint="eastAsia" w:ascii="仿宋_GB2312" w:hAnsi="仿宋_GB2312" w:eastAsia="仿宋_GB2312" w:cs="仿宋_GB2312"/>
          <w:spacing w:val="0"/>
          <w:sz w:val="32"/>
          <w:szCs w:val="32"/>
          <w:lang w:eastAsia="zh-CN"/>
        </w:rPr>
        <w:t>》</w:t>
      </w:r>
      <w:r>
        <w:rPr>
          <w:rFonts w:hint="eastAsia" w:ascii="仿宋_GB2312" w:hAnsi="仿宋_GB2312" w:eastAsia="仿宋_GB2312" w:cs="仿宋_GB2312"/>
          <w:spacing w:val="0"/>
          <w:sz w:val="32"/>
          <w:szCs w:val="32"/>
        </w:rPr>
        <w:t>（见附</w:t>
      </w:r>
      <w:r>
        <w:rPr>
          <w:rFonts w:hint="eastAsia" w:ascii="仿宋_GB2312" w:hAnsi="仿宋_GB2312" w:eastAsia="仿宋_GB2312" w:cs="仿宋_GB2312"/>
          <w:spacing w:val="0"/>
          <w:sz w:val="32"/>
          <w:szCs w:val="32"/>
          <w:lang w:eastAsia="zh-CN"/>
        </w:rPr>
        <w:t>件</w:t>
      </w:r>
      <w:r>
        <w:rPr>
          <w:rFonts w:hint="eastAsia" w:ascii="仿宋_GB2312" w:hAnsi="仿宋_GB2312" w:eastAsia="仿宋_GB2312" w:cs="仿宋_GB2312"/>
          <w:spacing w:val="0"/>
          <w:sz w:val="32"/>
          <w:szCs w:val="32"/>
        </w:rPr>
        <w:t>6），并制作《药品GMP符合性检查告知书》（见附</w:t>
      </w:r>
      <w:r>
        <w:rPr>
          <w:rFonts w:hint="eastAsia" w:ascii="仿宋_GB2312" w:hAnsi="仿宋_GB2312" w:eastAsia="仿宋_GB2312" w:cs="仿宋_GB2312"/>
          <w:spacing w:val="0"/>
          <w:sz w:val="32"/>
          <w:szCs w:val="32"/>
          <w:lang w:eastAsia="zh-CN"/>
        </w:rPr>
        <w:t>件</w:t>
      </w:r>
      <w:r>
        <w:rPr>
          <w:rFonts w:hint="eastAsia" w:ascii="仿宋_GB2312" w:hAnsi="仿宋_GB2312" w:eastAsia="仿宋_GB2312" w:cs="仿宋_GB2312"/>
          <w:spacing w:val="0"/>
          <w:sz w:val="32"/>
          <w:szCs w:val="32"/>
        </w:rPr>
        <w:t>7），将GMP符合性检查结果书面告知申请人。</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综合评定结论为“不符合要求”的，由药品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在</w:t>
      </w:r>
      <w:r>
        <w:rPr>
          <w:rFonts w:hint="eastAsia" w:ascii="仿宋_GB2312" w:hAnsi="仿宋_GB2312" w:eastAsia="仿宋_GB2312" w:cs="仿宋_GB2312"/>
          <w:spacing w:val="0"/>
          <w:sz w:val="32"/>
          <w:szCs w:val="32"/>
          <w:lang w:eastAsia="zh-CN"/>
        </w:rPr>
        <w:t>区局</w:t>
      </w:r>
      <w:r>
        <w:rPr>
          <w:rFonts w:hint="eastAsia" w:ascii="仿宋_GB2312" w:hAnsi="仿宋_GB2312" w:eastAsia="仿宋_GB2312" w:cs="仿宋_GB2312"/>
          <w:spacing w:val="0"/>
          <w:sz w:val="32"/>
          <w:szCs w:val="32"/>
        </w:rPr>
        <w:t>网站上发布</w:t>
      </w:r>
      <w:r>
        <w:rPr>
          <w:rFonts w:hint="eastAsia" w:ascii="仿宋_GB2312" w:hAnsi="仿宋_GB2312" w:eastAsia="仿宋_GB2312" w:cs="仿宋_GB2312"/>
          <w:spacing w:val="0"/>
          <w:sz w:val="32"/>
          <w:szCs w:val="32"/>
          <w:lang w:eastAsia="zh-CN"/>
        </w:rPr>
        <w:t>《</w:t>
      </w:r>
      <w:r>
        <w:rPr>
          <w:rFonts w:hint="eastAsia" w:ascii="仿宋_GB2312" w:hAnsi="仿宋_GB2312" w:eastAsia="仿宋_GB2312" w:cs="仿宋_GB2312"/>
          <w:spacing w:val="0"/>
          <w:sz w:val="32"/>
          <w:szCs w:val="32"/>
        </w:rPr>
        <w:t>药品GMP符合性检查结果公告</w:t>
      </w:r>
      <w:r>
        <w:rPr>
          <w:rFonts w:hint="eastAsia" w:ascii="仿宋_GB2312" w:hAnsi="仿宋_GB2312" w:eastAsia="仿宋_GB2312" w:cs="仿宋_GB2312"/>
          <w:spacing w:val="0"/>
          <w:sz w:val="32"/>
          <w:szCs w:val="32"/>
          <w:lang w:eastAsia="zh-CN"/>
        </w:rPr>
        <w:t>》</w:t>
      </w:r>
      <w:r>
        <w:rPr>
          <w:rFonts w:hint="eastAsia" w:ascii="仿宋_GB2312" w:hAnsi="仿宋_GB2312" w:eastAsia="仿宋_GB2312" w:cs="仿宋_GB2312"/>
          <w:spacing w:val="0"/>
          <w:sz w:val="32"/>
          <w:szCs w:val="32"/>
        </w:rPr>
        <w:t>，并按相关规定处理。</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申请上市前GMP符合性检查的，对未取得药品批准证明文件登记状态未转为“A”，申请人应在注册品种获得上市许可登记状态转为“A”或取得批准文号后，5个工作日内向药品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提供相关证明材料。药品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根据企业提供材料（现场检查后，工艺发生变化或存在发补材料等情况的，企业应在材料中详细描述），视情形在</w:t>
      </w:r>
      <w:r>
        <w:rPr>
          <w:rFonts w:hint="eastAsia" w:ascii="仿宋_GB2312" w:hAnsi="仿宋_GB2312" w:eastAsia="仿宋_GB2312" w:cs="仿宋_GB2312"/>
          <w:spacing w:val="0"/>
          <w:sz w:val="32"/>
          <w:szCs w:val="32"/>
          <w:lang w:eastAsia="zh-CN"/>
        </w:rPr>
        <w:t>区局</w:t>
      </w:r>
      <w:r>
        <w:rPr>
          <w:rFonts w:hint="eastAsia" w:ascii="仿宋_GB2312" w:hAnsi="仿宋_GB2312" w:eastAsia="仿宋_GB2312" w:cs="仿宋_GB2312"/>
          <w:spacing w:val="0"/>
          <w:sz w:val="32"/>
          <w:szCs w:val="32"/>
        </w:rPr>
        <w:t>网站上发布药品GMP符合性检查结果公告和制作</w:t>
      </w:r>
      <w:r>
        <w:rPr>
          <w:rFonts w:hint="eastAsia" w:ascii="仿宋_GB2312" w:hAnsi="仿宋_GB2312" w:eastAsia="仿宋_GB2312" w:cs="仿宋_GB2312"/>
          <w:spacing w:val="0"/>
          <w:sz w:val="32"/>
          <w:szCs w:val="32"/>
          <w:lang w:eastAsia="zh-CN"/>
        </w:rPr>
        <w:t>药品</w:t>
      </w:r>
      <w:r>
        <w:rPr>
          <w:rFonts w:hint="eastAsia" w:ascii="仿宋_GB2312" w:hAnsi="仿宋_GB2312" w:eastAsia="仿宋_GB2312" w:cs="仿宋_GB2312"/>
          <w:spacing w:val="0"/>
          <w:sz w:val="32"/>
          <w:szCs w:val="32"/>
          <w:lang w:val="en-US" w:eastAsia="zh-CN"/>
        </w:rPr>
        <w:t>GMP符合性检查告知书</w:t>
      </w:r>
      <w:r>
        <w:rPr>
          <w:rFonts w:hint="eastAsia" w:ascii="仿宋_GB2312" w:hAnsi="仿宋_GB2312" w:eastAsia="仿宋_GB2312" w:cs="仿宋_GB2312"/>
          <w:spacing w:val="0"/>
          <w:sz w:val="32"/>
          <w:szCs w:val="32"/>
        </w:rPr>
        <w:t>。</w:t>
      </w:r>
    </w:p>
    <w:p>
      <w:pPr>
        <w:keepNext w:val="0"/>
        <w:keepLines w:val="0"/>
        <w:pageBreakBefore w:val="0"/>
        <w:widowControl w:val="0"/>
        <w:kinsoku/>
        <w:wordWrap/>
        <w:overflowPunct/>
        <w:topLinePunct w:val="0"/>
        <w:autoSpaceDE/>
        <w:autoSpaceDN/>
        <w:bidi w:val="0"/>
        <w:spacing w:line="576" w:lineRule="exact"/>
        <w:ind w:left="0" w:leftChars="0" w:right="0" w:rightChars="0"/>
        <w:jc w:val="center"/>
        <w:rPr>
          <w:rFonts w:hint="eastAsia" w:ascii="方正小标宋简体" w:hAnsi="方正小标宋简体" w:eastAsia="方正小标宋简体" w:cs="方正小标宋简体"/>
          <w:spacing w:val="0"/>
          <w:sz w:val="32"/>
          <w:szCs w:val="32"/>
        </w:rPr>
      </w:pPr>
      <w:r>
        <w:rPr>
          <w:rFonts w:hint="eastAsia" w:ascii="方正小标宋简体" w:hAnsi="方正小标宋简体" w:eastAsia="方正小标宋简体" w:cs="方正小标宋简体"/>
          <w:spacing w:val="0"/>
          <w:sz w:val="32"/>
          <w:szCs w:val="32"/>
        </w:rPr>
        <w:t>第三章 依职责的GMP符合性检查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jc w:val="center"/>
        <w:rPr>
          <w:rFonts w:hint="eastAsia" w:ascii="楷体_GB2312" w:hAnsi="楷体_GB2312" w:eastAsia="楷体_GB2312" w:cs="楷体_GB2312"/>
          <w:spacing w:val="0"/>
          <w:sz w:val="32"/>
          <w:szCs w:val="32"/>
          <w:lang w:bidi="ar"/>
        </w:rPr>
      </w:pPr>
      <w:r>
        <w:rPr>
          <w:rFonts w:hint="eastAsia" w:ascii="楷体_GB2312" w:hAnsi="楷体_GB2312" w:eastAsia="楷体_GB2312" w:cs="楷体_GB2312"/>
          <w:spacing w:val="0"/>
          <w:sz w:val="32"/>
          <w:szCs w:val="32"/>
          <w:lang w:bidi="ar"/>
        </w:rPr>
        <w:t>第一节  检查计划与实施</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lang w:eastAsia="zh-CN"/>
        </w:rPr>
      </w:pPr>
      <w:r>
        <w:rPr>
          <w:rFonts w:hint="eastAsia" w:ascii="黑体" w:hAnsi="黑体" w:eastAsia="黑体" w:cs="黑体"/>
          <w:color w:val="333333"/>
          <w:spacing w:val="0"/>
          <w:sz w:val="32"/>
          <w:szCs w:val="32"/>
          <w:lang w:eastAsia="zh-CN" w:bidi="ar"/>
        </w:rPr>
        <w:t>第二十一条</w:t>
      </w:r>
      <w:r>
        <w:rPr>
          <w:rFonts w:hint="eastAsia" w:ascii="仿宋_GB2312" w:hAnsi="仿宋_GB2312" w:eastAsia="仿宋_GB2312" w:cs="仿宋_GB2312"/>
          <w:spacing w:val="0"/>
          <w:sz w:val="32"/>
          <w:szCs w:val="32"/>
        </w:rPr>
        <w:t xml:space="preserve"> 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应当根据药品品种特点，结合药品安全总体情况、药品安全风险警示信息、重大药品安全事件及其调查处理信息等，以及既往检查、检验、不良反应监测、投诉举报等情况确定检查频次，制定全</w:t>
      </w:r>
      <w:r>
        <w:rPr>
          <w:rFonts w:hint="eastAsia" w:ascii="仿宋_GB2312" w:hAnsi="仿宋_GB2312" w:eastAsia="仿宋_GB2312" w:cs="仿宋_GB2312"/>
          <w:spacing w:val="0"/>
          <w:sz w:val="32"/>
          <w:szCs w:val="32"/>
          <w:lang w:eastAsia="zh-CN"/>
        </w:rPr>
        <w:t>区</w:t>
      </w:r>
      <w:r>
        <w:rPr>
          <w:rFonts w:hint="eastAsia" w:ascii="仿宋_GB2312" w:hAnsi="仿宋_GB2312" w:eastAsia="仿宋_GB2312" w:cs="仿宋_GB2312"/>
          <w:spacing w:val="0"/>
          <w:sz w:val="32"/>
          <w:szCs w:val="32"/>
        </w:rPr>
        <w:t>依职责的GMP符合性年度检查计划并监督实施。</w:t>
      </w:r>
      <w:r>
        <w:rPr>
          <w:rFonts w:hint="eastAsia" w:ascii="仿宋_GB2312" w:hAnsi="仿宋_GB2312" w:eastAsia="仿宋_GB2312" w:cs="仿宋_GB2312"/>
          <w:spacing w:val="0"/>
          <w:sz w:val="32"/>
          <w:szCs w:val="32"/>
          <w:lang w:eastAsia="zh-CN"/>
        </w:rPr>
        <w:t>年度检查计划至少包括检查范围、内容、方式、重点、要求、时限等。对高风险要生产企业</w:t>
      </w:r>
      <w:r>
        <w:rPr>
          <w:rFonts w:hint="eastAsia" w:ascii="仿宋_GB2312" w:hAnsi="仿宋_GB2312" w:eastAsia="仿宋_GB2312" w:cs="仿宋_GB2312"/>
          <w:spacing w:val="0"/>
          <w:sz w:val="32"/>
          <w:szCs w:val="32"/>
          <w:lang w:val="en-US" w:eastAsia="zh-CN"/>
        </w:rPr>
        <w:t>每年至少开展1次GMP符合性检查。对其他要生产企业每5年至少开展1次GMP符合性检查。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lang w:eastAsia="zh-CN"/>
        </w:rPr>
      </w:pPr>
      <w:r>
        <w:rPr>
          <w:rFonts w:hint="eastAsia" w:ascii="仿宋_GB2312" w:hAnsi="仿宋_GB2312" w:eastAsia="仿宋_GB2312" w:cs="仿宋_GB2312"/>
          <w:spacing w:val="0"/>
          <w:sz w:val="32"/>
          <w:szCs w:val="32"/>
          <w:lang w:eastAsia="zh-CN"/>
        </w:rPr>
        <w:t>符合以下情形之一的，原则上应当列入依职责的GMP符合性检查年度计划：</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（一）血液制品、放射性药品、医疗用毒性药品、无菌药品等高风险药品生产企业；</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lang w:eastAsia="zh-CN"/>
        </w:rPr>
      </w:pPr>
      <w:r>
        <w:rPr>
          <w:rFonts w:hint="eastAsia" w:ascii="仿宋_GB2312" w:hAnsi="仿宋_GB2312" w:eastAsia="仿宋_GB2312" w:cs="仿宋_GB2312"/>
          <w:spacing w:val="0"/>
          <w:sz w:val="32"/>
          <w:szCs w:val="32"/>
        </w:rPr>
        <w:t>（二）</w:t>
      </w:r>
      <w:r>
        <w:rPr>
          <w:rFonts w:hint="eastAsia" w:ascii="仿宋_GB2312" w:hAnsi="仿宋_GB2312" w:eastAsia="仿宋_GB2312" w:cs="仿宋_GB2312"/>
          <w:spacing w:val="0"/>
          <w:sz w:val="32"/>
          <w:szCs w:val="32"/>
          <w:lang w:eastAsia="zh-CN"/>
        </w:rPr>
        <w:t>生产场地的固有风险，包括生产场地的复杂性、药品固有风险；</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lang w:eastAsia="zh-CN"/>
        </w:rPr>
      </w:pPr>
      <w:r>
        <w:rPr>
          <w:rFonts w:hint="eastAsia" w:ascii="仿宋_GB2312" w:hAnsi="仿宋_GB2312" w:eastAsia="仿宋_GB2312" w:cs="仿宋_GB2312"/>
          <w:spacing w:val="0"/>
          <w:sz w:val="32"/>
          <w:szCs w:val="32"/>
          <w:lang w:eastAsia="zh-CN"/>
        </w:rPr>
        <w:t>（三）在既往检查中发现企业同类型缺陷反复出现等情况，提示企业质量管理能力较为薄弱或合规意识较差的；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lang w:eastAsia="zh-CN"/>
        </w:rPr>
      </w:pPr>
      <w:r>
        <w:rPr>
          <w:rFonts w:hint="eastAsia" w:ascii="仿宋_GB2312" w:hAnsi="仿宋_GB2312" w:eastAsia="仿宋_GB2312" w:cs="仿宋_GB2312"/>
          <w:spacing w:val="0"/>
          <w:sz w:val="32"/>
          <w:szCs w:val="32"/>
          <w:lang w:eastAsia="zh-CN"/>
        </w:rPr>
        <w:t>（四）药品抽查检验、不良反应监测、上市后变更、探索性研究、产品召回、投诉举报或其他线索提示可能存在质量安全风险风险的情况；</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11"/>
          <w:sz w:val="32"/>
          <w:szCs w:val="32"/>
          <w:lang w:eastAsia="zh-CN"/>
        </w:rPr>
      </w:pPr>
      <w:r>
        <w:rPr>
          <w:rFonts w:hint="eastAsia" w:ascii="仿宋_GB2312" w:hAnsi="仿宋_GB2312" w:eastAsia="仿宋_GB2312" w:cs="仿宋_GB2312"/>
          <w:spacing w:val="0"/>
          <w:sz w:val="32"/>
          <w:szCs w:val="32"/>
        </w:rPr>
        <w:t>（</w:t>
      </w:r>
      <w:r>
        <w:rPr>
          <w:rFonts w:hint="eastAsia" w:ascii="仿宋_GB2312" w:hAnsi="仿宋_GB2312" w:eastAsia="仿宋_GB2312" w:cs="仿宋_GB2312"/>
          <w:spacing w:val="0"/>
          <w:sz w:val="32"/>
          <w:szCs w:val="32"/>
          <w:lang w:eastAsia="zh-CN"/>
        </w:rPr>
        <w:t>五</w:t>
      </w:r>
      <w:r>
        <w:rPr>
          <w:rFonts w:hint="eastAsia" w:ascii="仿宋_GB2312" w:hAnsi="仿宋_GB2312" w:eastAsia="仿宋_GB2312" w:cs="仿宋_GB2312"/>
          <w:spacing w:val="0"/>
          <w:sz w:val="32"/>
          <w:szCs w:val="32"/>
        </w:rPr>
        <w:t>）既</w:t>
      </w:r>
      <w:r>
        <w:rPr>
          <w:rFonts w:hint="eastAsia" w:ascii="仿宋_GB2312" w:hAnsi="仿宋_GB2312" w:eastAsia="仿宋_GB2312" w:cs="仿宋_GB2312"/>
          <w:spacing w:val="-11"/>
          <w:sz w:val="32"/>
          <w:szCs w:val="32"/>
        </w:rPr>
        <w:t>往</w:t>
      </w:r>
      <w:r>
        <w:rPr>
          <w:rFonts w:hint="eastAsia" w:ascii="仿宋_GB2312" w:hAnsi="仿宋_GB2312" w:eastAsia="仿宋_GB2312" w:cs="仿宋_GB2312"/>
          <w:spacing w:val="-11"/>
          <w:sz w:val="32"/>
          <w:szCs w:val="32"/>
          <w:lang w:eastAsia="zh-CN"/>
        </w:rPr>
        <w:t>违法违规情况；</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w:t>
      </w:r>
      <w:r>
        <w:rPr>
          <w:rFonts w:hint="eastAsia" w:ascii="仿宋_GB2312" w:hAnsi="仿宋_GB2312" w:eastAsia="仿宋_GB2312" w:cs="仿宋_GB2312"/>
          <w:spacing w:val="0"/>
          <w:sz w:val="32"/>
          <w:szCs w:val="32"/>
          <w:lang w:eastAsia="zh-CN"/>
        </w:rPr>
        <w:t>六</w:t>
      </w:r>
      <w:r>
        <w:rPr>
          <w:rFonts w:hint="eastAsia" w:ascii="仿宋_GB2312" w:hAnsi="仿宋_GB2312" w:eastAsia="仿宋_GB2312" w:cs="仿宋_GB2312"/>
          <w:spacing w:val="0"/>
          <w:sz w:val="32"/>
          <w:szCs w:val="32"/>
        </w:rPr>
        <w:t>）关键岗位人员频繁变更可能造成质量管理体系偏离的药品生产企业；</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w:t>
      </w:r>
      <w:r>
        <w:rPr>
          <w:rFonts w:hint="eastAsia" w:ascii="仿宋_GB2312" w:hAnsi="仿宋_GB2312" w:eastAsia="仿宋_GB2312" w:cs="仿宋_GB2312"/>
          <w:spacing w:val="0"/>
          <w:sz w:val="32"/>
          <w:szCs w:val="32"/>
          <w:lang w:eastAsia="zh-CN"/>
        </w:rPr>
        <w:t>七</w:t>
      </w:r>
      <w:r>
        <w:rPr>
          <w:rFonts w:hint="eastAsia" w:ascii="仿宋_GB2312" w:hAnsi="仿宋_GB2312" w:eastAsia="仿宋_GB2312" w:cs="仿宋_GB2312"/>
          <w:spacing w:val="0"/>
          <w:sz w:val="32"/>
          <w:szCs w:val="32"/>
        </w:rPr>
        <w:t>）其他基于信用管理、风险管理等原因需要检查的。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第二十二条 </w:t>
      </w:r>
      <w:r>
        <w:rPr>
          <w:rFonts w:hint="eastAsia" w:ascii="仿宋_GB2312" w:hAnsi="仿宋_GB2312" w:eastAsia="仿宋_GB2312" w:cs="仿宋_GB2312"/>
          <w:spacing w:val="0"/>
          <w:sz w:val="32"/>
          <w:szCs w:val="32"/>
        </w:rPr>
        <w:t>依职责的GMP符合性检查由</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根据药品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制定的检查计划实施检查。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color w:val="000000"/>
          <w:spacing w:val="0"/>
          <w:sz w:val="32"/>
          <w:szCs w:val="32"/>
        </w:rPr>
      </w:pPr>
      <w:r>
        <w:rPr>
          <w:rFonts w:hint="eastAsia" w:ascii="黑体" w:hAnsi="黑体" w:eastAsia="黑体" w:cs="黑体"/>
          <w:color w:val="333333"/>
          <w:spacing w:val="0"/>
          <w:sz w:val="32"/>
          <w:szCs w:val="32"/>
          <w:lang w:eastAsia="zh-CN" w:bidi="ar"/>
        </w:rPr>
        <w:t xml:space="preserve">第二十三条 </w:t>
      </w:r>
      <w:r>
        <w:rPr>
          <w:rFonts w:hint="eastAsia" w:ascii="仿宋_GB2312" w:hAnsi="仿宋_GB2312" w:eastAsia="仿宋_GB2312" w:cs="仿宋_GB2312"/>
          <w:spacing w:val="0"/>
          <w:sz w:val="32"/>
          <w:szCs w:val="32"/>
        </w:rPr>
        <w:t>依职责的GMP符合性检查原则上采用不预先告知企业方式进行。有特殊检查要求的，可预先告知企业并要求企业动态生产。</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第二十四条 </w:t>
      </w:r>
      <w:r>
        <w:rPr>
          <w:rFonts w:hint="eastAsia" w:ascii="仿宋_GB2312" w:hAnsi="仿宋_GB2312" w:eastAsia="仿宋_GB2312" w:cs="仿宋_GB2312"/>
          <w:spacing w:val="0"/>
          <w:sz w:val="32"/>
          <w:szCs w:val="32"/>
        </w:rPr>
        <w:t>依职责的GMP符合性检查整改要求、结果认定等参照依申请GMP符合性检查执行。</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jc w:val="center"/>
        <w:rPr>
          <w:rFonts w:hint="eastAsia" w:ascii="楷体_GB2312" w:hAnsi="楷体_GB2312" w:eastAsia="楷体_GB2312" w:cs="楷体_GB2312"/>
          <w:spacing w:val="0"/>
          <w:sz w:val="32"/>
          <w:szCs w:val="32"/>
          <w:lang w:bidi="ar"/>
        </w:rPr>
      </w:pPr>
      <w:r>
        <w:rPr>
          <w:rFonts w:hint="eastAsia" w:ascii="楷体_GB2312" w:hAnsi="楷体_GB2312" w:eastAsia="楷体_GB2312" w:cs="楷体_GB2312"/>
          <w:spacing w:val="0"/>
          <w:sz w:val="32"/>
          <w:szCs w:val="32"/>
          <w:lang w:bidi="ar"/>
        </w:rPr>
        <w:t>第二节  检查结果公示与处置</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第二十五条 </w:t>
      </w:r>
      <w:r>
        <w:rPr>
          <w:rFonts w:hint="eastAsia" w:ascii="仿宋_GB2312" w:hAnsi="仿宋_GB2312" w:eastAsia="仿宋_GB2312" w:cs="仿宋_GB2312"/>
          <w:spacing w:val="0"/>
          <w:sz w:val="32"/>
          <w:szCs w:val="32"/>
          <w:lang w:eastAsia="zh-CN"/>
        </w:rPr>
        <w:t>藏药审评中心</w:t>
      </w:r>
      <w:r>
        <w:rPr>
          <w:rFonts w:hint="eastAsia" w:ascii="仿宋_GB2312" w:hAnsi="仿宋_GB2312" w:eastAsia="仿宋_GB2312" w:cs="仿宋_GB2312"/>
          <w:spacing w:val="0"/>
          <w:sz w:val="32"/>
          <w:szCs w:val="32"/>
        </w:rPr>
        <w:t>按照规定，完成检查结果</w:t>
      </w:r>
      <w:r>
        <w:rPr>
          <w:rFonts w:hint="eastAsia" w:ascii="仿宋_GB2312" w:hAnsi="仿宋_GB2312" w:eastAsia="仿宋_GB2312" w:cs="仿宋_GB2312"/>
          <w:spacing w:val="0"/>
          <w:sz w:val="32"/>
          <w:szCs w:val="32"/>
          <w:lang w:eastAsia="zh-CN"/>
        </w:rPr>
        <w:t>综合评定</w:t>
      </w:r>
      <w:r>
        <w:rPr>
          <w:rFonts w:hint="eastAsia" w:ascii="仿宋_GB2312" w:hAnsi="仿宋_GB2312" w:eastAsia="仿宋_GB2312" w:cs="仿宋_GB2312"/>
          <w:spacing w:val="0"/>
          <w:sz w:val="32"/>
          <w:szCs w:val="32"/>
        </w:rPr>
        <w:t>，并将《药品检查综合评定报告书》及相关检查材料报送药品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收到《药品检查综合评定报告书》后，应及时将检查结果公示（见附件6），并根据现场检查和综合评定情况采取相应风险控制措施。</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第二十六条 </w:t>
      </w:r>
      <w:r>
        <w:rPr>
          <w:rFonts w:hint="eastAsia" w:ascii="仿宋_GB2312" w:hAnsi="仿宋_GB2312" w:eastAsia="仿宋_GB2312" w:cs="仿宋_GB2312"/>
          <w:spacing w:val="0"/>
          <w:sz w:val="32"/>
          <w:szCs w:val="32"/>
        </w:rPr>
        <w:t>检查中发现存在违法违规、严重违反GMP以及可能存在药品质量安全风险的问题，检查组应当立即固定相关证据</w:t>
      </w:r>
      <w:r>
        <w:rPr>
          <w:rFonts w:hint="eastAsia" w:ascii="仿宋_GB2312" w:hAnsi="仿宋_GB2312" w:eastAsia="仿宋_GB2312" w:cs="仿宋_GB2312"/>
          <w:spacing w:val="0"/>
          <w:sz w:val="32"/>
          <w:szCs w:val="32"/>
          <w:lang w:eastAsia="zh-CN"/>
        </w:rPr>
        <w:t>，制作现场检查笔录，并</w:t>
      </w:r>
      <w:r>
        <w:rPr>
          <w:rFonts w:hint="eastAsia" w:ascii="仿宋_GB2312" w:hAnsi="仿宋_GB2312" w:eastAsia="仿宋_GB2312" w:cs="仿宋_GB2312"/>
          <w:spacing w:val="0"/>
          <w:sz w:val="32"/>
          <w:szCs w:val="32"/>
        </w:rPr>
        <w:t>将发现的问题和处理建议立即报告</w:t>
      </w:r>
      <w:r>
        <w:rPr>
          <w:rFonts w:hint="eastAsia" w:ascii="仿宋_GB2312" w:hAnsi="仿宋_GB2312" w:eastAsia="仿宋_GB2312" w:cs="仿宋_GB2312"/>
          <w:spacing w:val="0"/>
          <w:sz w:val="32"/>
          <w:szCs w:val="32"/>
          <w:lang w:eastAsia="zh-CN"/>
        </w:rPr>
        <w:t>检查派出机构。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第二十七条 </w:t>
      </w:r>
      <w:r>
        <w:rPr>
          <w:rFonts w:hint="eastAsia" w:ascii="仿宋_GB2312" w:hAnsi="仿宋_GB2312" w:eastAsia="仿宋_GB2312" w:cs="仿宋_GB2312"/>
          <w:spacing w:val="0"/>
          <w:sz w:val="32"/>
          <w:szCs w:val="32"/>
        </w:rPr>
        <w:t>现场检查时发现缺陷有一定质量安全风险、经整改后综合评定结论为符合要求的，药品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必要时依据风险采取告诫、约谈等风险控制措施。</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综合评定结论为不符合要求的，药品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应当依法采取暂停生产、销售、使用、进口等风险控制措施，消除安全隐患。涉嫌违法违规行为的，应依法调查处理。</w:t>
      </w:r>
    </w:p>
    <w:p>
      <w:pPr>
        <w:keepNext w:val="0"/>
        <w:keepLines w:val="0"/>
        <w:pageBreakBefore w:val="0"/>
        <w:widowControl w:val="0"/>
        <w:kinsoku/>
        <w:wordWrap/>
        <w:overflowPunct/>
        <w:topLinePunct w:val="0"/>
        <w:autoSpaceDE/>
        <w:autoSpaceDN/>
        <w:bidi w:val="0"/>
        <w:spacing w:line="576" w:lineRule="exact"/>
        <w:ind w:left="0" w:leftChars="0" w:right="0" w:rightChars="0"/>
        <w:jc w:val="center"/>
        <w:rPr>
          <w:rFonts w:hint="eastAsia" w:ascii="方正小标宋简体" w:hAnsi="方正小标宋简体" w:eastAsia="方正小标宋简体" w:cs="方正小标宋简体"/>
          <w:spacing w:val="0"/>
          <w:sz w:val="32"/>
          <w:szCs w:val="32"/>
        </w:rPr>
      </w:pPr>
      <w:r>
        <w:rPr>
          <w:rFonts w:hint="eastAsia" w:ascii="方正小标宋简体" w:hAnsi="方正小标宋简体" w:eastAsia="方正小标宋简体" w:cs="方正小标宋简体"/>
          <w:spacing w:val="0"/>
          <w:sz w:val="32"/>
          <w:szCs w:val="32"/>
        </w:rPr>
        <w:t>第四章 检查优先、优化及其他</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第二十八条</w:t>
      </w:r>
      <w:r>
        <w:rPr>
          <w:rFonts w:hint="eastAsia" w:ascii="仿宋_GB2312" w:hAnsi="仿宋_GB2312" w:eastAsia="仿宋_GB2312" w:cs="仿宋_GB2312"/>
          <w:spacing w:val="0"/>
          <w:sz w:val="32"/>
          <w:szCs w:val="32"/>
        </w:rPr>
        <w:t xml:space="preserve"> 为提高行政效能，简化程序，有以下情形之一的，无需申请GMP符合性检查：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（一）已批准再注册药品恢复生产，该品种所在生产线已通过GMP符合性检查且处于正常生产状态的；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（二）已通过GMP符合</w:t>
      </w:r>
      <w:r>
        <w:rPr>
          <w:rFonts w:hint="eastAsia" w:ascii="仿宋_GB2312" w:hAnsi="仿宋_GB2312" w:eastAsia="仿宋_GB2312" w:cs="仿宋_GB2312"/>
          <w:strike w:val="0"/>
          <w:dstrike w:val="0"/>
          <w:spacing w:val="0"/>
          <w:sz w:val="32"/>
          <w:szCs w:val="32"/>
        </w:rPr>
        <w:t>性检查的</w:t>
      </w:r>
      <w:r>
        <w:rPr>
          <w:rFonts w:hint="eastAsia" w:ascii="仿宋_GB2312" w:hAnsi="仿宋_GB2312" w:eastAsia="仿宋_GB2312" w:cs="仿宋_GB2312"/>
          <w:spacing w:val="0"/>
          <w:sz w:val="32"/>
          <w:szCs w:val="32"/>
        </w:rPr>
        <w:t>车间或生产线，非关键生产设备变更、局部功能间调整或改建扩建部分车间，无需进行药品生产许可相关检查、变更检查的；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color w:val="0000FF"/>
          <w:spacing w:val="0"/>
          <w:sz w:val="32"/>
          <w:szCs w:val="32"/>
        </w:rPr>
      </w:pPr>
      <w:r>
        <w:rPr>
          <w:rFonts w:hint="eastAsia" w:ascii="仿宋_GB2312" w:hAnsi="仿宋_GB2312" w:eastAsia="仿宋_GB2312" w:cs="仿宋_GB2312"/>
          <w:spacing w:val="0"/>
          <w:sz w:val="32"/>
          <w:szCs w:val="32"/>
        </w:rPr>
        <w:t>（三）境外生产</w:t>
      </w:r>
      <w:r>
        <w:rPr>
          <w:rFonts w:hint="eastAsia" w:ascii="仿宋_GB2312" w:hAnsi="仿宋_GB2312" w:eastAsia="仿宋_GB2312" w:cs="仿宋_GB2312"/>
          <w:spacing w:val="0"/>
          <w:sz w:val="32"/>
          <w:szCs w:val="32"/>
          <w:lang w:eastAsia="zh-CN"/>
        </w:rPr>
        <w:t>片剂、胶囊剂</w:t>
      </w:r>
      <w:r>
        <w:rPr>
          <w:rFonts w:hint="eastAsia" w:ascii="仿宋_GB2312" w:hAnsi="仿宋_GB2312" w:eastAsia="仿宋_GB2312" w:cs="仿宋_GB2312"/>
          <w:spacing w:val="0"/>
          <w:sz w:val="32"/>
          <w:szCs w:val="32"/>
        </w:rPr>
        <w:t>需要在境内进行药品内包装，产品为低风险品种，且涉及的生产线已通过GMP符合性检查的；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（四）境外生产药品仅在境内进行贴签、装盒等外包装生产的，涉及的生产线已通过GMP符合性检查的；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pacing w:val="0"/>
          <w:sz w:val="32"/>
          <w:szCs w:val="32"/>
        </w:rPr>
        <w:t>（五）持</w:t>
      </w:r>
      <w:r>
        <w:rPr>
          <w:rFonts w:hint="eastAsia" w:ascii="仿宋_GB2312" w:hAnsi="仿宋_GB2312" w:eastAsia="仿宋_GB2312" w:cs="仿宋_GB2312"/>
          <w:sz w:val="32"/>
          <w:szCs w:val="32"/>
        </w:rPr>
        <w:t>有人增加相同剂型药品，相应药品生产企业的车间/生产线已通过GMP符合性检查，且不属于第五条第三项情形的</w:t>
      </w:r>
      <w:r>
        <w:rPr>
          <w:rFonts w:hint="eastAsia" w:ascii="仿宋_GB2312" w:hAnsi="仿宋_GB2312" w:eastAsia="仿宋_GB2312" w:cs="仿宋_GB2312"/>
          <w:sz w:val="32"/>
          <w:szCs w:val="32"/>
          <w:lang w:eastAsia="zh-CN"/>
        </w:rPr>
        <w:t>；</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z w:val="32"/>
          <w:szCs w:val="32"/>
          <w:lang w:val="en-US" w:eastAsia="zh-CN"/>
        </w:rPr>
      </w:pPr>
      <w:r>
        <w:rPr>
          <w:rFonts w:hint="eastAsia" w:ascii="黑体" w:hAnsi="黑体" w:eastAsia="黑体" w:cs="黑体"/>
          <w:color w:val="333333"/>
          <w:spacing w:val="0"/>
          <w:sz w:val="32"/>
          <w:szCs w:val="32"/>
          <w:lang w:eastAsia="zh-CN" w:bidi="ar"/>
        </w:rPr>
        <w:t>第二十九条</w:t>
      </w:r>
      <w:r>
        <w:rPr>
          <w:rFonts w:hint="eastAsia" w:ascii="仿宋_GB2312" w:hAnsi="仿宋_GB2312" w:eastAsia="仿宋_GB2312" w:cs="仿宋_GB2312"/>
          <w:sz w:val="32"/>
          <w:szCs w:val="32"/>
        </w:rPr>
        <w:t xml:space="preserve"> 有以下情形之一的，</w:t>
      </w:r>
      <w:r>
        <w:rPr>
          <w:rFonts w:hint="eastAsia" w:ascii="仿宋_GB2312" w:hAnsi="仿宋_GB2312" w:eastAsia="仿宋_GB2312" w:cs="仿宋_GB2312"/>
          <w:sz w:val="32"/>
          <w:szCs w:val="32"/>
          <w:lang w:val="en-US" w:eastAsia="zh-CN"/>
        </w:rPr>
        <w:t>不得免于GMP符合性检查：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（一）近五年内存在严重违反药品监管法规行为或者关键岗位人员存在失信记录的；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（二）该企业近三年内监督检查结论存在不符合GMP要求情况的；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（三）该品种近一年内存在</w:t>
      </w:r>
      <w:r>
        <w:rPr>
          <w:rFonts w:hint="default" w:ascii="仿宋_GB2312" w:hAnsi="仿宋_GB2312" w:eastAsia="仿宋_GB2312" w:cs="仿宋_GB2312"/>
          <w:sz w:val="32"/>
          <w:szCs w:val="32"/>
          <w:lang w:val="en-US" w:eastAsia="zh-CN"/>
        </w:rPr>
        <w:t>两批次</w:t>
      </w:r>
      <w:r>
        <w:rPr>
          <w:rFonts w:hint="eastAsia" w:ascii="仿宋_GB2312" w:hAnsi="仿宋_GB2312" w:eastAsia="仿宋_GB2312" w:cs="仿宋_GB2312"/>
          <w:sz w:val="32"/>
          <w:szCs w:val="32"/>
          <w:lang w:val="en-US" w:eastAsia="zh-CN"/>
        </w:rPr>
        <w:t>产品抽检不合格的；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（四）近一年内同一岗位关键人员频繁变更2次及以上的。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第三十条 </w:t>
      </w:r>
      <w:r>
        <w:rPr>
          <w:rFonts w:hint="eastAsia" w:ascii="仿宋_GB2312" w:hAnsi="仿宋_GB2312" w:eastAsia="仿宋_GB2312" w:cs="仿宋_GB2312"/>
          <w:spacing w:val="0"/>
          <w:sz w:val="32"/>
          <w:szCs w:val="32"/>
        </w:rPr>
        <w:t>为鼓励创新，促进药品尽早惠及病患，符合下列情形之一的，企业在申请GMP符合性检查时同时提供相关证明性文件后，可优先安排检查：</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（一）创新药、应急审批药品、罕见病用药申请GMP符合性检查的；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（二）集采中选药品变更生产场地申请GMP符合性检查的；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（三）列入短缺药品供应名单品种申请GMP符合性检查的；</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lang w:eastAsia="zh-CN"/>
        </w:rPr>
      </w:pPr>
      <w:r>
        <w:rPr>
          <w:rFonts w:hint="eastAsia" w:ascii="仿宋_GB2312" w:hAnsi="仿宋_GB2312" w:eastAsia="仿宋_GB2312" w:cs="仿宋_GB2312"/>
          <w:spacing w:val="0"/>
          <w:sz w:val="32"/>
          <w:szCs w:val="32"/>
        </w:rPr>
        <w:t>（四）</w:t>
      </w:r>
      <w:r>
        <w:rPr>
          <w:rFonts w:hint="eastAsia" w:ascii="仿宋_GB2312" w:hAnsi="仿宋_GB2312" w:eastAsia="仿宋_GB2312" w:cs="仿宋_GB2312"/>
          <w:spacing w:val="0"/>
          <w:sz w:val="32"/>
          <w:szCs w:val="32"/>
          <w:lang w:val="en-US" w:eastAsia="zh-CN"/>
        </w:rPr>
        <w:t>公共卫生防疫用药品申请GMP符合性检查的</w:t>
      </w:r>
      <w:r>
        <w:rPr>
          <w:rFonts w:hint="eastAsia" w:ascii="仿宋_GB2312" w:hAnsi="仿宋_GB2312" w:eastAsia="仿宋_GB2312" w:cs="仿宋_GB2312"/>
          <w:spacing w:val="0"/>
          <w:sz w:val="32"/>
          <w:szCs w:val="32"/>
          <w:lang w:eastAsia="zh-CN"/>
        </w:rPr>
        <w:t>；</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default"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val="en-US" w:eastAsia="zh-CN"/>
        </w:rPr>
        <w:t>（五）</w:t>
      </w:r>
      <w:r>
        <w:rPr>
          <w:rFonts w:hint="eastAsia" w:ascii="仿宋_GB2312" w:hAnsi="仿宋_GB2312" w:eastAsia="仿宋_GB2312" w:cs="仿宋_GB2312"/>
          <w:spacing w:val="0"/>
          <w:sz w:val="32"/>
          <w:szCs w:val="32"/>
        </w:rPr>
        <w:t>其他可优先安排检查的情形</w:t>
      </w:r>
      <w:r>
        <w:rPr>
          <w:rFonts w:hint="eastAsia" w:ascii="仿宋_GB2312" w:hAnsi="仿宋_GB2312" w:eastAsia="仿宋_GB2312" w:cs="仿宋_GB2312"/>
          <w:spacing w:val="0"/>
          <w:sz w:val="32"/>
          <w:szCs w:val="32"/>
          <w:lang w:val="en-US" w:eastAsia="zh-CN"/>
        </w:rPr>
        <w:t>。</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6"/>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第三十一条 </w:t>
      </w:r>
      <w:r>
        <w:rPr>
          <w:rFonts w:hint="eastAsia" w:ascii="仿宋_GB2312" w:hAnsi="仿宋_GB2312" w:eastAsia="仿宋_GB2312" w:cs="仿宋_GB2312"/>
          <w:spacing w:val="0"/>
          <w:sz w:val="32"/>
          <w:szCs w:val="32"/>
        </w:rPr>
        <w:t>已在</w:t>
      </w:r>
      <w:r>
        <w:rPr>
          <w:rFonts w:hint="eastAsia" w:ascii="仿宋_GB2312" w:hAnsi="仿宋_GB2312" w:eastAsia="仿宋_GB2312" w:cs="仿宋_GB2312"/>
          <w:spacing w:val="0"/>
          <w:sz w:val="32"/>
          <w:szCs w:val="32"/>
          <w:lang w:eastAsia="zh-CN"/>
        </w:rPr>
        <w:t>区局</w:t>
      </w:r>
      <w:r>
        <w:rPr>
          <w:rFonts w:hint="eastAsia" w:ascii="仿宋_GB2312" w:hAnsi="仿宋_GB2312" w:eastAsia="仿宋_GB2312" w:cs="仿宋_GB2312"/>
          <w:spacing w:val="0"/>
          <w:sz w:val="32"/>
          <w:szCs w:val="32"/>
        </w:rPr>
        <w:t>官网公告或公示GMP符合性检查结果的药品生产线，仅属于单纯名称上的变更，企业应及时书面告知药品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第三十二条</w:t>
      </w:r>
      <w:r>
        <w:rPr>
          <w:rFonts w:hint="eastAsia" w:ascii="仿宋_GB2312" w:hAnsi="仿宋_GB2312" w:eastAsia="仿宋_GB2312" w:cs="仿宋_GB2312"/>
          <w:spacing w:val="0"/>
          <w:sz w:val="32"/>
          <w:szCs w:val="32"/>
        </w:rPr>
        <w:t xml:space="preserve"> 申请人无法确定是否要申请药品GMP符合性检查的，可向药品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申请沟通交流。药品</w:t>
      </w:r>
      <w:r>
        <w:rPr>
          <w:rFonts w:hint="eastAsia" w:ascii="仿宋_GB2312" w:hAnsi="仿宋_GB2312" w:eastAsia="仿宋_GB2312" w:cs="仿宋_GB2312"/>
          <w:spacing w:val="0"/>
          <w:sz w:val="32"/>
          <w:szCs w:val="32"/>
          <w:lang w:eastAsia="zh-CN"/>
        </w:rPr>
        <w:t>监管处</w:t>
      </w:r>
      <w:r>
        <w:rPr>
          <w:rFonts w:hint="eastAsia" w:ascii="仿宋_GB2312" w:hAnsi="仿宋_GB2312" w:eastAsia="仿宋_GB2312" w:cs="仿宋_GB2312"/>
          <w:spacing w:val="0"/>
          <w:sz w:val="32"/>
          <w:szCs w:val="32"/>
        </w:rPr>
        <w:t>应当按照早期介入、及时辅导的原则建立GMP符合性检查沟通机制，为申请人执行</w:t>
      </w:r>
      <w:r>
        <w:rPr>
          <w:rFonts w:hint="eastAsia" w:ascii="仿宋_GB2312" w:hAnsi="仿宋_GB2312" w:eastAsia="仿宋_GB2312" w:cs="仿宋_GB2312"/>
          <w:spacing w:val="0"/>
          <w:sz w:val="32"/>
          <w:szCs w:val="32"/>
          <w:lang w:val="en-US" w:eastAsia="zh-CN"/>
        </w:rPr>
        <w:t>GMP</w:t>
      </w:r>
      <w:r>
        <w:rPr>
          <w:rFonts w:hint="eastAsia" w:ascii="仿宋_GB2312" w:hAnsi="仿宋_GB2312" w:eastAsia="仿宋_GB2312" w:cs="仿宋_GB2312"/>
          <w:spacing w:val="0"/>
          <w:sz w:val="32"/>
          <w:szCs w:val="32"/>
        </w:rPr>
        <w:t>提供政策咨询和技术辅导。必要时，沟通交流内容应当形成记录，作为后续GMP符合性检查的参考。</w:t>
      </w:r>
    </w:p>
    <w:p>
      <w:pPr>
        <w:keepNext w:val="0"/>
        <w:keepLines w:val="0"/>
        <w:pageBreakBefore w:val="0"/>
        <w:widowControl w:val="0"/>
        <w:kinsoku/>
        <w:wordWrap/>
        <w:overflowPunct/>
        <w:topLinePunct w:val="0"/>
        <w:autoSpaceDE/>
        <w:autoSpaceDN/>
        <w:bidi w:val="0"/>
        <w:spacing w:line="576" w:lineRule="exact"/>
        <w:ind w:left="0" w:leftChars="0" w:right="0" w:rightChars="0"/>
        <w:jc w:val="center"/>
        <w:rPr>
          <w:rFonts w:hint="eastAsia" w:ascii="方正小标宋简体" w:hAnsi="方正小标宋简体" w:eastAsia="方正小标宋简体" w:cs="方正小标宋简体"/>
          <w:spacing w:val="0"/>
          <w:sz w:val="32"/>
          <w:szCs w:val="32"/>
        </w:rPr>
      </w:pPr>
      <w:r>
        <w:rPr>
          <w:rFonts w:hint="eastAsia" w:ascii="方正小标宋简体" w:hAnsi="方正小标宋简体" w:eastAsia="方正小标宋简体" w:cs="方正小标宋简体"/>
          <w:spacing w:val="0"/>
          <w:sz w:val="32"/>
          <w:szCs w:val="32"/>
        </w:rPr>
        <w:t>第五章 附则</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第三十三条</w:t>
      </w:r>
      <w:r>
        <w:rPr>
          <w:rFonts w:hint="eastAsia" w:ascii="仿宋_GB2312" w:hAnsi="仿宋_GB2312" w:eastAsia="仿宋_GB2312" w:cs="仿宋_GB2312"/>
          <w:spacing w:val="0"/>
          <w:sz w:val="32"/>
          <w:szCs w:val="32"/>
        </w:rPr>
        <w:t xml:space="preserve"> </w:t>
      </w:r>
      <w:r>
        <w:rPr>
          <w:rFonts w:hint="eastAsia" w:ascii="仿宋_GB2312" w:eastAsia="仿宋_GB2312"/>
          <w:sz w:val="32"/>
          <w:szCs w:val="32"/>
        </w:rPr>
        <w:t>本</w:t>
      </w:r>
      <w:r>
        <w:rPr>
          <w:rFonts w:hint="eastAsia" w:ascii="仿宋_GB2312" w:eastAsia="仿宋_GB2312"/>
          <w:sz w:val="32"/>
          <w:szCs w:val="32"/>
          <w:lang w:eastAsia="zh-CN"/>
        </w:rPr>
        <w:t>程序</w:t>
      </w:r>
      <w:r>
        <w:rPr>
          <w:rFonts w:hint="eastAsia" w:ascii="仿宋_GB2312" w:eastAsia="仿宋_GB2312"/>
          <w:sz w:val="32"/>
          <w:szCs w:val="32"/>
        </w:rPr>
        <w:t>由</w:t>
      </w:r>
      <w:r>
        <w:rPr>
          <w:rFonts w:hint="eastAsia" w:ascii="仿宋_GB2312" w:eastAsia="仿宋_GB2312"/>
          <w:sz w:val="32"/>
          <w:szCs w:val="32"/>
          <w:lang w:eastAsia="zh-CN"/>
        </w:rPr>
        <w:t>自治区</w:t>
      </w:r>
      <w:r>
        <w:rPr>
          <w:rFonts w:hint="eastAsia" w:ascii="仿宋_GB2312" w:eastAsia="仿宋_GB2312"/>
          <w:sz w:val="32"/>
          <w:szCs w:val="32"/>
        </w:rPr>
        <w:t>药品监督管理局负责解释。</w:t>
      </w:r>
      <w:r>
        <w:rPr>
          <w:rFonts w:hint="eastAsia" w:ascii="仿宋_GB2312" w:hAnsi="仿宋_GB2312" w:eastAsia="仿宋_GB2312" w:cs="仿宋_GB2312"/>
          <w:spacing w:val="0"/>
          <w:sz w:val="32"/>
          <w:szCs w:val="32"/>
        </w:rPr>
        <w:t>国家药品监督管理局对GMP符合性检查有新规定的，从其规定。</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rPr>
      </w:pPr>
      <w:r>
        <w:rPr>
          <w:rFonts w:hint="eastAsia" w:ascii="黑体" w:hAnsi="黑体" w:eastAsia="黑体" w:cs="黑体"/>
          <w:color w:val="333333"/>
          <w:spacing w:val="0"/>
          <w:sz w:val="32"/>
          <w:szCs w:val="32"/>
          <w:lang w:eastAsia="zh-CN" w:bidi="ar"/>
        </w:rPr>
        <w:t xml:space="preserve">第三十四条 </w:t>
      </w:r>
      <w:r>
        <w:rPr>
          <w:rFonts w:hint="eastAsia" w:ascii="仿宋_GB2312" w:hAnsi="仿宋_GB2312" w:eastAsia="仿宋_GB2312" w:cs="仿宋_GB2312"/>
          <w:spacing w:val="0"/>
          <w:sz w:val="32"/>
          <w:szCs w:val="32"/>
        </w:rPr>
        <w:t>本程序自印发之日起施行。</w:t>
      </w:r>
    </w:p>
    <w:p>
      <w:pPr>
        <w:keepNext w:val="0"/>
        <w:keepLines w:val="0"/>
        <w:pageBreakBefore w:val="0"/>
        <w:widowControl w:val="0"/>
        <w:kinsoku/>
        <w:wordWrap/>
        <w:overflowPunct/>
        <w:topLinePunct w:val="0"/>
        <w:autoSpaceDE/>
        <w:autoSpaceDN/>
        <w:bidi w:val="0"/>
        <w:spacing w:line="576" w:lineRule="exact"/>
        <w:ind w:left="0" w:leftChars="0" w:right="0" w:rightChars="0"/>
        <w:rPr>
          <w:rFonts w:hint="eastAsia" w:ascii="仿宋_GB2312" w:hAnsi="仿宋_GB2312" w:eastAsia="仿宋_GB2312" w:cs="仿宋_GB2312"/>
          <w:sz w:val="32"/>
          <w:szCs w:val="32"/>
        </w:rPr>
      </w:pP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645"/>
        <w:jc w:val="both"/>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pacing w:val="0"/>
          <w:sz w:val="32"/>
          <w:szCs w:val="32"/>
          <w:lang w:val="en-US" w:eastAsia="zh-CN"/>
        </w:rPr>
        <w:t>1.药品生产质量管理规范符合性检查申请材料清单</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1600" w:firstLineChars="500"/>
        <w:jc w:val="both"/>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val="en-US" w:eastAsia="zh-CN"/>
        </w:rPr>
        <w:t>2.药品生产质量管理规范符合性检查申请表</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1622" w:firstLineChars="507"/>
        <w:jc w:val="both"/>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val="en-US" w:eastAsia="zh-CN"/>
        </w:rPr>
        <w:t>3.药品GMP符合性检查报告、药品GMP符合性检查缺</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1942" w:firstLineChars="607"/>
        <w:jc w:val="both"/>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val="en-US" w:eastAsia="zh-CN"/>
        </w:rPr>
        <w:t>陷项目表</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1622" w:firstLineChars="507"/>
        <w:jc w:val="both"/>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val="en-US" w:eastAsia="zh-CN"/>
        </w:rPr>
        <w:t>4.药品GMP符合性检查缺陷调整通知单</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1622" w:firstLineChars="507"/>
        <w:jc w:val="both"/>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val="en-US" w:eastAsia="zh-CN"/>
        </w:rPr>
        <w:t>5.药品GMP符合性检查综合评定报告书</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1916" w:leftChars="760" w:right="0" w:rightChars="0" w:hanging="320" w:hangingChars="100"/>
        <w:jc w:val="both"/>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val="en-US" w:eastAsia="zh-CN"/>
        </w:rPr>
        <w:t>6.西藏自治区药品监督管理局GMP符合性检查结果公告（公示）</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firstLine="1603" w:firstLineChars="501"/>
        <w:jc w:val="both"/>
        <w:rPr>
          <w:rFonts w:hint="default" w:ascii="仿宋_GB2312" w:hAnsi="仿宋_GB2312" w:eastAsia="仿宋_GB2312" w:cs="仿宋_GB2312"/>
          <w:spacing w:val="0"/>
          <w:w w:val="90"/>
          <w:sz w:val="32"/>
          <w:szCs w:val="32"/>
          <w:lang w:val="en-US" w:eastAsia="zh-CN"/>
        </w:rPr>
      </w:pPr>
      <w:r>
        <w:rPr>
          <w:rFonts w:hint="eastAsia" w:ascii="仿宋_GB2312" w:hAnsi="仿宋_GB2312" w:eastAsia="仿宋_GB2312" w:cs="仿宋_GB2312"/>
          <w:spacing w:val="0"/>
          <w:sz w:val="32"/>
          <w:szCs w:val="32"/>
          <w:lang w:val="en-US" w:eastAsia="zh-CN"/>
        </w:rPr>
        <w:t>7.</w:t>
      </w:r>
      <w:r>
        <w:rPr>
          <w:rFonts w:hint="eastAsia" w:ascii="仿宋_GB2312" w:hAnsi="仿宋_GB2312" w:eastAsia="仿宋_GB2312" w:cs="仿宋_GB2312"/>
          <w:spacing w:val="0"/>
          <w:w w:val="90"/>
          <w:sz w:val="32"/>
          <w:szCs w:val="32"/>
          <w:lang w:val="en-US" w:eastAsia="zh-CN"/>
        </w:rPr>
        <w:t>西藏自治区药品监督管理局药品GMP符合性检查告知书</w:t>
      </w:r>
    </w:p>
    <w:p>
      <w:pPr>
        <w:pStyle w:val="5"/>
        <w:keepNext w:val="0"/>
        <w:keepLines w:val="0"/>
        <w:pageBreakBefore w:val="0"/>
        <w:widowControl w:val="0"/>
        <w:kinsoku/>
        <w:wordWrap/>
        <w:overflowPunct/>
        <w:topLinePunct w:val="0"/>
        <w:autoSpaceDE/>
        <w:autoSpaceDN/>
        <w:bidi w:val="0"/>
        <w:spacing w:before="0" w:beforeAutospacing="0" w:after="0" w:afterAutospacing="0" w:line="576" w:lineRule="exact"/>
        <w:ind w:left="0" w:leftChars="0" w:right="0" w:rightChars="0"/>
        <w:jc w:val="both"/>
        <w:rPr>
          <w:rFonts w:hint="eastAsia" w:ascii="Times New Roman" w:hAnsi="Times New Roman" w:eastAsia="方正小标宋简体"/>
          <w:spacing w:val="0"/>
          <w:sz w:val="36"/>
          <w:szCs w:val="36"/>
        </w:rPr>
      </w:pPr>
      <w:r>
        <w:rPr>
          <w:rFonts w:hint="eastAsia" w:ascii="仿宋_GB2312" w:hAnsi="仿宋_GB2312" w:eastAsia="仿宋_GB2312" w:cs="仿宋_GB2312"/>
          <w:spacing w:val="0"/>
          <w:sz w:val="32"/>
          <w:szCs w:val="32"/>
        </w:rPr>
        <w:br w:type="page"/>
      </w:r>
      <w:r>
        <w:rPr>
          <w:rFonts w:hint="eastAsia" w:ascii="黑体" w:hAnsi="黑体" w:eastAsia="黑体" w:cs="黑体"/>
          <w:spacing w:val="0"/>
          <w:sz w:val="32"/>
          <w:szCs w:val="32"/>
        </w:rPr>
        <w:t>附件1</w:t>
      </w:r>
    </w:p>
    <w:p>
      <w:pPr>
        <w:keepNext w:val="0"/>
        <w:keepLines w:val="0"/>
        <w:pageBreakBefore w:val="0"/>
        <w:widowControl w:val="0"/>
        <w:suppressAutoHyphens/>
        <w:kinsoku/>
        <w:wordWrap/>
        <w:overflowPunct/>
        <w:topLinePunct w:val="0"/>
        <w:autoSpaceDE/>
        <w:autoSpaceDN/>
        <w:bidi w:val="0"/>
        <w:spacing w:line="576" w:lineRule="exact"/>
        <w:ind w:left="0" w:leftChars="0" w:right="0" w:rightChars="0"/>
        <w:jc w:val="center"/>
        <w:rPr>
          <w:rFonts w:hint="eastAsia" w:ascii="Times New Roman" w:hAnsi="Times New Roman" w:eastAsia="方正小标宋简体"/>
          <w:spacing w:val="0"/>
          <w:sz w:val="36"/>
          <w:szCs w:val="36"/>
        </w:rPr>
      </w:pPr>
      <w:r>
        <w:rPr>
          <w:rFonts w:hint="eastAsia" w:ascii="Times New Roman" w:hAnsi="Times New Roman" w:eastAsia="方正小标宋简体"/>
          <w:spacing w:val="0"/>
          <w:sz w:val="36"/>
          <w:szCs w:val="36"/>
        </w:rPr>
        <w:t>药品生产质量管理规范符合性检查申请材料清单</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1.药品生产质量管理规范符合性检查申请表；</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2.《药品生产许可证》和《营业执照》；</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3.药品生产管理和质量管理自查情况（包括企业概况及历史沿革情况、生产和质量管理情况，上次GMP符合性检查后关键人员、品种、软件、硬件条件的变化情况，上次GMP符合性检查后不合格项目的整改情况）；</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4.药品生产企业组织机构图（注明各部门名称、相互关系、部门负责人等）；</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5.药品生产企业法定代表人、企业负责人、生产负责人、质量负责人、质量受权人及部门负责人简历；依法经过资格认定的药学及相关专业技术人员、工程技术人员、技术工人登记表，并标明所在部门及岗位；高、中、初级技术人员占全体员工的比例情况表；</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6.药品生产企业生产范围全部剂型和品种表；申请检查范围剂型和品种表（注明“近三年批次数、产量”），包括依据标准、药品注册证书等有关文件资料的复印件；中药饮片生产企业需提供加工炮制的全部中药饮片品种表，包括依据标准及质量标准，注明“炮制方法、毒性中药饮片”；生物制品生产企业应提交批准的制造检定规程；</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7.药品生产场地周围环境图、总平面布置图、仓储平面布置图、质量检验场所平面布置图；</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8.车间概况（包括所在建筑物每层用途和车间的平面布局、建筑面积、洁净区、空气净化系统等情况。其中对高活性、高致敏、高毒性药品等的生产区域、空气净化系统及设备情况进行重点描述），设备安装平面布置图（包括更衣室、盥洗间、人流和物流通道、气闸等，并标明人、物流向和空气洁净度等级）；空气净化系统的送风、回风、排风平面布置图（无净化要求的除外）； 生产检验设备确认及验证情况，人员培训情况；</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9.申请检查范围的剂型或品种的工艺流程图，并注明主要过程控制点及控制项目；提供关键工序、主要设备清单，包括设备型号，规格；</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highlight w:val="yellow"/>
        </w:rPr>
      </w:pPr>
      <w:r>
        <w:rPr>
          <w:rFonts w:hint="eastAsia" w:ascii="仿宋_GB2312" w:hAnsi="仿宋_GB2312" w:eastAsia="仿宋_GB2312" w:cs="仿宋_GB2312"/>
          <w:spacing w:val="0"/>
          <w:sz w:val="32"/>
          <w:szCs w:val="32"/>
        </w:rPr>
        <w:t>10.主要生产及检验设备、制水系统及空气净化系统的确认及验证情况；与药品生产质量相关的关键计算机化管理系统的验证情况；申请检查范围的剂型或品种的三批工艺验证情况，清洁验证情况；</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11.关键检验仪器、仪表、量具、衡器校验情况；</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12.药品生产管理、质量管理文件目录；</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13.申请材料全部内容真实性承诺书；</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14.凡申请企业申报材料时，申请人不是法定代表人或负责人本人，企业应当提交《授权委托书》；</w:t>
      </w:r>
    </w:p>
    <w:p>
      <w:pPr>
        <w:keepNext w:val="0"/>
        <w:keepLines w:val="0"/>
        <w:pageBreakBefore w:val="0"/>
        <w:widowControl w:val="0"/>
        <w:kinsoku/>
        <w:wordWrap/>
        <w:overflowPunct/>
        <w:topLinePunct w:val="0"/>
        <w:autoSpaceDE/>
        <w:autoSpaceDN/>
        <w:bidi w:val="0"/>
        <w:spacing w:line="576" w:lineRule="exact"/>
        <w:ind w:left="0" w:leftChars="0" w:right="0" w:rightChars="0" w:firstLine="640" w:firstLineChars="200"/>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15.按申请材料顺序制作目录。</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br w:type="page"/>
      </w:r>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sz w:val="32"/>
          <w:szCs w:val="32"/>
        </w:rPr>
      </w:pPr>
      <w:r>
        <w:rPr>
          <w:rFonts w:hint="eastAsia" w:ascii="Times New Roman" w:hAnsi="Times New Roman" w:eastAsia="黑体"/>
          <w:spacing w:val="-6"/>
          <w:sz w:val="32"/>
          <w:szCs w:val="32"/>
        </w:rPr>
        <w:t>附件2</w:t>
      </w: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受理编号：</w:t>
      </w:r>
      <w:bookmarkStart w:id="10" w:name="SerialNumber"/>
      <w:bookmarkEnd w:id="10"/>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sz w:val="32"/>
          <w:szCs w:val="32"/>
        </w:rPr>
      </w:pPr>
    </w:p>
    <w:p>
      <w:pPr>
        <w:keepNext w:val="0"/>
        <w:keepLines w:val="0"/>
        <w:pageBreakBefore w:val="0"/>
        <w:widowControl w:val="0"/>
        <w:suppressAutoHyphens/>
        <w:kinsoku/>
        <w:wordWrap/>
        <w:overflowPunct/>
        <w:topLinePunct w:val="0"/>
        <w:autoSpaceDE/>
        <w:autoSpaceDN/>
        <w:bidi w:val="0"/>
        <w:spacing w:line="240" w:lineRule="atLeast"/>
        <w:jc w:val="center"/>
        <w:rPr>
          <w:rFonts w:hint="eastAsia" w:ascii="Times New Roman" w:hAnsi="Times New Roman" w:eastAsia="方正小标宋简体"/>
          <w:spacing w:val="-6"/>
          <w:w w:val="80"/>
          <w:sz w:val="72"/>
          <w:szCs w:val="20"/>
        </w:rPr>
      </w:pPr>
    </w:p>
    <w:p>
      <w:pPr>
        <w:keepNext w:val="0"/>
        <w:keepLines w:val="0"/>
        <w:pageBreakBefore w:val="0"/>
        <w:widowControl w:val="0"/>
        <w:suppressAutoHyphens/>
        <w:kinsoku/>
        <w:wordWrap/>
        <w:overflowPunct/>
        <w:topLinePunct w:val="0"/>
        <w:autoSpaceDE/>
        <w:autoSpaceDN/>
        <w:bidi w:val="0"/>
        <w:spacing w:line="240" w:lineRule="atLeast"/>
        <w:jc w:val="center"/>
        <w:rPr>
          <w:rFonts w:hint="eastAsia" w:ascii="Times New Roman" w:hAnsi="Times New Roman" w:eastAsia="方正小标宋简体"/>
          <w:spacing w:val="-6"/>
          <w:w w:val="80"/>
          <w:sz w:val="72"/>
          <w:szCs w:val="20"/>
        </w:rPr>
      </w:pPr>
    </w:p>
    <w:p>
      <w:pPr>
        <w:keepNext w:val="0"/>
        <w:keepLines w:val="0"/>
        <w:pageBreakBefore w:val="0"/>
        <w:widowControl w:val="0"/>
        <w:suppressAutoHyphens/>
        <w:kinsoku/>
        <w:wordWrap/>
        <w:overflowPunct/>
        <w:topLinePunct w:val="0"/>
        <w:autoSpaceDE/>
        <w:autoSpaceDN/>
        <w:bidi w:val="0"/>
        <w:spacing w:line="240" w:lineRule="atLeast"/>
        <w:jc w:val="center"/>
        <w:rPr>
          <w:rFonts w:hint="eastAsia" w:ascii="Times New Roman" w:hAnsi="Times New Roman" w:eastAsia="方正小标宋简体"/>
          <w:spacing w:val="-6"/>
          <w:w w:val="80"/>
          <w:sz w:val="72"/>
          <w:szCs w:val="20"/>
        </w:rPr>
      </w:pPr>
      <w:r>
        <w:rPr>
          <w:rFonts w:hint="eastAsia" w:ascii="Times New Roman" w:hAnsi="Times New Roman" w:eastAsia="方正小标宋简体"/>
          <w:spacing w:val="-6"/>
          <w:w w:val="80"/>
          <w:sz w:val="72"/>
          <w:szCs w:val="20"/>
        </w:rPr>
        <w:t>药品生产质量管理规范符合性检查</w:t>
      </w:r>
    </w:p>
    <w:p>
      <w:pPr>
        <w:keepNext w:val="0"/>
        <w:keepLines w:val="0"/>
        <w:pageBreakBefore w:val="0"/>
        <w:widowControl w:val="0"/>
        <w:suppressAutoHyphens/>
        <w:kinsoku/>
        <w:wordWrap/>
        <w:overflowPunct/>
        <w:topLinePunct w:val="0"/>
        <w:autoSpaceDE/>
        <w:autoSpaceDN/>
        <w:bidi w:val="0"/>
        <w:spacing w:line="240" w:lineRule="atLeast"/>
        <w:jc w:val="center"/>
        <w:rPr>
          <w:rFonts w:hint="eastAsia" w:ascii="Times New Roman" w:hAnsi="Times New Roman" w:eastAsia="方正小标宋简体"/>
          <w:spacing w:val="-6"/>
          <w:w w:val="80"/>
          <w:sz w:val="72"/>
          <w:szCs w:val="20"/>
        </w:rPr>
      </w:pPr>
      <w:r>
        <w:rPr>
          <w:rFonts w:hint="eastAsia" w:ascii="Times New Roman" w:hAnsi="Times New Roman" w:eastAsia="方正小标宋简体"/>
          <w:spacing w:val="-6"/>
          <w:w w:val="80"/>
          <w:sz w:val="72"/>
          <w:szCs w:val="20"/>
        </w:rPr>
        <w:t>申 请 表</w:t>
      </w:r>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sz w:val="32"/>
          <w:szCs w:val="32"/>
        </w:rPr>
      </w:pPr>
    </w:p>
    <w:tbl>
      <w:tblPr>
        <w:tblStyle w:val="8"/>
        <w:tblW w:w="9004" w:type="dxa"/>
        <w:tblInd w:w="0" w:type="dxa"/>
        <w:tblLayout w:type="fixed"/>
        <w:tblCellMar>
          <w:top w:w="0" w:type="dxa"/>
          <w:left w:w="108" w:type="dxa"/>
          <w:bottom w:w="0" w:type="dxa"/>
          <w:right w:w="108" w:type="dxa"/>
        </w:tblCellMar>
      </w:tblPr>
      <w:tblGrid>
        <w:gridCol w:w="2838"/>
        <w:gridCol w:w="1890"/>
        <w:gridCol w:w="1680"/>
        <w:gridCol w:w="1365"/>
        <w:gridCol w:w="1231"/>
      </w:tblGrid>
      <w:tr>
        <w:tblPrEx>
          <w:tblLayout w:type="fixed"/>
          <w:tblCellMar>
            <w:top w:w="0" w:type="dxa"/>
            <w:left w:w="108" w:type="dxa"/>
            <w:bottom w:w="0" w:type="dxa"/>
            <w:right w:w="108" w:type="dxa"/>
          </w:tblCellMar>
        </w:tblPrEx>
        <w:trPr>
          <w:trHeight w:val="454" w:hRule="exact"/>
        </w:trPr>
        <w:tc>
          <w:tcPr>
            <w:tcW w:w="2838"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r>
              <w:rPr>
                <w:rFonts w:hint="default"/>
              </w:rPr>
              <w:t>申请单位：</w:t>
            </w:r>
          </w:p>
        </w:tc>
        <w:tc>
          <w:tcPr>
            <w:tcW w:w="3570" w:type="dxa"/>
            <w:gridSpan w:val="2"/>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bookmarkStart w:id="11" w:name="EntName1"/>
            <w:bookmarkEnd w:id="11"/>
          </w:p>
        </w:tc>
        <w:tc>
          <w:tcPr>
            <w:tcW w:w="2596" w:type="dxa"/>
            <w:gridSpan w:val="2"/>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r>
              <w:rPr>
                <w:rFonts w:hint="default"/>
              </w:rPr>
              <w:t>（公章）</w:t>
            </w:r>
          </w:p>
        </w:tc>
      </w:tr>
      <w:tr>
        <w:tblPrEx>
          <w:tblLayout w:type="fixed"/>
          <w:tblCellMar>
            <w:top w:w="0" w:type="dxa"/>
            <w:left w:w="108" w:type="dxa"/>
            <w:bottom w:w="0" w:type="dxa"/>
            <w:right w:w="108" w:type="dxa"/>
          </w:tblCellMar>
        </w:tblPrEx>
        <w:trPr>
          <w:trHeight w:val="454" w:hRule="exact"/>
        </w:trPr>
        <w:tc>
          <w:tcPr>
            <w:tcW w:w="2838"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c>
          <w:tcPr>
            <w:tcW w:w="3570" w:type="dxa"/>
            <w:gridSpan w:val="2"/>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c>
          <w:tcPr>
            <w:tcW w:w="2596" w:type="dxa"/>
            <w:gridSpan w:val="2"/>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r>
      <w:tr>
        <w:tblPrEx>
          <w:tblLayout w:type="fixed"/>
          <w:tblCellMar>
            <w:top w:w="0" w:type="dxa"/>
            <w:left w:w="108" w:type="dxa"/>
            <w:bottom w:w="0" w:type="dxa"/>
            <w:right w:w="108" w:type="dxa"/>
          </w:tblCellMar>
        </w:tblPrEx>
        <w:trPr>
          <w:trHeight w:val="454" w:hRule="exact"/>
        </w:trPr>
        <w:tc>
          <w:tcPr>
            <w:tcW w:w="2838"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r>
              <w:rPr>
                <w:rFonts w:hint="default"/>
              </w:rPr>
              <w:t>所 在 地：</w:t>
            </w:r>
          </w:p>
        </w:tc>
        <w:tc>
          <w:tcPr>
            <w:tcW w:w="1890"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bookmarkStart w:id="12" w:name="Province"/>
            <w:bookmarkEnd w:id="12"/>
          </w:p>
        </w:tc>
        <w:tc>
          <w:tcPr>
            <w:tcW w:w="4276" w:type="dxa"/>
            <w:gridSpan w:val="3"/>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r>
              <w:rPr>
                <w:rFonts w:hint="default"/>
              </w:rPr>
              <w:t>省、自治区、直辖市</w:t>
            </w:r>
          </w:p>
        </w:tc>
      </w:tr>
      <w:tr>
        <w:tblPrEx>
          <w:tblLayout w:type="fixed"/>
          <w:tblCellMar>
            <w:top w:w="0" w:type="dxa"/>
            <w:left w:w="108" w:type="dxa"/>
            <w:bottom w:w="0" w:type="dxa"/>
            <w:right w:w="108" w:type="dxa"/>
          </w:tblCellMar>
        </w:tblPrEx>
        <w:trPr>
          <w:trHeight w:val="454" w:hRule="exact"/>
        </w:trPr>
        <w:tc>
          <w:tcPr>
            <w:tcW w:w="2838"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c>
          <w:tcPr>
            <w:tcW w:w="1890"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c>
          <w:tcPr>
            <w:tcW w:w="4276" w:type="dxa"/>
            <w:gridSpan w:val="3"/>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r>
      <w:tr>
        <w:tblPrEx>
          <w:tblLayout w:type="fixed"/>
          <w:tblCellMar>
            <w:top w:w="0" w:type="dxa"/>
            <w:left w:w="108" w:type="dxa"/>
            <w:bottom w:w="0" w:type="dxa"/>
            <w:right w:w="108" w:type="dxa"/>
          </w:tblCellMar>
        </w:tblPrEx>
        <w:trPr>
          <w:trHeight w:val="454" w:hRule="exact"/>
        </w:trPr>
        <w:tc>
          <w:tcPr>
            <w:tcW w:w="2838"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r>
              <w:rPr>
                <w:rFonts w:hint="default"/>
              </w:rPr>
              <w:t>填报日期：</w:t>
            </w:r>
          </w:p>
        </w:tc>
        <w:tc>
          <w:tcPr>
            <w:tcW w:w="4935" w:type="dxa"/>
            <w:gridSpan w:val="3"/>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bookmarkStart w:id="13" w:name="WriteDate"/>
            <w:bookmarkEnd w:id="13"/>
            <w:r>
              <w:rPr>
                <w:rFonts w:hint="default"/>
              </w:rPr>
              <w:t>年  月  日</w:t>
            </w:r>
          </w:p>
        </w:tc>
        <w:tc>
          <w:tcPr>
            <w:tcW w:w="1231"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r>
      <w:tr>
        <w:tblPrEx>
          <w:tblLayout w:type="fixed"/>
          <w:tblCellMar>
            <w:top w:w="0" w:type="dxa"/>
            <w:left w:w="108" w:type="dxa"/>
            <w:bottom w:w="0" w:type="dxa"/>
            <w:right w:w="108" w:type="dxa"/>
          </w:tblCellMar>
        </w:tblPrEx>
        <w:trPr>
          <w:trHeight w:val="454" w:hRule="exact"/>
        </w:trPr>
        <w:tc>
          <w:tcPr>
            <w:tcW w:w="2838"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c>
          <w:tcPr>
            <w:tcW w:w="4935" w:type="dxa"/>
            <w:gridSpan w:val="3"/>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c>
          <w:tcPr>
            <w:tcW w:w="1231"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r>
      <w:tr>
        <w:tblPrEx>
          <w:tblLayout w:type="fixed"/>
          <w:tblCellMar>
            <w:top w:w="0" w:type="dxa"/>
            <w:left w:w="108" w:type="dxa"/>
            <w:bottom w:w="0" w:type="dxa"/>
            <w:right w:w="108" w:type="dxa"/>
          </w:tblCellMar>
        </w:tblPrEx>
        <w:trPr>
          <w:trHeight w:val="454" w:hRule="exact"/>
        </w:trPr>
        <w:tc>
          <w:tcPr>
            <w:tcW w:w="2838"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r>
              <w:rPr>
                <w:rFonts w:hint="default"/>
              </w:rPr>
              <w:t>受理日期：</w:t>
            </w:r>
          </w:p>
        </w:tc>
        <w:tc>
          <w:tcPr>
            <w:tcW w:w="4935" w:type="dxa"/>
            <w:gridSpan w:val="3"/>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bookmarkStart w:id="14" w:name="RegisterDate"/>
            <w:bookmarkEnd w:id="14"/>
            <w:r>
              <w:rPr>
                <w:rFonts w:hint="default"/>
              </w:rPr>
              <w:t>年  月  日</w:t>
            </w:r>
          </w:p>
        </w:tc>
        <w:tc>
          <w:tcPr>
            <w:tcW w:w="1231" w:type="dxa"/>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p>
        </w:tc>
      </w:tr>
    </w:tbl>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sz w:val="32"/>
          <w:szCs w:val="32"/>
        </w:rPr>
      </w:pPr>
    </w:p>
    <w:p>
      <w:pPr>
        <w:keepNext w:val="0"/>
        <w:keepLines w:val="0"/>
        <w:pageBreakBefore w:val="0"/>
        <w:widowControl w:val="0"/>
        <w:suppressAutoHyphens/>
        <w:kinsoku/>
        <w:wordWrap/>
        <w:overflowPunct/>
        <w:topLinePunct w:val="0"/>
        <w:autoSpaceDE/>
        <w:autoSpaceDN/>
        <w:bidi w:val="0"/>
        <w:spacing w:line="240" w:lineRule="auto"/>
        <w:jc w:val="center"/>
        <w:rPr>
          <w:rFonts w:hint="eastAsia" w:ascii="Times New Roman" w:hAnsi="Times New Roman" w:eastAsia="黑体"/>
          <w:spacing w:val="-6"/>
          <w:sz w:val="32"/>
          <w:szCs w:val="32"/>
        </w:rPr>
      </w:pPr>
      <w:r>
        <w:rPr>
          <w:rFonts w:hint="eastAsia" w:ascii="Times New Roman" w:hAnsi="Times New Roman" w:eastAsia="黑体"/>
          <w:spacing w:val="-6"/>
          <w:sz w:val="32"/>
          <w:szCs w:val="32"/>
        </w:rPr>
        <w:t>国家药品监督管理局制</w:t>
      </w:r>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bCs/>
          <w:sz w:val="32"/>
          <w:szCs w:val="32"/>
        </w:rPr>
      </w:pPr>
    </w:p>
    <w:p>
      <w:pPr>
        <w:keepNext w:val="0"/>
        <w:keepLines w:val="0"/>
        <w:pageBreakBefore w:val="0"/>
        <w:widowControl w:val="0"/>
        <w:suppressAutoHyphens/>
        <w:kinsoku/>
        <w:wordWrap/>
        <w:overflowPunct/>
        <w:topLinePunct w:val="0"/>
        <w:autoSpaceDE/>
        <w:autoSpaceDN/>
        <w:bidi w:val="0"/>
        <w:spacing w:line="520" w:lineRule="exact"/>
        <w:rPr>
          <w:rFonts w:hint="eastAsia" w:ascii="Times New Roman" w:hAnsi="Times New Roman" w:eastAsia="方正小标宋简体"/>
          <w:bCs/>
          <w:spacing w:val="-6"/>
          <w:sz w:val="36"/>
          <w:szCs w:val="20"/>
        </w:rPr>
      </w:pPr>
      <w:r>
        <w:rPr>
          <w:rFonts w:hint="eastAsia" w:ascii="Times New Roman" w:hAnsi="Times New Roman" w:eastAsia="方正小标宋简体"/>
          <w:bCs/>
          <w:spacing w:val="-6"/>
          <w:sz w:val="36"/>
          <w:szCs w:val="20"/>
        </w:rPr>
        <w:t>填报说明</w:t>
      </w:r>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b/>
          <w:sz w:val="32"/>
          <w:szCs w:val="32"/>
        </w:rPr>
      </w:pPr>
    </w:p>
    <w:p>
      <w:pPr>
        <w:keepNext w:val="0"/>
        <w:keepLines w:val="0"/>
        <w:pageBreakBefore w:val="0"/>
        <w:widowControl w:val="0"/>
        <w:kinsoku/>
        <w:wordWrap/>
        <w:overflowPunct/>
        <w:topLinePunct w:val="0"/>
        <w:autoSpaceDE/>
        <w:autoSpaceDN/>
        <w:bidi w:val="0"/>
        <w:snapToGrid/>
        <w:spacing w:line="516"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根据《国务院关于批转发展改革委等部门法人和其他组织统一社会信用代码制度建设总体方案的通知》（国发〔2015〕33号），自2015年10月1日起将推行实施社会信用代码。相关申请单位在按规定取得社会信用代码之前，本表中可暂时填写组织机构代码。</w:t>
      </w:r>
    </w:p>
    <w:p>
      <w:pPr>
        <w:keepNext w:val="0"/>
        <w:keepLines w:val="0"/>
        <w:pageBreakBefore w:val="0"/>
        <w:widowControl w:val="0"/>
        <w:kinsoku/>
        <w:wordWrap/>
        <w:overflowPunct/>
        <w:topLinePunct w:val="0"/>
        <w:autoSpaceDE/>
        <w:autoSpaceDN/>
        <w:bidi w:val="0"/>
        <w:adjustRightInd w:val="0"/>
        <w:snapToGrid/>
        <w:spacing w:line="516"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lang w:val="zh-CN"/>
        </w:rPr>
        <w:t>2.</w:t>
      </w:r>
      <w:r>
        <w:rPr>
          <w:rFonts w:hint="eastAsia" w:ascii="仿宋_GB2312" w:hAnsi="仿宋_GB2312" w:eastAsia="仿宋_GB2312" w:cs="仿宋_GB2312"/>
          <w:sz w:val="28"/>
          <w:szCs w:val="28"/>
        </w:rPr>
        <w:t>企业类型：按《企业法人营业执照》上企业类型填写。三资企业请注明投资外方的国别或港、澳、台地区。</w:t>
      </w:r>
    </w:p>
    <w:p>
      <w:pPr>
        <w:keepNext w:val="0"/>
        <w:keepLines w:val="0"/>
        <w:pageBreakBefore w:val="0"/>
        <w:widowControl w:val="0"/>
        <w:kinsoku/>
        <w:wordWrap/>
        <w:overflowPunct/>
        <w:topLinePunct w:val="0"/>
        <w:autoSpaceDE/>
        <w:autoSpaceDN/>
        <w:bidi w:val="0"/>
        <w:adjustRightInd w:val="0"/>
        <w:snapToGrid/>
        <w:spacing w:line="516"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企业名称、生产地址等英文表述应与有关部门备案或核准一致。</w:t>
      </w:r>
    </w:p>
    <w:p>
      <w:pPr>
        <w:keepNext w:val="0"/>
        <w:keepLines w:val="0"/>
        <w:pageBreakBefore w:val="0"/>
        <w:widowControl w:val="0"/>
        <w:kinsoku/>
        <w:wordWrap/>
        <w:overflowPunct/>
        <w:topLinePunct w:val="0"/>
        <w:autoSpaceDE/>
        <w:autoSpaceDN/>
        <w:bidi w:val="0"/>
        <w:snapToGrid/>
        <w:spacing w:line="516"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kern w:val="0"/>
          <w:sz w:val="28"/>
          <w:szCs w:val="28"/>
          <w:lang w:val="zh-CN"/>
        </w:rPr>
        <w:t>生产类别：</w:t>
      </w:r>
      <w:r>
        <w:rPr>
          <w:rFonts w:hint="eastAsia" w:ascii="仿宋_GB2312" w:hAnsi="仿宋_GB2312" w:eastAsia="仿宋_GB2312" w:cs="仿宋_GB2312"/>
          <w:sz w:val="28"/>
          <w:szCs w:val="28"/>
        </w:rPr>
        <w:t>应按现行版本《中华人民共和国药典》“制剂通则”中的剂型详细填写。</w:t>
      </w:r>
    </w:p>
    <w:p>
      <w:pPr>
        <w:keepNext w:val="0"/>
        <w:keepLines w:val="0"/>
        <w:pageBreakBefore w:val="0"/>
        <w:widowControl w:val="0"/>
        <w:kinsoku/>
        <w:wordWrap/>
        <w:overflowPunct/>
        <w:topLinePunct w:val="0"/>
        <w:autoSpaceDE/>
        <w:autoSpaceDN/>
        <w:bidi w:val="0"/>
        <w:snapToGrid/>
        <w:spacing w:line="516"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4.检查范围：应按照《中华人民共和国药典》“制剂通则”及其他的国家药品标准等要求填写。检查范围应当填写到车间和生产线。</w:t>
      </w:r>
    </w:p>
    <w:p>
      <w:pPr>
        <w:keepNext w:val="0"/>
        <w:keepLines w:val="0"/>
        <w:pageBreakBefore w:val="0"/>
        <w:widowControl w:val="0"/>
        <w:kinsoku/>
        <w:wordWrap/>
        <w:overflowPunct/>
        <w:topLinePunct w:val="0"/>
        <w:autoSpaceDE/>
        <w:autoSpaceDN/>
        <w:bidi w:val="0"/>
        <w:snapToGrid/>
        <w:spacing w:line="516"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青霉素类、头孢菌素类、激素类、抗肿瘤药、避孕药、中药提取车间在括弧内注明；原料药应在括弧内注明品种名称；放射性药品、生物制品应在括弧内注明品种名称和相应剂型。</w:t>
      </w:r>
    </w:p>
    <w:p>
      <w:pPr>
        <w:keepNext w:val="0"/>
        <w:keepLines w:val="0"/>
        <w:pageBreakBefore w:val="0"/>
        <w:widowControl w:val="0"/>
        <w:kinsoku/>
        <w:wordWrap/>
        <w:overflowPunct/>
        <w:topLinePunct w:val="0"/>
        <w:autoSpaceDE/>
        <w:autoSpaceDN/>
        <w:bidi w:val="0"/>
        <w:snapToGrid/>
        <w:spacing w:line="516" w:lineRule="exact"/>
        <w:ind w:firstLine="6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5.固定资产和投资额计算单位：万元。生产能力计算单位：万瓶、万支、万片、万粒、万袋、吨等。</w:t>
      </w:r>
    </w:p>
    <w:p>
      <w:pPr>
        <w:keepNext w:val="0"/>
        <w:keepLines w:val="0"/>
        <w:pageBreakBefore w:val="0"/>
        <w:widowControl w:val="0"/>
        <w:kinsoku/>
        <w:wordWrap/>
        <w:overflowPunct/>
        <w:topLinePunct w:val="0"/>
        <w:autoSpaceDE/>
        <w:autoSpaceDN/>
        <w:bidi w:val="0"/>
        <w:snapToGrid/>
        <w:spacing w:line="516" w:lineRule="exact"/>
        <w:ind w:firstLine="6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6.联系电话号码前标明所在地区长途电话区号。</w:t>
      </w:r>
    </w:p>
    <w:p>
      <w:pPr>
        <w:keepNext w:val="0"/>
        <w:keepLines w:val="0"/>
        <w:pageBreakBefore w:val="0"/>
        <w:widowControl w:val="0"/>
        <w:kinsoku/>
        <w:wordWrap/>
        <w:overflowPunct/>
        <w:topLinePunct w:val="0"/>
        <w:autoSpaceDE/>
        <w:autoSpaceDN/>
        <w:bidi w:val="0"/>
        <w:snapToGrid/>
        <w:spacing w:line="516" w:lineRule="exact"/>
        <w:ind w:firstLine="6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7.受理编号及受理日期由受理单位填写。受理编号为：省、自治区、直辖市简称 + 年号 + 四位数字顺序号。</w:t>
      </w:r>
    </w:p>
    <w:p>
      <w:pPr>
        <w:keepNext w:val="0"/>
        <w:keepLines w:val="0"/>
        <w:pageBreakBefore w:val="0"/>
        <w:widowControl w:val="0"/>
        <w:kinsoku/>
        <w:wordWrap/>
        <w:overflowPunct/>
        <w:topLinePunct w:val="0"/>
        <w:autoSpaceDE/>
        <w:autoSpaceDN/>
        <w:bidi w:val="0"/>
        <w:snapToGrid/>
        <w:spacing w:line="516"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8.申请书填写内容应准确完整，并按照《药品生产质量管理规范符合性检查申请资料》要求报送申请资料，要求用A4纸打印，左侧装订。</w:t>
      </w:r>
    </w:p>
    <w:p>
      <w:pPr>
        <w:keepNext w:val="0"/>
        <w:keepLines w:val="0"/>
        <w:pageBreakBefore w:val="0"/>
        <w:widowControl w:val="0"/>
        <w:kinsoku/>
        <w:wordWrap/>
        <w:overflowPunct/>
        <w:topLinePunct w:val="0"/>
        <w:autoSpaceDE/>
        <w:autoSpaceDN/>
        <w:bidi w:val="0"/>
        <w:adjustRightInd w:val="0"/>
        <w:snapToGrid/>
        <w:spacing w:line="516"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9.报送申请书一式2份，申请资料1份。</w:t>
      </w:r>
    </w:p>
    <w:p>
      <w:pPr>
        <w:keepNext w:val="0"/>
        <w:keepLines w:val="0"/>
        <w:pageBreakBefore w:val="0"/>
        <w:widowControl w:val="0"/>
        <w:kinsoku/>
        <w:wordWrap/>
        <w:overflowPunct/>
        <w:topLinePunct w:val="0"/>
        <w:autoSpaceDE/>
        <w:autoSpaceDN/>
        <w:bidi w:val="0"/>
        <w:snapToGrid/>
        <w:spacing w:line="516" w:lineRule="exact"/>
        <w:textAlignment w:val="auto"/>
        <w:rPr>
          <w:rFonts w:hint="eastAsia" w:ascii="仿宋_GB2312" w:hAnsi="仿宋_GB2312" w:eastAsia="仿宋_GB2312" w:cs="仿宋_GB2312"/>
          <w:sz w:val="28"/>
          <w:szCs w:val="28"/>
        </w:rPr>
        <w:sectPr>
          <w:footerReference r:id="rId3" w:type="default"/>
          <w:pgSz w:w="11906" w:h="16838"/>
          <w:pgMar w:top="1928" w:right="1531" w:bottom="1814" w:left="1531" w:header="851" w:footer="992" w:gutter="0"/>
          <w:pgNumType w:fmt="numberInDash"/>
          <w:cols w:space="720" w:num="1"/>
          <w:docGrid w:type="lines" w:linePitch="312" w:charSpace="0"/>
        </w:sectPr>
      </w:pPr>
    </w:p>
    <w:tbl>
      <w:tblPr>
        <w:tblStyle w:val="8"/>
        <w:tblW w:w="90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650"/>
        <w:gridCol w:w="295"/>
        <w:gridCol w:w="420"/>
        <w:gridCol w:w="204"/>
        <w:gridCol w:w="741"/>
        <w:gridCol w:w="945"/>
        <w:gridCol w:w="21"/>
        <w:gridCol w:w="1218"/>
        <w:gridCol w:w="483"/>
        <w:gridCol w:w="588"/>
        <w:gridCol w:w="210"/>
        <w:gridCol w:w="478"/>
        <w:gridCol w:w="378"/>
        <w:gridCol w:w="11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8" w:hRule="exact"/>
        </w:trPr>
        <w:tc>
          <w:tcPr>
            <w:tcW w:w="1260" w:type="dxa"/>
            <w:vMerge w:val="restart"/>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企业名称</w:t>
            </w:r>
          </w:p>
        </w:tc>
        <w:tc>
          <w:tcPr>
            <w:tcW w:w="945"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中文</w:t>
            </w:r>
          </w:p>
        </w:tc>
        <w:tc>
          <w:tcPr>
            <w:tcW w:w="6825" w:type="dxa"/>
            <w:gridSpan w:val="1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15" w:name="CEnterpriseName"/>
            <w:bookmarkEnd w:id="1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8" w:hRule="exact"/>
        </w:trPr>
        <w:tc>
          <w:tcPr>
            <w:tcW w:w="1260" w:type="dxa"/>
            <w:vMerge w:val="continue"/>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p>
        </w:tc>
        <w:tc>
          <w:tcPr>
            <w:tcW w:w="945"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英文</w:t>
            </w:r>
          </w:p>
        </w:tc>
        <w:tc>
          <w:tcPr>
            <w:tcW w:w="6825" w:type="dxa"/>
            <w:gridSpan w:val="1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16" w:name="EEnterpriseName"/>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8" w:hRule="exact"/>
        </w:trPr>
        <w:tc>
          <w:tcPr>
            <w:tcW w:w="1260" w:type="dxa"/>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住所（经营场所）</w:t>
            </w:r>
          </w:p>
        </w:tc>
        <w:tc>
          <w:tcPr>
            <w:tcW w:w="945"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中文</w:t>
            </w:r>
          </w:p>
        </w:tc>
        <w:tc>
          <w:tcPr>
            <w:tcW w:w="6825" w:type="dxa"/>
            <w:gridSpan w:val="1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17" w:name="RegAddr"/>
            <w:bookmarkEnd w:id="1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1260" w:type="dxa"/>
            <w:vMerge w:val="restart"/>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生产地址</w:t>
            </w:r>
          </w:p>
        </w:tc>
        <w:tc>
          <w:tcPr>
            <w:tcW w:w="945"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中文</w:t>
            </w:r>
          </w:p>
        </w:tc>
        <w:tc>
          <w:tcPr>
            <w:tcW w:w="6825" w:type="dxa"/>
            <w:gridSpan w:val="1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18" w:name="CAddr"/>
            <w:bookmarkEnd w:id="1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4" w:hRule="exact"/>
        </w:trPr>
        <w:tc>
          <w:tcPr>
            <w:tcW w:w="1260" w:type="dxa"/>
            <w:vMerge w:val="continue"/>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p>
        </w:tc>
        <w:tc>
          <w:tcPr>
            <w:tcW w:w="945"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英文</w:t>
            </w:r>
          </w:p>
        </w:tc>
        <w:tc>
          <w:tcPr>
            <w:tcW w:w="6825" w:type="dxa"/>
            <w:gridSpan w:val="12"/>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19" w:name="EAddr"/>
            <w:bookmarkEnd w:id="1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9"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住所（经营场所）邮政编码</w:t>
            </w:r>
          </w:p>
        </w:tc>
        <w:tc>
          <w:tcPr>
            <w:tcW w:w="2310" w:type="dxa"/>
            <w:gridSpan w:val="4"/>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20" w:name="RegZip"/>
            <w:bookmarkEnd w:id="20"/>
          </w:p>
        </w:tc>
        <w:tc>
          <w:tcPr>
            <w:tcW w:w="2520" w:type="dxa"/>
            <w:gridSpan w:val="5"/>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生产地址邮政编码</w:t>
            </w:r>
          </w:p>
        </w:tc>
        <w:tc>
          <w:tcPr>
            <w:tcW w:w="199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21" w:name="ProductZip"/>
            <w:bookmarkEnd w:id="2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统一社会信用代码</w:t>
            </w:r>
          </w:p>
        </w:tc>
        <w:tc>
          <w:tcPr>
            <w:tcW w:w="2310" w:type="dxa"/>
            <w:gridSpan w:val="4"/>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22" w:name="OrganiseCode"/>
            <w:bookmarkEnd w:id="22"/>
          </w:p>
        </w:tc>
        <w:tc>
          <w:tcPr>
            <w:tcW w:w="2520" w:type="dxa"/>
            <w:gridSpan w:val="5"/>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药品生产许可证编号</w:t>
            </w:r>
          </w:p>
        </w:tc>
        <w:tc>
          <w:tcPr>
            <w:tcW w:w="199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23" w:name="Licence"/>
            <w:bookmarkEnd w:id="2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生产类别</w:t>
            </w:r>
          </w:p>
        </w:tc>
        <w:tc>
          <w:tcPr>
            <w:tcW w:w="6825" w:type="dxa"/>
            <w:gridSpan w:val="1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24" w:name="EntStyle"/>
            <w:bookmarkEnd w:id="2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企业类型</w:t>
            </w:r>
          </w:p>
        </w:tc>
        <w:tc>
          <w:tcPr>
            <w:tcW w:w="2310" w:type="dxa"/>
            <w:gridSpan w:val="4"/>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25" w:name="EconomyKind"/>
            <w:bookmarkEnd w:id="25"/>
          </w:p>
        </w:tc>
        <w:tc>
          <w:tcPr>
            <w:tcW w:w="3376" w:type="dxa"/>
            <w:gridSpan w:val="7"/>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三资企业外方国别或地区</w:t>
            </w:r>
          </w:p>
        </w:tc>
        <w:tc>
          <w:tcPr>
            <w:tcW w:w="1139" w:type="dxa"/>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26" w:name="CountryKind"/>
            <w:bookmarkEnd w:id="2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企业始建时间</w:t>
            </w:r>
          </w:p>
        </w:tc>
        <w:tc>
          <w:tcPr>
            <w:tcW w:w="2310" w:type="dxa"/>
            <w:gridSpan w:val="4"/>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27" w:name="CurrentBuildTime"/>
            <w:bookmarkEnd w:id="27"/>
            <w:r>
              <w:rPr>
                <w:rFonts w:hint="default"/>
                <w:sz w:val="24"/>
              </w:rPr>
              <w:t>年   月   日</w:t>
            </w:r>
          </w:p>
        </w:tc>
        <w:tc>
          <w:tcPr>
            <w:tcW w:w="1722"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最近更名时间</w:t>
            </w:r>
          </w:p>
        </w:tc>
        <w:tc>
          <w:tcPr>
            <w:tcW w:w="2793" w:type="dxa"/>
            <w:gridSpan w:val="5"/>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firstLine="480" w:firstLineChars="200"/>
              <w:rPr>
                <w:rFonts w:hint="eastAsia" w:ascii="仿宋_GB2312" w:hAnsi="仿宋_GB2312" w:eastAsia="仿宋_GB2312" w:cs="仿宋_GB2312"/>
                <w:sz w:val="32"/>
                <w:szCs w:val="32"/>
              </w:rPr>
            </w:pPr>
            <w:bookmarkStart w:id="28" w:name="BuildTime"/>
            <w:bookmarkEnd w:id="28"/>
            <w:r>
              <w:rPr>
                <w:rFonts w:hint="default"/>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职工人数</w:t>
            </w:r>
          </w:p>
        </w:tc>
        <w:tc>
          <w:tcPr>
            <w:tcW w:w="2310" w:type="dxa"/>
            <w:gridSpan w:val="4"/>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29" w:name="PersonNum"/>
            <w:bookmarkEnd w:id="29"/>
          </w:p>
        </w:tc>
        <w:tc>
          <w:tcPr>
            <w:tcW w:w="1722"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技术人员比例</w:t>
            </w:r>
          </w:p>
        </w:tc>
        <w:tc>
          <w:tcPr>
            <w:tcW w:w="2793" w:type="dxa"/>
            <w:gridSpan w:val="5"/>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0" w:name="TechnicRate"/>
            <w:bookmarkEnd w:id="3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法定代表人</w:t>
            </w:r>
          </w:p>
        </w:tc>
        <w:tc>
          <w:tcPr>
            <w:tcW w:w="136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1" w:name="Corporation"/>
            <w:bookmarkEnd w:id="31"/>
          </w:p>
        </w:tc>
        <w:tc>
          <w:tcPr>
            <w:tcW w:w="945" w:type="dxa"/>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职 称</w:t>
            </w:r>
          </w:p>
        </w:tc>
        <w:tc>
          <w:tcPr>
            <w:tcW w:w="1722"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2" w:name="CorpLevel"/>
            <w:bookmarkEnd w:id="32"/>
          </w:p>
        </w:tc>
        <w:tc>
          <w:tcPr>
            <w:tcW w:w="1276"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所学专业</w:t>
            </w:r>
          </w:p>
        </w:tc>
        <w:tc>
          <w:tcPr>
            <w:tcW w:w="1517"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3" w:name="CorpDuty"/>
            <w:bookmarkEnd w:id="3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企业负责人</w:t>
            </w:r>
          </w:p>
        </w:tc>
        <w:tc>
          <w:tcPr>
            <w:tcW w:w="136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4" w:name="EntPerson"/>
            <w:bookmarkEnd w:id="34"/>
          </w:p>
        </w:tc>
        <w:tc>
          <w:tcPr>
            <w:tcW w:w="945" w:type="dxa"/>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职 称</w:t>
            </w:r>
          </w:p>
        </w:tc>
        <w:tc>
          <w:tcPr>
            <w:tcW w:w="1722"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5" w:name="EntLevel"/>
            <w:bookmarkEnd w:id="35"/>
          </w:p>
        </w:tc>
        <w:tc>
          <w:tcPr>
            <w:tcW w:w="1276"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所学专业</w:t>
            </w:r>
          </w:p>
        </w:tc>
        <w:tc>
          <w:tcPr>
            <w:tcW w:w="1517"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6" w:name="EntDuty"/>
            <w:bookmarkEnd w:id="3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质量负责人</w:t>
            </w:r>
          </w:p>
        </w:tc>
        <w:tc>
          <w:tcPr>
            <w:tcW w:w="136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7" w:name="QAPerson"/>
            <w:bookmarkEnd w:id="37"/>
          </w:p>
        </w:tc>
        <w:tc>
          <w:tcPr>
            <w:tcW w:w="945" w:type="dxa"/>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职 称</w:t>
            </w:r>
          </w:p>
        </w:tc>
        <w:tc>
          <w:tcPr>
            <w:tcW w:w="1722"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8" w:name="QALevel"/>
            <w:bookmarkEnd w:id="38"/>
          </w:p>
        </w:tc>
        <w:tc>
          <w:tcPr>
            <w:tcW w:w="1276"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所学专业</w:t>
            </w:r>
          </w:p>
        </w:tc>
        <w:tc>
          <w:tcPr>
            <w:tcW w:w="1517"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39" w:name="QADuty"/>
            <w:bookmarkEnd w:id="3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生产  负责人</w:t>
            </w:r>
          </w:p>
        </w:tc>
        <w:tc>
          <w:tcPr>
            <w:tcW w:w="136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0" w:name="WorkPerson"/>
            <w:bookmarkEnd w:id="40"/>
          </w:p>
        </w:tc>
        <w:tc>
          <w:tcPr>
            <w:tcW w:w="945" w:type="dxa"/>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职 称</w:t>
            </w:r>
          </w:p>
        </w:tc>
        <w:tc>
          <w:tcPr>
            <w:tcW w:w="1722"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1" w:name="WorkLevel"/>
            <w:bookmarkEnd w:id="41"/>
          </w:p>
        </w:tc>
        <w:tc>
          <w:tcPr>
            <w:tcW w:w="1276"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所学专业</w:t>
            </w:r>
          </w:p>
        </w:tc>
        <w:tc>
          <w:tcPr>
            <w:tcW w:w="1517"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2" w:name="WorkDuty"/>
            <w:bookmarkEnd w:id="4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质量受权人</w:t>
            </w:r>
          </w:p>
        </w:tc>
        <w:tc>
          <w:tcPr>
            <w:tcW w:w="136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p>
        </w:tc>
        <w:tc>
          <w:tcPr>
            <w:tcW w:w="945" w:type="dxa"/>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职 称</w:t>
            </w:r>
          </w:p>
        </w:tc>
        <w:tc>
          <w:tcPr>
            <w:tcW w:w="1722"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p>
        </w:tc>
        <w:tc>
          <w:tcPr>
            <w:tcW w:w="1276"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所学专业</w:t>
            </w:r>
          </w:p>
        </w:tc>
        <w:tc>
          <w:tcPr>
            <w:tcW w:w="1517"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联 系 人</w:t>
            </w:r>
          </w:p>
        </w:tc>
        <w:tc>
          <w:tcPr>
            <w:tcW w:w="136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3" w:name="LinkMan"/>
            <w:bookmarkEnd w:id="43"/>
          </w:p>
        </w:tc>
        <w:tc>
          <w:tcPr>
            <w:tcW w:w="945" w:type="dxa"/>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电 话</w:t>
            </w:r>
          </w:p>
        </w:tc>
        <w:tc>
          <w:tcPr>
            <w:tcW w:w="1722"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4" w:name="Telephone"/>
            <w:bookmarkEnd w:id="44"/>
          </w:p>
        </w:tc>
        <w:tc>
          <w:tcPr>
            <w:tcW w:w="1276"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手   机</w:t>
            </w:r>
          </w:p>
        </w:tc>
        <w:tc>
          <w:tcPr>
            <w:tcW w:w="1517" w:type="dxa"/>
            <w:gridSpan w:val="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5" w:name="MoveTelephone"/>
            <w:bookmarkEnd w:id="4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传    真</w:t>
            </w:r>
          </w:p>
        </w:tc>
        <w:tc>
          <w:tcPr>
            <w:tcW w:w="136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6" w:name="Fax"/>
            <w:bookmarkEnd w:id="46"/>
          </w:p>
        </w:tc>
        <w:tc>
          <w:tcPr>
            <w:tcW w:w="945" w:type="dxa"/>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e-mail</w:t>
            </w:r>
          </w:p>
        </w:tc>
        <w:tc>
          <w:tcPr>
            <w:tcW w:w="4515" w:type="dxa"/>
            <w:gridSpan w:val="8"/>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7" w:name="Mail"/>
            <w:bookmarkEnd w:id="4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4" w:hRule="exact"/>
        </w:trPr>
        <w:tc>
          <w:tcPr>
            <w:tcW w:w="2205" w:type="dxa"/>
            <w:gridSpan w:val="3"/>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rPr>
              <w:t>企业网址</w:t>
            </w:r>
          </w:p>
        </w:tc>
        <w:tc>
          <w:tcPr>
            <w:tcW w:w="6825" w:type="dxa"/>
            <w:gridSpan w:val="12"/>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625" w:type="dxa"/>
            <w:gridSpan w:val="4"/>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4"/>
              </w:rPr>
              <w:t>固定资产原值（万元）</w:t>
            </w:r>
          </w:p>
        </w:tc>
        <w:tc>
          <w:tcPr>
            <w:tcW w:w="1911" w:type="dxa"/>
            <w:gridSpan w:val="4"/>
            <w:tcBorders>
              <w:bottom w:val="single" w:color="auto" w:sz="4" w:space="0"/>
            </w:tcBorders>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8" w:name="Number1"/>
            <w:bookmarkEnd w:id="48"/>
          </w:p>
        </w:tc>
        <w:tc>
          <w:tcPr>
            <w:tcW w:w="2289" w:type="dxa"/>
            <w:gridSpan w:val="3"/>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pacing w:val="-11"/>
                <w:sz w:val="32"/>
                <w:szCs w:val="32"/>
              </w:rPr>
            </w:pPr>
            <w:r>
              <w:rPr>
                <w:rFonts w:hint="default"/>
                <w:spacing w:val="-11"/>
                <w:sz w:val="24"/>
                <w:szCs w:val="24"/>
              </w:rPr>
              <w:t xml:space="preserve">固定资产净值（万元）  </w:t>
            </w:r>
          </w:p>
        </w:tc>
        <w:tc>
          <w:tcPr>
            <w:tcW w:w="2205" w:type="dxa"/>
            <w:gridSpan w:val="4"/>
            <w:tcBorders>
              <w:bottom w:val="single" w:color="auto" w:sz="4" w:space="0"/>
            </w:tcBorders>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49" w:name="Number2"/>
            <w:bookmarkEnd w:id="4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625" w:type="dxa"/>
            <w:gridSpan w:val="4"/>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4"/>
              </w:rPr>
              <w:t>厂区占地面积（平方米）</w:t>
            </w:r>
          </w:p>
        </w:tc>
        <w:tc>
          <w:tcPr>
            <w:tcW w:w="1911" w:type="dxa"/>
            <w:gridSpan w:val="4"/>
            <w:tcBorders>
              <w:bottom w:val="single" w:color="auto" w:sz="4" w:space="0"/>
            </w:tcBorders>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50" w:name="Number3"/>
            <w:bookmarkEnd w:id="50"/>
          </w:p>
        </w:tc>
        <w:tc>
          <w:tcPr>
            <w:tcW w:w="2289" w:type="dxa"/>
            <w:gridSpan w:val="3"/>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4"/>
              </w:rPr>
              <w:t xml:space="preserve">建筑面积（平方米）                         </w:t>
            </w:r>
          </w:p>
        </w:tc>
        <w:tc>
          <w:tcPr>
            <w:tcW w:w="2205" w:type="dxa"/>
            <w:gridSpan w:val="4"/>
            <w:tcBorders>
              <w:bottom w:val="single" w:color="auto" w:sz="4" w:space="0"/>
            </w:tcBorders>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51" w:name="Number4"/>
            <w:bookmarkEnd w:id="5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625" w:type="dxa"/>
            <w:gridSpan w:val="4"/>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4"/>
              </w:rPr>
              <w:t>上年工业总产值（万元）</w:t>
            </w:r>
          </w:p>
        </w:tc>
        <w:tc>
          <w:tcPr>
            <w:tcW w:w="1911" w:type="dxa"/>
            <w:gridSpan w:val="4"/>
            <w:tcBorders>
              <w:bottom w:val="single" w:color="auto" w:sz="4" w:space="0"/>
            </w:tcBorders>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52" w:name="Number5"/>
            <w:bookmarkEnd w:id="52"/>
          </w:p>
        </w:tc>
        <w:tc>
          <w:tcPr>
            <w:tcW w:w="2289" w:type="dxa"/>
            <w:gridSpan w:val="3"/>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4"/>
              </w:rPr>
              <w:t xml:space="preserve">销售收入（万元）    </w:t>
            </w:r>
          </w:p>
        </w:tc>
        <w:tc>
          <w:tcPr>
            <w:tcW w:w="2205" w:type="dxa"/>
            <w:gridSpan w:val="4"/>
            <w:tcBorders>
              <w:bottom w:val="single" w:color="auto" w:sz="4" w:space="0"/>
            </w:tcBorders>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53" w:name="Number6"/>
            <w:bookmarkEnd w:id="5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8" w:hRule="exact"/>
        </w:trPr>
        <w:tc>
          <w:tcPr>
            <w:tcW w:w="1910" w:type="dxa"/>
            <w:gridSpan w:val="2"/>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4"/>
              </w:rPr>
              <w:t xml:space="preserve">利润（万元）                  </w:t>
            </w:r>
          </w:p>
        </w:tc>
        <w:tc>
          <w:tcPr>
            <w:tcW w:w="919" w:type="dxa"/>
            <w:gridSpan w:val="3"/>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00" w:lineRule="exact"/>
              <w:ind w:left="0" w:right="0"/>
              <w:rPr>
                <w:rFonts w:hint="eastAsia" w:ascii="仿宋_GB2312" w:hAnsi="仿宋_GB2312" w:eastAsia="仿宋_GB2312" w:cs="仿宋_GB2312"/>
                <w:sz w:val="32"/>
                <w:szCs w:val="32"/>
              </w:rPr>
            </w:pPr>
            <w:bookmarkStart w:id="54" w:name="Number7"/>
            <w:bookmarkEnd w:id="54"/>
          </w:p>
        </w:tc>
        <w:tc>
          <w:tcPr>
            <w:tcW w:w="1707" w:type="dxa"/>
            <w:gridSpan w:val="3"/>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4"/>
              </w:rPr>
              <w:t xml:space="preserve">税金（万元）              </w:t>
            </w:r>
          </w:p>
        </w:tc>
        <w:tc>
          <w:tcPr>
            <w:tcW w:w="1218" w:type="dxa"/>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00" w:lineRule="exact"/>
              <w:ind w:left="0" w:right="0"/>
              <w:rPr>
                <w:rFonts w:hint="eastAsia" w:ascii="仿宋_GB2312" w:hAnsi="仿宋_GB2312" w:eastAsia="仿宋_GB2312" w:cs="仿宋_GB2312"/>
                <w:sz w:val="32"/>
                <w:szCs w:val="32"/>
              </w:rPr>
            </w:pPr>
            <w:bookmarkStart w:id="55" w:name="Number8"/>
            <w:bookmarkEnd w:id="55"/>
          </w:p>
        </w:tc>
        <w:tc>
          <w:tcPr>
            <w:tcW w:w="2137" w:type="dxa"/>
            <w:gridSpan w:val="5"/>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00" w:lineRule="exact"/>
              <w:ind w:left="0" w:right="0"/>
              <w:rPr>
                <w:rFonts w:hint="eastAsia" w:ascii="仿宋_GB2312" w:hAnsi="仿宋_GB2312" w:eastAsia="仿宋_GB2312" w:cs="仿宋_GB2312"/>
                <w:sz w:val="32"/>
                <w:szCs w:val="32"/>
              </w:rPr>
            </w:pPr>
            <w:r>
              <w:rPr>
                <w:rFonts w:hint="default"/>
                <w:sz w:val="24"/>
                <w:szCs w:val="24"/>
              </w:rPr>
              <w:t>创汇（万美元）</w:t>
            </w:r>
          </w:p>
        </w:tc>
        <w:tc>
          <w:tcPr>
            <w:tcW w:w="1139" w:type="dxa"/>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00" w:lineRule="exact"/>
              <w:ind w:left="0" w:right="0"/>
              <w:rPr>
                <w:rFonts w:hint="eastAsia" w:ascii="仿宋_GB2312" w:hAnsi="仿宋_GB2312" w:eastAsia="仿宋_GB2312" w:cs="仿宋_GB2312"/>
                <w:sz w:val="32"/>
                <w:szCs w:val="32"/>
              </w:rPr>
            </w:pPr>
            <w:bookmarkStart w:id="56" w:name="Number9"/>
            <w:bookmarkEnd w:id="5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8" w:hRule="atLeast"/>
        </w:trPr>
        <w:tc>
          <w:tcPr>
            <w:tcW w:w="1910" w:type="dxa"/>
            <w:gridSpan w:val="2"/>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4"/>
              </w:rPr>
              <w:t>原料药品种（个）</w:t>
            </w:r>
          </w:p>
        </w:tc>
        <w:tc>
          <w:tcPr>
            <w:tcW w:w="919" w:type="dxa"/>
            <w:gridSpan w:val="3"/>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00" w:lineRule="exact"/>
              <w:ind w:left="0" w:right="0"/>
              <w:rPr>
                <w:rFonts w:hint="eastAsia" w:ascii="仿宋_GB2312" w:hAnsi="仿宋_GB2312" w:eastAsia="仿宋_GB2312" w:cs="仿宋_GB2312"/>
                <w:sz w:val="32"/>
                <w:szCs w:val="32"/>
              </w:rPr>
            </w:pPr>
          </w:p>
        </w:tc>
        <w:tc>
          <w:tcPr>
            <w:tcW w:w="1707" w:type="dxa"/>
            <w:gridSpan w:val="3"/>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4"/>
              </w:rPr>
              <w:t>制剂品种（个）</w:t>
            </w:r>
          </w:p>
        </w:tc>
        <w:tc>
          <w:tcPr>
            <w:tcW w:w="1218" w:type="dxa"/>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00" w:lineRule="exact"/>
              <w:ind w:left="0" w:right="0"/>
              <w:rPr>
                <w:rFonts w:hint="eastAsia" w:ascii="仿宋_GB2312" w:hAnsi="仿宋_GB2312" w:eastAsia="仿宋_GB2312" w:cs="仿宋_GB2312"/>
                <w:sz w:val="32"/>
                <w:szCs w:val="32"/>
              </w:rPr>
            </w:pPr>
          </w:p>
        </w:tc>
        <w:tc>
          <w:tcPr>
            <w:tcW w:w="2137" w:type="dxa"/>
            <w:gridSpan w:val="5"/>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00" w:lineRule="exact"/>
              <w:ind w:left="0" w:right="0"/>
              <w:rPr>
                <w:rFonts w:hint="eastAsia" w:ascii="仿宋_GB2312" w:hAnsi="仿宋_GB2312" w:eastAsia="仿宋_GB2312" w:cs="仿宋_GB2312"/>
                <w:sz w:val="32"/>
                <w:szCs w:val="32"/>
              </w:rPr>
            </w:pPr>
            <w:r>
              <w:rPr>
                <w:rFonts w:hint="default"/>
                <w:sz w:val="24"/>
                <w:szCs w:val="24"/>
              </w:rPr>
              <w:t>常年生产品种（个）</w:t>
            </w:r>
          </w:p>
        </w:tc>
        <w:tc>
          <w:tcPr>
            <w:tcW w:w="1139" w:type="dxa"/>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00" w:lineRule="exact"/>
              <w:ind w:left="0" w:right="0"/>
              <w:rPr>
                <w:rFonts w:hint="eastAsia" w:ascii="仿宋_GB2312" w:hAnsi="仿宋_GB2312" w:eastAsia="仿宋_GB2312" w:cs="仿宋_GB2312"/>
                <w:sz w:val="32"/>
                <w:szCs w:val="32"/>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trPr>
        <w:tc>
          <w:tcPr>
            <w:tcW w:w="9030" w:type="dxa"/>
            <w:gridSpan w:val="15"/>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440" w:lineRule="exact"/>
              <w:ind w:left="0" w:right="0"/>
              <w:rPr>
                <w:rFonts w:hint="eastAsia" w:ascii="仿宋_GB2312" w:hAnsi="仿宋_GB2312" w:eastAsia="仿宋_GB2312" w:cs="仿宋_GB2312"/>
                <w:sz w:val="32"/>
                <w:szCs w:val="32"/>
              </w:rPr>
            </w:pPr>
            <w:r>
              <w:rPr>
                <w:rFonts w:hint="default"/>
                <w:sz w:val="24"/>
                <w:szCs w:val="24"/>
              </w:rPr>
              <w:t xml:space="preserve">本次GMP符合性检查是企业第 [   ] 次      属于 □新建 □改建 □扩建 □其他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4" w:hRule="atLeast"/>
        </w:trPr>
        <w:tc>
          <w:tcPr>
            <w:tcW w:w="1260" w:type="dxa"/>
            <w:vMerge w:val="restart"/>
            <w:tcBorders>
              <w:bottom w:val="nil"/>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申请检查范围</w:t>
            </w:r>
          </w:p>
        </w:tc>
        <w:tc>
          <w:tcPr>
            <w:tcW w:w="945" w:type="dxa"/>
            <w:gridSpan w:val="2"/>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中文</w:t>
            </w:r>
          </w:p>
        </w:tc>
        <w:tc>
          <w:tcPr>
            <w:tcW w:w="6825" w:type="dxa"/>
            <w:gridSpan w:val="12"/>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57" w:name="CInspScope"/>
            <w:bookmarkEnd w:id="5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92" w:hRule="atLeast"/>
        </w:trPr>
        <w:tc>
          <w:tcPr>
            <w:tcW w:w="1260" w:type="dxa"/>
            <w:vMerge w:val="continue"/>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p>
        </w:tc>
        <w:tc>
          <w:tcPr>
            <w:tcW w:w="945" w:type="dxa"/>
            <w:gridSpan w:val="2"/>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英文</w:t>
            </w:r>
          </w:p>
        </w:tc>
        <w:tc>
          <w:tcPr>
            <w:tcW w:w="6825" w:type="dxa"/>
            <w:gridSpan w:val="12"/>
            <w:tcBorders>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58" w:name="EInspScope"/>
            <w:bookmarkEnd w:id="5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9" w:hRule="atLeast"/>
        </w:trPr>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r>
              <w:rPr>
                <w:rFonts w:hint="default"/>
                <w:sz w:val="24"/>
                <w:szCs w:val="22"/>
              </w:rPr>
              <w:t>备注</w:t>
            </w:r>
          </w:p>
        </w:tc>
        <w:tc>
          <w:tcPr>
            <w:tcW w:w="7770" w:type="dxa"/>
            <w:gridSpan w:val="1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exact"/>
              <w:ind w:left="0" w:right="0"/>
              <w:rPr>
                <w:rFonts w:hint="eastAsia" w:ascii="仿宋_GB2312" w:hAnsi="仿宋_GB2312" w:eastAsia="仿宋_GB2312" w:cs="仿宋_GB2312"/>
                <w:sz w:val="32"/>
                <w:szCs w:val="32"/>
              </w:rPr>
            </w:pPr>
            <w:bookmarkStart w:id="59" w:name="Memo"/>
            <w:bookmarkEnd w:id="59"/>
          </w:p>
        </w:tc>
      </w:tr>
    </w:tbl>
    <w:p>
      <w:pPr>
        <w:keepNext w:val="0"/>
        <w:keepLines w:val="0"/>
        <w:pageBreakBefore w:val="0"/>
        <w:widowControl w:val="0"/>
        <w:suppressAutoHyphens/>
        <w:kinsoku/>
        <w:wordWrap/>
        <w:overflowPunct/>
        <w:topLinePunct w:val="0"/>
        <w:autoSpaceDE/>
        <w:autoSpaceDN/>
        <w:bidi w:val="0"/>
        <w:spacing w:line="556" w:lineRule="exact"/>
        <w:rPr>
          <w:rFonts w:hint="eastAsia" w:ascii="Times New Roman" w:hAnsi="Times New Roman" w:eastAsia="黑体"/>
          <w:spacing w:val="-6"/>
          <w:sz w:val="32"/>
          <w:szCs w:val="32"/>
        </w:rPr>
      </w:pPr>
      <w:r>
        <w:rPr>
          <w:rFonts w:hint="eastAsia" w:ascii="Times New Roman" w:hAnsi="Times New Roman" w:eastAsia="黑体"/>
          <w:spacing w:val="-6"/>
          <w:sz w:val="32"/>
          <w:szCs w:val="32"/>
        </w:rPr>
        <w:t>附件3</w:t>
      </w:r>
    </w:p>
    <w:p>
      <w:pPr>
        <w:keepNext w:val="0"/>
        <w:keepLines w:val="0"/>
        <w:pageBreakBefore w:val="0"/>
        <w:widowControl w:val="0"/>
        <w:kinsoku/>
        <w:wordWrap/>
        <w:overflowPunct/>
        <w:topLinePunct w:val="0"/>
        <w:autoSpaceDE/>
        <w:autoSpaceDN/>
        <w:bidi w:val="0"/>
        <w:adjustRightInd w:val="0"/>
        <w:snapToGrid w:val="0"/>
        <w:spacing w:line="576" w:lineRule="exact"/>
        <w:jc w:val="center"/>
        <w:rPr>
          <w:rFonts w:hint="eastAsia" w:ascii="仿宋_GB2312" w:hAnsi="仿宋_GB2312" w:eastAsia="仿宋_GB2312" w:cs="仿宋_GB2312"/>
          <w:bCs/>
          <w:color w:val="000000"/>
          <w:sz w:val="32"/>
          <w:szCs w:val="32"/>
        </w:rPr>
      </w:pPr>
      <w:r>
        <w:rPr>
          <w:rFonts w:hint="eastAsia" w:ascii="方正小标宋简体" w:hAnsi="方正小标宋简体" w:eastAsia="方正小标宋简体" w:cs="方正小标宋简体"/>
          <w:bCs/>
          <w:color w:val="000000"/>
          <w:spacing w:val="-6"/>
          <w:sz w:val="44"/>
          <w:szCs w:val="44"/>
          <w:lang w:bidi="ar"/>
        </w:rPr>
        <w:t>药品GMP符合性检查报告</w:t>
      </w:r>
      <w:r>
        <w:rPr>
          <w:rFonts w:hint="eastAsia" w:ascii="仿宋_GB2312" w:hAnsi="仿宋_GB2312" w:eastAsia="仿宋_GB2312" w:cs="仿宋_GB2312"/>
          <w:bCs/>
          <w:color w:val="000000"/>
          <w:sz w:val="32"/>
          <w:szCs w:val="32"/>
        </w:rPr>
        <w:t xml:space="preserve"> </w:t>
      </w:r>
    </w:p>
    <w:tbl>
      <w:tblPr>
        <w:tblStyle w:val="8"/>
        <w:tblW w:w="1097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2"/>
        <w:gridCol w:w="557"/>
        <w:gridCol w:w="1858"/>
        <w:gridCol w:w="24"/>
        <w:gridCol w:w="5"/>
        <w:gridCol w:w="1758"/>
        <w:gridCol w:w="37"/>
        <w:gridCol w:w="42"/>
        <w:gridCol w:w="594"/>
        <w:gridCol w:w="3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color w:val="000000"/>
                <w:sz w:val="28"/>
                <w:szCs w:val="28"/>
              </w:rPr>
            </w:pPr>
            <w:bookmarkStart w:id="60" w:name="_Hlk116490213"/>
            <w:r>
              <w:rPr>
                <w:rFonts w:hint="default"/>
                <w:color w:val="000000"/>
                <w:sz w:val="28"/>
                <w:szCs w:val="28"/>
              </w:rPr>
              <w:t>企业名称</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eastAsia="黑体"/>
                <w:lang w:val="en-US" w:eastAsia="zh-CN"/>
              </w:rPr>
            </w:pPr>
            <w:r>
              <w:rPr>
                <w:rFonts w:hint="eastAsia"/>
                <w:color w:val="000000"/>
                <w:sz w:val="28"/>
                <w:szCs w:val="28"/>
                <w:lang w:val="en-US" w:eastAsia="zh-CN"/>
              </w:rPr>
              <w:t>(被检查单位)</w:t>
            </w:r>
          </w:p>
        </w:tc>
        <w:tc>
          <w:tcPr>
            <w:tcW w:w="8175" w:type="dxa"/>
            <w:gridSpan w:val="9"/>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left"/>
              <w:rPr>
                <w:rFonts w:hint="default"/>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color w:val="000000"/>
                <w:sz w:val="28"/>
                <w:szCs w:val="28"/>
                <w:lang w:val="en-US" w:eastAsia="zh-CN"/>
              </w:rPr>
            </w:pPr>
            <w:r>
              <w:rPr>
                <w:rFonts w:hint="eastAsia"/>
                <w:color w:val="000000"/>
                <w:sz w:val="28"/>
                <w:szCs w:val="28"/>
                <w:lang w:val="en-US" w:eastAsia="zh-CN"/>
              </w:rPr>
              <w:t>任务编号</w:t>
            </w:r>
          </w:p>
        </w:tc>
        <w:tc>
          <w:tcPr>
            <w:tcW w:w="2415"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left"/>
              <w:rPr>
                <w:rFonts w:hint="default"/>
                <w:color w:val="000000"/>
                <w:sz w:val="28"/>
                <w:szCs w:val="28"/>
              </w:rPr>
            </w:pPr>
          </w:p>
        </w:tc>
        <w:tc>
          <w:tcPr>
            <w:tcW w:w="2460"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left"/>
              <w:rPr>
                <w:rFonts w:hint="default"/>
                <w:color w:val="000000"/>
                <w:sz w:val="28"/>
                <w:szCs w:val="28"/>
              </w:rPr>
            </w:pPr>
            <w:r>
              <w:rPr>
                <w:rFonts w:hint="default"/>
                <w:color w:val="000000"/>
                <w:sz w:val="28"/>
                <w:szCs w:val="28"/>
              </w:rPr>
              <w:t>检查类型</w:t>
            </w:r>
          </w:p>
        </w:tc>
        <w:tc>
          <w:tcPr>
            <w:tcW w:w="33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r>
              <w:rPr>
                <w:rFonts w:hint="default"/>
                <w:color w:val="000000"/>
                <w:sz w:val="28"/>
                <w:szCs w:val="28"/>
              </w:rPr>
              <w:t>□许可检查</w:t>
            </w:r>
            <w:r>
              <w:rPr>
                <w:rFonts w:hint="eastAsia"/>
                <w:color w:val="000000"/>
                <w:sz w:val="28"/>
                <w:szCs w:val="28"/>
                <w:lang w:val="en-US" w:eastAsia="zh-CN"/>
              </w:rPr>
              <w:t xml:space="preserve"> </w:t>
            </w:r>
            <w:r>
              <w:rPr>
                <w:rFonts w:hint="default"/>
                <w:color w:val="000000"/>
                <w:sz w:val="28"/>
                <w:szCs w:val="28"/>
              </w:rPr>
              <w:t>□常规检查</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r>
              <w:rPr>
                <w:rFonts w:hint="default"/>
                <w:color w:val="000000"/>
                <w:sz w:val="28"/>
                <w:szCs w:val="28"/>
              </w:rPr>
              <w:t>□有因检查</w:t>
            </w:r>
            <w:r>
              <w:rPr>
                <w:rFonts w:hint="eastAsia"/>
                <w:color w:val="000000"/>
                <w:sz w:val="28"/>
                <w:szCs w:val="28"/>
                <w:lang w:val="en-US" w:eastAsia="zh-CN"/>
              </w:rPr>
              <w:t xml:space="preserve"> </w:t>
            </w:r>
            <w:r>
              <w:rPr>
                <w:rFonts w:hint="default"/>
                <w:color w:val="000000"/>
                <w:sz w:val="28"/>
                <w:szCs w:val="28"/>
              </w:rPr>
              <w:t>□其他检查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color w:val="000000"/>
                <w:sz w:val="28"/>
                <w:szCs w:val="28"/>
                <w:lang w:val="en-US" w:eastAsia="zh-CN"/>
              </w:rPr>
            </w:pPr>
            <w:r>
              <w:rPr>
                <w:rFonts w:hint="eastAsia"/>
                <w:color w:val="000000"/>
                <w:sz w:val="28"/>
                <w:szCs w:val="28"/>
                <w:lang w:val="en-US" w:eastAsia="zh-CN"/>
              </w:rPr>
              <w:t>药品生产</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eastAsia="宋体"/>
                <w:color w:val="000000"/>
                <w:sz w:val="28"/>
                <w:szCs w:val="28"/>
                <w:lang w:val="en-US" w:eastAsia="zh-CN"/>
              </w:rPr>
            </w:pPr>
            <w:r>
              <w:rPr>
                <w:rFonts w:hint="eastAsia"/>
                <w:color w:val="000000"/>
                <w:sz w:val="28"/>
                <w:szCs w:val="28"/>
                <w:lang w:val="en-US" w:eastAsia="zh-CN"/>
              </w:rPr>
              <w:t>许可证编号/分类码</w:t>
            </w:r>
          </w:p>
        </w:tc>
        <w:tc>
          <w:tcPr>
            <w:tcW w:w="2415"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left"/>
              <w:rPr>
                <w:rFonts w:hint="default"/>
                <w:color w:val="000000"/>
                <w:sz w:val="28"/>
                <w:szCs w:val="28"/>
              </w:rPr>
            </w:pPr>
          </w:p>
        </w:tc>
        <w:tc>
          <w:tcPr>
            <w:tcW w:w="2460"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color w:val="000000"/>
                <w:sz w:val="28"/>
                <w:szCs w:val="28"/>
              </w:rPr>
            </w:pPr>
            <w:r>
              <w:rPr>
                <w:rFonts w:hint="eastAsia"/>
                <w:color w:val="000000"/>
                <w:sz w:val="28"/>
                <w:szCs w:val="28"/>
                <w:lang w:val="en-US" w:eastAsia="zh-CN"/>
              </w:rPr>
              <w:t>社会信用代码（组织机构代码）</w:t>
            </w:r>
          </w:p>
        </w:tc>
        <w:tc>
          <w:tcPr>
            <w:tcW w:w="330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color w:val="000000"/>
                <w:sz w:val="28"/>
                <w:szCs w:val="28"/>
                <w:lang w:val="en-US" w:eastAsia="zh-CN"/>
              </w:rPr>
            </w:pPr>
            <w:r>
              <w:rPr>
                <w:rFonts w:hint="eastAsia"/>
                <w:color w:val="000000"/>
                <w:sz w:val="28"/>
                <w:szCs w:val="28"/>
                <w:lang w:val="en-US" w:eastAsia="zh-CN"/>
              </w:rPr>
              <w:t>被检查单位的主要生产活动</w:t>
            </w:r>
          </w:p>
        </w:tc>
        <w:tc>
          <w:tcPr>
            <w:tcW w:w="8175" w:type="dxa"/>
            <w:gridSpan w:val="9"/>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color w:val="000000"/>
                <w:sz w:val="28"/>
                <w:szCs w:val="28"/>
                <w:lang w:eastAsia="zh-CN"/>
              </w:rPr>
            </w:pPr>
            <w:r>
              <w:rPr>
                <w:rFonts w:hint="default"/>
                <w:color w:val="000000"/>
                <w:sz w:val="28"/>
                <w:szCs w:val="28"/>
              </w:rPr>
              <w:t>□</w:t>
            </w:r>
            <w:r>
              <w:rPr>
                <w:rFonts w:hint="eastAsia"/>
                <w:color w:val="000000"/>
                <w:sz w:val="28"/>
                <w:szCs w:val="28"/>
                <w:lang w:eastAsia="zh-CN"/>
              </w:rPr>
              <w:t>原料药</w:t>
            </w:r>
            <w:r>
              <w:rPr>
                <w:rFonts w:hint="eastAsia"/>
                <w:color w:val="000000"/>
                <w:sz w:val="28"/>
                <w:szCs w:val="28"/>
                <w:lang w:val="en-US" w:eastAsia="zh-CN"/>
              </w:rPr>
              <w:t xml:space="preserve"> </w:t>
            </w:r>
            <w:r>
              <w:rPr>
                <w:rFonts w:hint="default"/>
                <w:color w:val="000000"/>
                <w:sz w:val="28"/>
                <w:szCs w:val="28"/>
              </w:rPr>
              <w:t>□</w:t>
            </w:r>
            <w:r>
              <w:rPr>
                <w:rFonts w:hint="eastAsia"/>
                <w:color w:val="000000"/>
                <w:sz w:val="28"/>
                <w:szCs w:val="28"/>
                <w:lang w:eastAsia="zh-CN"/>
              </w:rPr>
              <w:t>制剂生产</w:t>
            </w:r>
            <w:r>
              <w:rPr>
                <w:rFonts w:hint="eastAsia"/>
                <w:color w:val="000000"/>
                <w:sz w:val="28"/>
                <w:szCs w:val="28"/>
                <w:lang w:val="en-US" w:eastAsia="zh-CN"/>
              </w:rPr>
              <w:t xml:space="preserve"> </w:t>
            </w:r>
            <w:r>
              <w:rPr>
                <w:rFonts w:hint="default"/>
                <w:color w:val="000000"/>
                <w:sz w:val="28"/>
                <w:szCs w:val="28"/>
              </w:rPr>
              <w:t>□</w:t>
            </w:r>
            <w:r>
              <w:rPr>
                <w:rFonts w:hint="eastAsia"/>
                <w:color w:val="000000"/>
                <w:sz w:val="28"/>
                <w:szCs w:val="28"/>
                <w:lang w:eastAsia="zh-CN"/>
              </w:rPr>
              <w:t>中间产品</w:t>
            </w:r>
            <w:r>
              <w:rPr>
                <w:rFonts w:hint="eastAsia"/>
                <w:color w:val="000000"/>
                <w:sz w:val="28"/>
                <w:szCs w:val="28"/>
                <w:lang w:val="en-US" w:eastAsia="zh-CN"/>
              </w:rPr>
              <w:t xml:space="preserve">/中间体/原液生产 </w:t>
            </w:r>
            <w:r>
              <w:rPr>
                <w:rFonts w:hint="default"/>
                <w:color w:val="000000"/>
                <w:sz w:val="28"/>
                <w:szCs w:val="28"/>
              </w:rPr>
              <w:t>□</w:t>
            </w:r>
            <w:r>
              <w:rPr>
                <w:rFonts w:hint="eastAsia"/>
                <w:color w:val="000000"/>
                <w:sz w:val="28"/>
                <w:szCs w:val="28"/>
                <w:lang w:eastAsia="zh-CN"/>
              </w:rPr>
              <w:t>包装</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eastAsia="宋体"/>
                <w:color w:val="000000"/>
                <w:sz w:val="28"/>
                <w:szCs w:val="28"/>
                <w:lang w:eastAsia="zh-CN"/>
              </w:rPr>
            </w:pPr>
            <w:r>
              <w:rPr>
                <w:rFonts w:hint="default"/>
                <w:color w:val="000000"/>
                <w:sz w:val="28"/>
                <w:szCs w:val="28"/>
              </w:rPr>
              <w:t>□</w:t>
            </w:r>
            <w:r>
              <w:rPr>
                <w:rFonts w:hint="eastAsia"/>
                <w:color w:val="000000"/>
                <w:sz w:val="28"/>
                <w:szCs w:val="28"/>
                <w:lang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color w:val="000000"/>
                <w:sz w:val="28"/>
                <w:szCs w:val="28"/>
                <w:lang w:val="en-US" w:eastAsia="zh-CN"/>
              </w:rPr>
            </w:pPr>
            <w:r>
              <w:rPr>
                <w:rFonts w:hint="eastAsia"/>
                <w:color w:val="000000"/>
                <w:sz w:val="28"/>
                <w:szCs w:val="28"/>
                <w:lang w:val="en-US" w:eastAsia="zh-CN"/>
              </w:rPr>
              <w:t>企业法定代表人</w:t>
            </w:r>
          </w:p>
        </w:tc>
        <w:tc>
          <w:tcPr>
            <w:tcW w:w="243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eastAsia="宋体"/>
                <w:color w:val="000000"/>
                <w:sz w:val="28"/>
                <w:szCs w:val="28"/>
                <w:lang w:eastAsia="zh-CN"/>
              </w:rPr>
            </w:pPr>
            <w:r>
              <w:rPr>
                <w:rFonts w:hint="eastAsia"/>
                <w:color w:val="000000"/>
                <w:sz w:val="28"/>
                <w:szCs w:val="28"/>
                <w:lang w:eastAsia="zh-CN"/>
              </w:rPr>
              <w:t>企业负责人</w:t>
            </w:r>
          </w:p>
        </w:tc>
        <w:tc>
          <w:tcPr>
            <w:tcW w:w="393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color w:val="000000"/>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color w:val="000000"/>
                <w:sz w:val="28"/>
                <w:szCs w:val="28"/>
                <w:lang w:val="en-US" w:eastAsia="zh-CN"/>
              </w:rPr>
            </w:pPr>
            <w:r>
              <w:rPr>
                <w:rFonts w:hint="eastAsia"/>
                <w:color w:val="000000"/>
                <w:sz w:val="28"/>
                <w:szCs w:val="28"/>
                <w:lang w:val="en-US" w:eastAsia="zh-CN"/>
              </w:rPr>
              <w:t>质量负责人</w:t>
            </w:r>
          </w:p>
        </w:tc>
        <w:tc>
          <w:tcPr>
            <w:tcW w:w="243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p>
        </w:tc>
        <w:tc>
          <w:tcPr>
            <w:tcW w:w="1800"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eastAsia="宋体"/>
                <w:color w:val="000000"/>
                <w:sz w:val="28"/>
                <w:szCs w:val="28"/>
                <w:lang w:eastAsia="zh-CN"/>
              </w:rPr>
            </w:pPr>
            <w:r>
              <w:rPr>
                <w:rFonts w:hint="eastAsia"/>
                <w:color w:val="000000"/>
                <w:sz w:val="28"/>
                <w:szCs w:val="28"/>
                <w:lang w:eastAsia="zh-CN"/>
              </w:rPr>
              <w:t>生产负责人</w:t>
            </w:r>
          </w:p>
        </w:tc>
        <w:tc>
          <w:tcPr>
            <w:tcW w:w="3936"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color w:val="000000"/>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color w:val="000000"/>
                <w:sz w:val="28"/>
                <w:szCs w:val="28"/>
                <w:lang w:val="en-US" w:eastAsia="zh-CN"/>
              </w:rPr>
            </w:pPr>
            <w:r>
              <w:rPr>
                <w:rFonts w:hint="eastAsia"/>
                <w:color w:val="000000"/>
                <w:sz w:val="28"/>
                <w:szCs w:val="28"/>
                <w:lang w:val="en-US" w:eastAsia="zh-CN"/>
              </w:rPr>
              <w:t>质量授权人</w:t>
            </w:r>
          </w:p>
        </w:tc>
        <w:tc>
          <w:tcPr>
            <w:tcW w:w="8175" w:type="dxa"/>
            <w:gridSpan w:val="9"/>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color w:val="000000"/>
                <w:sz w:val="28"/>
                <w:szCs w:val="28"/>
                <w:lang w:val="en-US" w:eastAsia="zh-CN"/>
              </w:rPr>
            </w:pPr>
            <w:r>
              <w:rPr>
                <w:rFonts w:hint="eastAsia"/>
                <w:color w:val="000000"/>
                <w:sz w:val="28"/>
                <w:szCs w:val="28"/>
                <w:lang w:val="en-US" w:eastAsia="zh-CN"/>
              </w:rPr>
              <w:t>企业联系人</w:t>
            </w:r>
          </w:p>
        </w:tc>
        <w:tc>
          <w:tcPr>
            <w:tcW w:w="2444"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p>
        </w:tc>
        <w:tc>
          <w:tcPr>
            <w:tcW w:w="175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eastAsia="宋体"/>
                <w:color w:val="000000"/>
                <w:sz w:val="28"/>
                <w:szCs w:val="28"/>
                <w:lang w:eastAsia="zh-CN"/>
              </w:rPr>
            </w:pPr>
            <w:r>
              <w:rPr>
                <w:rFonts w:hint="eastAsia"/>
                <w:color w:val="000000"/>
                <w:sz w:val="28"/>
                <w:szCs w:val="28"/>
                <w:lang w:eastAsia="zh-CN"/>
              </w:rPr>
              <w:t>联系方式</w:t>
            </w:r>
          </w:p>
        </w:tc>
        <w:tc>
          <w:tcPr>
            <w:tcW w:w="3973"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color w:val="000000"/>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color w:val="000000"/>
                <w:sz w:val="28"/>
                <w:szCs w:val="28"/>
              </w:rPr>
            </w:pPr>
            <w:r>
              <w:rPr>
                <w:rFonts w:hint="default"/>
                <w:color w:val="000000"/>
                <w:sz w:val="28"/>
                <w:szCs w:val="28"/>
              </w:rPr>
              <w:t>检查范围</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eastAsia="宋体"/>
                <w:color w:val="000000"/>
                <w:sz w:val="28"/>
                <w:szCs w:val="28"/>
                <w:lang w:eastAsia="zh-CN"/>
              </w:rPr>
            </w:pPr>
            <w:r>
              <w:rPr>
                <w:rFonts w:hint="eastAsia"/>
                <w:color w:val="000000"/>
                <w:sz w:val="28"/>
                <w:szCs w:val="28"/>
                <w:lang w:eastAsia="zh-CN"/>
              </w:rPr>
              <w:t>及相关生产线</w:t>
            </w:r>
          </w:p>
        </w:tc>
        <w:tc>
          <w:tcPr>
            <w:tcW w:w="8175" w:type="dxa"/>
            <w:gridSpan w:val="9"/>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r>
              <w:rPr>
                <w:rFonts w:hint="default"/>
                <w:color w:val="000000"/>
                <w:sz w:val="28"/>
                <w:szCs w:val="28"/>
              </w:rPr>
              <w:t>示例如下：</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r>
              <w:rPr>
                <w:rFonts w:hint="default"/>
                <w:color w:val="000000"/>
                <w:sz w:val="28"/>
                <w:szCs w:val="28"/>
              </w:rPr>
              <w:t>××剂型</w:t>
            </w:r>
            <w:r>
              <w:rPr>
                <w:rFonts w:hint="eastAsia"/>
                <w:color w:val="000000"/>
                <w:sz w:val="28"/>
                <w:szCs w:val="28"/>
                <w:lang w:eastAsia="zh-CN"/>
              </w:rPr>
              <w:t>（含中药前处理及提取）</w:t>
            </w:r>
            <w:r>
              <w:rPr>
                <w:rFonts w:hint="default"/>
                <w:color w:val="000000"/>
                <w:sz w:val="28"/>
                <w:szCs w:val="28"/>
              </w:rPr>
              <w:t>（××品种</w:t>
            </w:r>
            <w:r>
              <w:rPr>
                <w:rFonts w:hint="eastAsia"/>
                <w:color w:val="000000"/>
                <w:sz w:val="28"/>
                <w:szCs w:val="28"/>
                <w:lang w:eastAsia="zh-CN"/>
              </w:rPr>
              <w:t>及规格</w:t>
            </w:r>
            <w:r>
              <w:rPr>
                <w:rFonts w:hint="default"/>
                <w:color w:val="000000"/>
                <w:sz w:val="28"/>
                <w:szCs w:val="28"/>
              </w:rPr>
              <w:t>）</w:t>
            </w:r>
            <w:r>
              <w:rPr>
                <w:rFonts w:hint="eastAsia"/>
                <w:color w:val="000000"/>
                <w:sz w:val="28"/>
                <w:szCs w:val="28"/>
                <w:lang w:eastAsia="zh-CN"/>
              </w:rPr>
              <w:t>，</w:t>
            </w:r>
            <w:r>
              <w:rPr>
                <w:rFonts w:hint="default"/>
                <w:color w:val="000000"/>
                <w:sz w:val="28"/>
                <w:szCs w:val="28"/>
              </w:rPr>
              <w:t>××</w:t>
            </w:r>
            <w:r>
              <w:rPr>
                <w:rFonts w:hint="eastAsia"/>
                <w:color w:val="000000"/>
                <w:sz w:val="28"/>
                <w:szCs w:val="28"/>
                <w:lang w:eastAsia="zh-CN"/>
              </w:rPr>
              <w:t>车间</w:t>
            </w:r>
            <w:r>
              <w:rPr>
                <w:rFonts w:hint="default"/>
                <w:color w:val="000000"/>
                <w:sz w:val="28"/>
                <w:szCs w:val="28"/>
              </w:rPr>
              <w:t>××</w:t>
            </w:r>
            <w:r>
              <w:rPr>
                <w:rFonts w:hint="eastAsia"/>
                <w:color w:val="000000"/>
                <w:sz w:val="28"/>
                <w:szCs w:val="28"/>
                <w:lang w:eastAsia="zh-CN"/>
              </w:rPr>
              <w:t>生产线，</w:t>
            </w:r>
            <w:r>
              <w:rPr>
                <w:rFonts w:hint="default"/>
                <w:color w:val="000000"/>
                <w:sz w:val="28"/>
                <w:szCs w:val="28"/>
              </w:rPr>
              <w:t>自行生产/委托生产/受托生产）</w:t>
            </w:r>
            <w:r>
              <w:rPr>
                <w:rFonts w:hint="eastAsia"/>
                <w:color w:val="000000"/>
                <w:sz w:val="28"/>
                <w:szCs w:val="28"/>
                <w:lang w:eastAsia="zh-CN"/>
              </w:rPr>
              <w:t>，</w:t>
            </w:r>
            <w:r>
              <w:rPr>
                <w:rFonts w:hint="default"/>
                <w:color w:val="000000"/>
                <w:sz w:val="28"/>
                <w:szCs w:val="28"/>
              </w:rPr>
              <w:t>中药饮片（××炮制范围</w:t>
            </w:r>
            <w:r>
              <w:rPr>
                <w:rFonts w:hint="eastAsia"/>
                <w:color w:val="000000"/>
                <w:sz w:val="28"/>
                <w:szCs w:val="28"/>
                <w:lang w:eastAsia="zh-CN"/>
              </w:rPr>
              <w:t>，</w:t>
            </w:r>
            <w:r>
              <w:rPr>
                <w:rFonts w:hint="default"/>
                <w:color w:val="000000"/>
                <w:sz w:val="28"/>
                <w:szCs w:val="28"/>
              </w:rPr>
              <w:t>××</w:t>
            </w:r>
            <w:r>
              <w:rPr>
                <w:rFonts w:hint="eastAsia"/>
                <w:color w:val="000000"/>
                <w:sz w:val="28"/>
                <w:szCs w:val="28"/>
                <w:lang w:eastAsia="zh-CN"/>
              </w:rPr>
              <w:t>车间</w:t>
            </w:r>
            <w:r>
              <w:rPr>
                <w:rFonts w:hint="default"/>
                <w:color w:val="000000"/>
                <w:sz w:val="28"/>
                <w:szCs w:val="28"/>
              </w:rPr>
              <w:t>××</w:t>
            </w:r>
            <w:r>
              <w:rPr>
                <w:rFonts w:hint="eastAsia"/>
                <w:color w:val="000000"/>
                <w:sz w:val="28"/>
                <w:szCs w:val="28"/>
                <w:lang w:eastAsia="zh-CN"/>
              </w:rPr>
              <w:t>生产线）</w:t>
            </w:r>
            <w:r>
              <w:rPr>
                <w:rFonts w:hint="default"/>
                <w:color w:val="000000"/>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color w:val="000000"/>
                <w:sz w:val="28"/>
                <w:szCs w:val="28"/>
              </w:rPr>
            </w:pPr>
            <w:r>
              <w:rPr>
                <w:rFonts w:hint="default"/>
                <w:color w:val="000000"/>
                <w:sz w:val="28"/>
                <w:szCs w:val="28"/>
              </w:rPr>
              <w:t>检查地址</w:t>
            </w:r>
          </w:p>
        </w:tc>
        <w:tc>
          <w:tcPr>
            <w:tcW w:w="8175" w:type="dxa"/>
            <w:gridSpan w:val="9"/>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9"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color w:val="000000"/>
                <w:sz w:val="28"/>
                <w:szCs w:val="28"/>
              </w:rPr>
            </w:pPr>
            <w:r>
              <w:rPr>
                <w:rFonts w:hint="default"/>
                <w:color w:val="000000"/>
                <w:sz w:val="28"/>
                <w:szCs w:val="28"/>
              </w:rPr>
              <w:t>检查时间</w:t>
            </w:r>
          </w:p>
        </w:tc>
        <w:tc>
          <w:tcPr>
            <w:tcW w:w="8175" w:type="dxa"/>
            <w:gridSpan w:val="9"/>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280" w:firstLineChars="100"/>
              <w:jc w:val="left"/>
              <w:rPr>
                <w:rFonts w:hint="default"/>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eastAsia="宋体"/>
                <w:color w:val="000000"/>
                <w:sz w:val="28"/>
                <w:szCs w:val="28"/>
                <w:lang w:eastAsia="zh-CN"/>
              </w:rPr>
            </w:pPr>
            <w:r>
              <w:rPr>
                <w:rFonts w:hint="eastAsia"/>
                <w:color w:val="000000"/>
                <w:sz w:val="28"/>
                <w:szCs w:val="28"/>
                <w:lang w:eastAsia="zh-CN"/>
              </w:rPr>
              <w:t>检查组成员</w:t>
            </w:r>
          </w:p>
        </w:tc>
        <w:tc>
          <w:tcPr>
            <w:tcW w:w="8175" w:type="dxa"/>
            <w:gridSpan w:val="9"/>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left"/>
              <w:rPr>
                <w:rFonts w:hint="default"/>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4" w:hRule="atLeast"/>
          <w:jc w:val="center"/>
        </w:trPr>
        <w:tc>
          <w:tcPr>
            <w:tcW w:w="280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color w:val="000000"/>
                <w:sz w:val="28"/>
                <w:szCs w:val="28"/>
              </w:rPr>
            </w:pPr>
            <w:r>
              <w:rPr>
                <w:rFonts w:hint="default"/>
                <w:color w:val="000000"/>
                <w:sz w:val="28"/>
                <w:szCs w:val="28"/>
              </w:rPr>
              <w:t>检查依据</w:t>
            </w:r>
          </w:p>
        </w:tc>
        <w:tc>
          <w:tcPr>
            <w:tcW w:w="8175" w:type="dxa"/>
            <w:gridSpan w:val="9"/>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left"/>
              <w:rPr>
                <w:rFonts w:hint="default"/>
                <w:color w:val="000000"/>
                <w:sz w:val="28"/>
                <w:szCs w:val="28"/>
              </w:rPr>
            </w:pPr>
            <w:r>
              <w:rPr>
                <w:rFonts w:hint="default"/>
                <w:color w:val="000000"/>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3" w:hRule="atLeast"/>
          <w:jc w:val="center"/>
        </w:trPr>
        <w:tc>
          <w:tcPr>
            <w:tcW w:w="10977" w:type="dxa"/>
            <w:gridSpan w:val="10"/>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suppressLineNumbers w:val="0"/>
              <w:tabs>
                <w:tab w:val="left" w:pos="780"/>
              </w:tabs>
              <w:kinsoku/>
              <w:wordWrap/>
              <w:overflowPunct/>
              <w:topLinePunct w:val="0"/>
              <w:autoSpaceDE/>
              <w:autoSpaceDN/>
              <w:bidi w:val="0"/>
              <w:spacing w:before="0" w:beforeAutospacing="0" w:after="0" w:afterAutospacing="0" w:line="560" w:lineRule="exact"/>
              <w:ind w:left="0" w:right="0" w:firstLine="560"/>
              <w:rPr>
                <w:rFonts w:hint="default"/>
                <w:b/>
                <w:bCs/>
                <w:kern w:val="0"/>
                <w:sz w:val="28"/>
                <w:szCs w:val="28"/>
              </w:rPr>
            </w:pPr>
            <w:r>
              <w:rPr>
                <w:rFonts w:hint="default"/>
                <w:b/>
                <w:bCs/>
                <w:kern w:val="0"/>
                <w:sz w:val="28"/>
                <w:szCs w:val="28"/>
              </w:rPr>
              <w:t>一、检查情况专述</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default"/>
                <w:kern w:val="0"/>
                <w:sz w:val="21"/>
                <w:szCs w:val="21"/>
              </w:rPr>
            </w:pPr>
            <w:r>
              <w:rPr>
                <w:rFonts w:hint="default"/>
                <w:kern w:val="0"/>
                <w:sz w:val="21"/>
                <w:szCs w:val="21"/>
              </w:rPr>
              <w:t>受***的委派，由***、***、***、****等***人组成检查组对该公司***（检查范围）的生产和质量管理情况</w:t>
            </w:r>
            <w:r>
              <w:rPr>
                <w:rFonts w:hint="eastAsia"/>
                <w:kern w:val="0"/>
                <w:sz w:val="21"/>
                <w:szCs w:val="21"/>
                <w:lang w:eastAsia="zh-CN"/>
              </w:rPr>
              <w:t>开展了</w:t>
            </w:r>
            <w:r>
              <w:rPr>
                <w:rFonts w:hint="eastAsia"/>
                <w:kern w:val="0"/>
                <w:sz w:val="21"/>
                <w:szCs w:val="21"/>
                <w:lang w:val="en-US" w:eastAsia="zh-CN"/>
              </w:rPr>
              <w:t>GMP</w:t>
            </w:r>
            <w:r>
              <w:rPr>
                <w:rFonts w:hint="eastAsia"/>
                <w:kern w:val="0"/>
                <w:sz w:val="21"/>
                <w:szCs w:val="21"/>
                <w:lang w:eastAsia="zh-CN"/>
              </w:rPr>
              <w:t>符合性</w:t>
            </w:r>
            <w:r>
              <w:rPr>
                <w:rFonts w:hint="default"/>
                <w:kern w:val="0"/>
                <w:sz w:val="21"/>
                <w:szCs w:val="21"/>
              </w:rPr>
              <w:t>检查，检查情况如下：</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560" w:lineRule="exact"/>
              <w:ind w:left="0" w:right="0" w:firstLine="560" w:firstLineChars="200"/>
              <w:rPr>
                <w:rFonts w:hint="eastAsia" w:ascii="楷体" w:hAnsi="楷体" w:eastAsia="楷体" w:cs="楷体"/>
                <w:kern w:val="0"/>
                <w:sz w:val="28"/>
                <w:szCs w:val="28"/>
                <w:lang w:eastAsia="zh-CN"/>
              </w:rPr>
            </w:pPr>
            <w:r>
              <w:rPr>
                <w:rFonts w:hint="eastAsia" w:ascii="楷体" w:hAnsi="楷体" w:eastAsia="楷体" w:cs="楷体"/>
                <w:kern w:val="0"/>
                <w:sz w:val="28"/>
                <w:szCs w:val="28"/>
                <w:lang w:eastAsia="zh-CN"/>
              </w:rPr>
              <w:t>（一）被检查单位基本情况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eastAsia="zh-CN"/>
              </w:rPr>
            </w:pPr>
            <w:r>
              <w:rPr>
                <w:rFonts w:hint="eastAsia"/>
                <w:kern w:val="0"/>
                <w:sz w:val="21"/>
                <w:szCs w:val="21"/>
                <w:lang w:eastAsia="zh-CN"/>
              </w:rPr>
              <w:t>本部分概述被检查单位基本信息。</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560" w:lineRule="exact"/>
              <w:ind w:left="0" w:right="0" w:firstLine="560" w:firstLineChars="200"/>
              <w:rPr>
                <w:rFonts w:hint="eastAsia" w:ascii="楷体" w:hAnsi="楷体" w:eastAsia="楷体" w:cs="楷体"/>
                <w:kern w:val="0"/>
                <w:sz w:val="28"/>
                <w:szCs w:val="28"/>
                <w:lang w:eastAsia="zh-CN"/>
              </w:rPr>
            </w:pPr>
            <w:r>
              <w:rPr>
                <w:rFonts w:hint="eastAsia" w:ascii="楷体" w:hAnsi="楷体" w:eastAsia="楷体" w:cs="楷体"/>
                <w:kern w:val="0"/>
                <w:sz w:val="28"/>
                <w:szCs w:val="28"/>
                <w:lang w:eastAsia="zh-CN"/>
              </w:rPr>
              <w:t>（二）检查概述</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eastAsia="zh-CN"/>
              </w:rPr>
            </w:pPr>
            <w:r>
              <w:rPr>
                <w:rFonts w:hint="eastAsia"/>
                <w:kern w:val="0"/>
                <w:sz w:val="21"/>
                <w:szCs w:val="21"/>
                <w:lang w:eastAsia="zh-CN"/>
              </w:rPr>
              <w:t>本部分内容主要概述检查活动的开展情况，主要包括首末次会议、检查组分工、检查类型或者检查发起的原因、检查内容概述、检查范围、检查场地、检查车间和生产线、检查期间企业在岗</w:t>
            </w:r>
            <w:r>
              <w:rPr>
                <w:rFonts w:hint="eastAsia"/>
                <w:kern w:val="0"/>
                <w:sz w:val="21"/>
                <w:szCs w:val="21"/>
                <w:lang w:val="en-US" w:eastAsia="zh-CN"/>
              </w:rPr>
              <w:t>/陪同关键岗位人员等。</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560" w:lineRule="exact"/>
              <w:ind w:left="0" w:right="0" w:firstLine="560" w:firstLineChars="200"/>
              <w:rPr>
                <w:rFonts w:hint="eastAsia" w:ascii="楷体" w:hAnsi="楷体" w:eastAsia="楷体" w:cs="楷体"/>
                <w:kern w:val="0"/>
                <w:sz w:val="28"/>
                <w:szCs w:val="28"/>
                <w:lang w:eastAsia="zh-CN"/>
              </w:rPr>
            </w:pPr>
            <w:r>
              <w:rPr>
                <w:rFonts w:hint="eastAsia" w:ascii="楷体" w:hAnsi="楷体" w:eastAsia="楷体" w:cs="楷体"/>
                <w:kern w:val="0"/>
                <w:sz w:val="28"/>
                <w:szCs w:val="28"/>
                <w:lang w:eastAsia="zh-CN"/>
              </w:rPr>
              <w:t>（三）检查基本情况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eastAsia="zh-CN"/>
              </w:rPr>
            </w:pPr>
            <w:r>
              <w:rPr>
                <w:rFonts w:hint="eastAsia"/>
                <w:kern w:val="0"/>
                <w:sz w:val="21"/>
                <w:szCs w:val="21"/>
                <w:lang w:eastAsia="zh-CN"/>
              </w:rPr>
              <w:t>本部分内容主要描述持有人情况、品种情况、生产工艺、动态生产情况、企业变更情况、药品监管部门符合性检查情况等。</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default"/>
                <w:kern w:val="0"/>
                <w:sz w:val="21"/>
                <w:szCs w:val="21"/>
                <w:lang w:val="en-US" w:eastAsia="zh-CN"/>
              </w:rPr>
            </w:pPr>
            <w:r>
              <w:rPr>
                <w:rFonts w:hint="eastAsia"/>
                <w:kern w:val="0"/>
                <w:sz w:val="21"/>
                <w:szCs w:val="21"/>
                <w:lang w:val="en-US" w:eastAsia="zh-CN"/>
              </w:rPr>
              <w:t>1.持有人情况：简述本次检查内容所涉及持有人的基本情况（仅检查受托单位时填写）。</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default"/>
                <w:kern w:val="0"/>
                <w:sz w:val="21"/>
                <w:szCs w:val="21"/>
                <w:lang w:val="en-US" w:eastAsia="zh-CN"/>
              </w:rPr>
            </w:pPr>
            <w:r>
              <w:rPr>
                <w:rFonts w:hint="eastAsia"/>
                <w:kern w:val="0"/>
                <w:sz w:val="21"/>
                <w:szCs w:val="21"/>
                <w:lang w:val="en-US" w:eastAsia="zh-CN"/>
              </w:rPr>
              <w:t>2.被检查品种情况：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（1）注册批准情况：首次注册、再注册、重大变更及审批。产品工艺概述。</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（2）委托生产情况（如涉及）：概述委托双方名称、委托时间、委托合同签订等基本内容。</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（3）生产工艺框架性描述（包括关键工艺参数和关键质量属性）。</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3.动态生产情况：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default"/>
                <w:kern w:val="0"/>
                <w:sz w:val="21"/>
                <w:szCs w:val="21"/>
                <w:lang w:val="en-US" w:eastAsia="zh-CN"/>
              </w:rPr>
            </w:pPr>
            <w:r>
              <w:rPr>
                <w:rFonts w:hint="eastAsia"/>
                <w:kern w:val="0"/>
                <w:sz w:val="21"/>
                <w:szCs w:val="21"/>
                <w:lang w:val="en-US" w:eastAsia="zh-CN"/>
              </w:rPr>
              <w:t>被检查单位生产活动，包括生产线、生产品种、生产实际涉及的车间、相对应的工艺步骤、动态生产批次情况（包括批号、批量、关键工序动态检查情况），委托生产情况。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default"/>
                <w:kern w:val="0"/>
                <w:sz w:val="21"/>
                <w:szCs w:val="21"/>
                <w:lang w:val="en-US" w:eastAsia="zh-CN"/>
              </w:rPr>
            </w:pPr>
            <w:r>
              <w:rPr>
                <w:rFonts w:hint="eastAsia"/>
                <w:kern w:val="0"/>
                <w:sz w:val="21"/>
                <w:szCs w:val="21"/>
                <w:lang w:val="en-US" w:eastAsia="zh-CN"/>
              </w:rPr>
              <w:t>4.变更情况：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从上一次检查后被检查单位发生的关键人员变化、设施设备变化、工艺变化和质量控制标准等情况。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default"/>
                <w:kern w:val="0"/>
                <w:sz w:val="21"/>
                <w:szCs w:val="21"/>
                <w:lang w:val="en-US" w:eastAsia="zh-CN"/>
              </w:rPr>
            </w:pPr>
            <w:r>
              <w:rPr>
                <w:rFonts w:hint="eastAsia"/>
                <w:kern w:val="0"/>
                <w:sz w:val="21"/>
                <w:szCs w:val="21"/>
                <w:lang w:val="en-US" w:eastAsia="zh-CN"/>
              </w:rPr>
              <w:t>5.药监机构GMP符合性检查情况：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default" w:eastAsia="宋体"/>
                <w:kern w:val="0"/>
                <w:sz w:val="21"/>
                <w:szCs w:val="21"/>
                <w:lang w:val="en-US" w:eastAsia="zh-CN"/>
              </w:rPr>
            </w:pPr>
            <w:r>
              <w:rPr>
                <w:rFonts w:hint="eastAsia"/>
                <w:kern w:val="0"/>
                <w:sz w:val="21"/>
                <w:szCs w:val="21"/>
                <w:lang w:val="en-US" w:eastAsia="zh-CN"/>
              </w:rPr>
              <w:t>被检查单位、检查剂型/品种、检查涉及的生产线最近一次接受药品监督管理部门的GMP符合性检查情况。</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560" w:lineRule="exact"/>
              <w:ind w:left="0" w:right="0" w:firstLine="562" w:firstLineChars="200"/>
              <w:rPr>
                <w:rFonts w:hint="default"/>
                <w:b/>
                <w:bCs/>
                <w:kern w:val="0"/>
                <w:sz w:val="28"/>
                <w:szCs w:val="28"/>
              </w:rPr>
            </w:pPr>
            <w:r>
              <w:rPr>
                <w:rFonts w:hint="default"/>
                <w:b/>
                <w:bCs/>
                <w:kern w:val="0"/>
                <w:sz w:val="28"/>
                <w:szCs w:val="28"/>
              </w:rPr>
              <w:t>二、检查情况汇总评估</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1．总体要求：原则上按照《药品生产质量管理规范》章节。结合检查方案内容撰写。检查组基于风险评估确定检查重点；每个章节的检查内容中写明检查的文件、设备、物料等的具体信息。</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2．各章节的重点包括（根据检查方案的要求，可以增加或合理性减少检查报告有关内容）:</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（1）质量管理：质量管理体系运行情况。如有委托生产，应概述委托生产涉及的质量体系对接、对受托方审计、质量协议等的情况。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（2）机构与人员：机构设置、人员配备、关键岗位人员情况、人员培训；如涉及集团公司，应描述相应的组织架构和职责分工。</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3）厂房设施：描述被检查单位整体布局（包括主要建筑物和主要功能）；描述所检查场地、车间、生产线及涉及品种；描述共线生产情况；描述环境级别要求及监控；可描述相应的空气净化系统和工艺用水系统；描述仓储区布局及功能；描述质控区布局、功能、环境级别（如有）、监测等。</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（4）设备：主要设备概况、确认与验证，设备清洁、维护及校准情况。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（5）物料与产品：主要物料及供应商审计情况；物料采购、取样、检验及放行情况；特殊物料储存、运输；含动物源性物料的供应商审计和料验收；不合格物料管理；菌毒种库等。</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（6）确认与验证： 验证主计划主要内容；相关产品工艺验证；关键步骤工艺验证；关键设备验证与确认；清洁验证；计算机化系统确认与验证（如涉及）；特殊物料储存和运输条件验证与确认（如涉及）；培养基模拟灌装试验（如涉及）、再确认和再验证等。</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（7）文件管理： 主要文件描述，电子数据管理等。</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（8）生产管理：批号管理；工艺执行；共线生产风险评估及防止污染混淆和差错的措施；生产包装等操作；无菌保证措施（如涉及）；关键工艺参数监控情况等。</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（9）质量控制与质量保证：质量控制人员、设施和设备等；质量标准和关键质量属性；OOS；产品放行；稳定性考察；偏差处理；变更控制；纠正预防措施；投诉不良反应；产品年度质量回顾情况等。</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（10）委托生产与委托检验：委托管理的程序及执行情况等。</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（11）产品发运与召回：规程及执行情况，如有召回，应说明召回后处理以及召回原因，产品追溯情况；疫苗产品储配情况等。</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（12）自检：程序、组织形式及执行情况。</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（13）被检查单位场地管理文件检查情况（如有，注明该文件生效日期）。</w:t>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（14）其他：检查方案中需重点核实的有关内容（如有，逐一描述）,人及其他需要描述的有关情况等。</w:t>
            </w:r>
          </w:p>
          <w:p>
            <w:pPr>
              <w:keepNext w:val="0"/>
              <w:keepLines w:val="0"/>
              <w:pageBreakBefore w:val="0"/>
              <w:widowControl w:val="0"/>
              <w:suppressLineNumbers w:val="0"/>
              <w:tabs>
                <w:tab w:val="left" w:pos="780"/>
                <w:tab w:val="center" w:pos="5272"/>
              </w:tabs>
              <w:kinsoku/>
              <w:wordWrap/>
              <w:overflowPunct/>
              <w:topLinePunct w:val="0"/>
              <w:autoSpaceDE/>
              <w:autoSpaceDN/>
              <w:bidi w:val="0"/>
              <w:spacing w:before="0" w:beforeAutospacing="0" w:after="0" w:afterAutospacing="0" w:line="560" w:lineRule="exact"/>
              <w:ind w:left="0" w:right="0" w:firstLine="562" w:firstLineChars="200"/>
              <w:rPr>
                <w:rFonts w:hint="default"/>
                <w:kern w:val="0"/>
                <w:sz w:val="28"/>
                <w:szCs w:val="28"/>
              </w:rPr>
            </w:pPr>
            <w:r>
              <w:rPr>
                <w:rFonts w:hint="eastAsia"/>
                <w:b/>
                <w:bCs/>
                <w:kern w:val="0"/>
                <w:sz w:val="28"/>
                <w:szCs w:val="28"/>
                <w:lang w:eastAsia="zh-CN"/>
              </w:rPr>
              <w:t>三</w:t>
            </w:r>
            <w:r>
              <w:rPr>
                <w:rFonts w:hint="default"/>
                <w:b/>
                <w:bCs/>
                <w:kern w:val="0"/>
                <w:sz w:val="28"/>
                <w:szCs w:val="28"/>
              </w:rPr>
              <w:t>、检查结论</w:t>
            </w:r>
            <w:r>
              <w:rPr>
                <w:rFonts w:hint="default"/>
                <w:kern w:val="0"/>
                <w:sz w:val="28"/>
                <w:szCs w:val="28"/>
              </w:rPr>
              <w:tab/>
            </w:r>
          </w:p>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经现场检查，发现严重缺陷xx项、主要缺陷xx项，一般缺陷xx项。检查组按照风险管理原则，对该企业的总体检查情况及存在问题进行综合评估，认为该企业质量管理体系比较健全／基本健全／不能有效运行，xx （检查范围）药品GMP符合性初步现场检查结论为：符合要求/待整改后评定/不符合要求。最终结论以综合评定结论为主。</w:t>
            </w:r>
          </w:p>
          <w:p>
            <w:pPr>
              <w:pStyle w:val="10"/>
              <w:keepNext w:val="0"/>
              <w:keepLines w:val="0"/>
              <w:suppressLineNumbers w:val="0"/>
              <w:spacing w:before="0" w:beforeAutospacing="0" w:after="0" w:afterAutospacing="0"/>
              <w:ind w:left="0" w:firstLine="420" w:firstLineChars="200"/>
              <w:rPr>
                <w:rFonts w:hint="eastAsia"/>
                <w:kern w:val="0"/>
                <w:sz w:val="21"/>
                <w:szCs w:val="21"/>
                <w:lang w:val="en-US" w:eastAsia="zh-CN"/>
              </w:rPr>
            </w:pPr>
            <w:r>
              <w:rPr>
                <w:rFonts w:hint="eastAsia"/>
                <w:kern w:val="0"/>
                <w:sz w:val="21"/>
                <w:szCs w:val="21"/>
                <w:lang w:val="en-US" w:eastAsia="zh-CN"/>
              </w:rPr>
              <w:t>严重缺陷：xx项</w:t>
            </w:r>
          </w:p>
          <w:p>
            <w:pPr>
              <w:pStyle w:val="10"/>
              <w:keepNext w:val="0"/>
              <w:keepLines w:val="0"/>
              <w:suppressLineNumbers w:val="0"/>
              <w:spacing w:before="0" w:beforeAutospacing="0" w:after="0" w:afterAutospacing="0"/>
              <w:ind w:left="0" w:firstLine="420" w:firstLineChars="200"/>
              <w:rPr>
                <w:rFonts w:hint="eastAsia"/>
                <w:kern w:val="0"/>
                <w:sz w:val="21"/>
                <w:szCs w:val="21"/>
                <w:lang w:val="en-US" w:eastAsia="zh-CN"/>
              </w:rPr>
            </w:pPr>
            <w:r>
              <w:rPr>
                <w:rFonts w:hint="eastAsia"/>
                <w:kern w:val="0"/>
                <w:sz w:val="21"/>
                <w:szCs w:val="21"/>
                <w:lang w:val="en-US" w:eastAsia="zh-CN"/>
              </w:rPr>
              <w:t>主要缺陷：xx项</w:t>
            </w:r>
          </w:p>
          <w:p>
            <w:pPr>
              <w:pStyle w:val="10"/>
              <w:keepNext w:val="0"/>
              <w:keepLines w:val="0"/>
              <w:suppressLineNumbers w:val="0"/>
              <w:spacing w:before="0" w:beforeAutospacing="0" w:after="0" w:afterAutospacing="0"/>
              <w:ind w:left="0" w:firstLine="420" w:firstLineChars="200"/>
              <w:rPr>
                <w:rFonts w:hint="eastAsia" w:eastAsia="黑体"/>
                <w:lang w:eastAsia="zh-CN"/>
              </w:rPr>
            </w:pPr>
            <w:r>
              <w:rPr>
                <w:rFonts w:hint="eastAsia"/>
                <w:kern w:val="0"/>
                <w:sz w:val="21"/>
                <w:szCs w:val="21"/>
                <w:lang w:val="en-US" w:eastAsia="zh-CN"/>
              </w:rPr>
              <w:t>一般缺陷：xx项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5" w:hRule="atLeast"/>
          <w:jc w:val="center"/>
        </w:trPr>
        <w:tc>
          <w:tcPr>
            <w:tcW w:w="10977" w:type="dxa"/>
            <w:gridSpan w:val="10"/>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违法违规问题：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35" w:hRule="atLeast"/>
          <w:jc w:val="center"/>
        </w:trPr>
        <w:tc>
          <w:tcPr>
            <w:tcW w:w="10977" w:type="dxa"/>
            <w:gridSpan w:val="10"/>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抽样情况：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5" w:hRule="atLeast"/>
          <w:jc w:val="center"/>
        </w:trPr>
        <w:tc>
          <w:tcPr>
            <w:tcW w:w="10977" w:type="dxa"/>
            <w:gridSpan w:val="10"/>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需要说明的其他问题：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55" w:hRule="atLeast"/>
          <w:jc w:val="center"/>
        </w:trPr>
        <w:tc>
          <w:tcPr>
            <w:tcW w:w="10977" w:type="dxa"/>
            <w:gridSpan w:val="10"/>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suppressLineNumbers w:val="0"/>
              <w:tabs>
                <w:tab w:val="left" w:pos="780"/>
              </w:tabs>
              <w:kinsoku/>
              <w:wordWrap/>
              <w:overflowPunct/>
              <w:topLinePunct w:val="0"/>
              <w:autoSpaceDE/>
              <w:autoSpaceDN/>
              <w:bidi w:val="0"/>
              <w:adjustRightInd w:val="0"/>
              <w:spacing w:before="0" w:beforeAutospacing="0" w:after="0" w:afterAutospacing="0" w:line="560" w:lineRule="exact"/>
              <w:ind w:left="0" w:right="0" w:firstLine="420" w:firstLineChars="200"/>
              <w:rPr>
                <w:rFonts w:hint="eastAsia"/>
                <w:kern w:val="0"/>
                <w:sz w:val="21"/>
                <w:szCs w:val="21"/>
                <w:lang w:val="en-US" w:eastAsia="zh-CN"/>
              </w:rPr>
            </w:pPr>
            <w:r>
              <w:rPr>
                <w:rFonts w:hint="eastAsia"/>
                <w:kern w:val="0"/>
                <w:sz w:val="21"/>
                <w:szCs w:val="21"/>
                <w:lang w:val="en-US" w:eastAsia="zh-CN"/>
              </w:rPr>
              <w:t>检查组处理建议：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1" w:hRule="atLeast"/>
          <w:jc w:val="center"/>
        </w:trPr>
        <w:tc>
          <w:tcPr>
            <w:tcW w:w="3359" w:type="dxa"/>
            <w:gridSpan w:val="2"/>
            <w:tcBorders>
              <w:top w:val="single" w:color="auto" w:sz="4" w:space="0"/>
              <w:left w:val="single" w:color="auto" w:sz="4" w:space="0"/>
              <w:bottom w:val="single" w:color="auto" w:sz="4" w:space="0"/>
              <w:right w:val="single" w:color="auto" w:sz="4" w:space="0"/>
            </w:tcBorders>
            <w:vAlign w:val="top"/>
          </w:tcPr>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color w:val="000000"/>
                <w:sz w:val="28"/>
                <w:szCs w:val="28"/>
              </w:rPr>
            </w:pPr>
            <w:r>
              <w:rPr>
                <w:rFonts w:hint="default" w:ascii="Times New Roman" w:eastAsia="仿宋_GB2312"/>
                <w:sz w:val="28"/>
                <w:szCs w:val="28"/>
              </w:rPr>
              <w:t>组长签字</w:t>
            </w:r>
          </w:p>
        </w:tc>
        <w:tc>
          <w:tcPr>
            <w:tcW w:w="3724" w:type="dxa"/>
            <w:gridSpan w:val="6"/>
            <w:tcBorders>
              <w:top w:val="single" w:color="auto" w:sz="4" w:space="0"/>
              <w:left w:val="single" w:color="auto" w:sz="4" w:space="0"/>
              <w:bottom w:val="single" w:color="auto" w:sz="4" w:space="0"/>
              <w:right w:val="single" w:color="auto" w:sz="4" w:space="0"/>
            </w:tcBorders>
            <w:vAlign w:val="top"/>
          </w:tcPr>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color w:val="000000"/>
                <w:sz w:val="28"/>
                <w:szCs w:val="28"/>
              </w:rPr>
            </w:pPr>
            <w:r>
              <w:rPr>
                <w:rFonts w:hint="default" w:ascii="Times New Roman" w:eastAsia="仿宋_GB2312"/>
                <w:sz w:val="28"/>
                <w:szCs w:val="28"/>
              </w:rPr>
              <w:t>组员签字</w:t>
            </w:r>
          </w:p>
        </w:tc>
        <w:tc>
          <w:tcPr>
            <w:tcW w:w="3894" w:type="dxa"/>
            <w:gridSpan w:val="2"/>
            <w:tcBorders>
              <w:top w:val="single" w:color="auto" w:sz="4" w:space="0"/>
              <w:left w:val="single" w:color="auto" w:sz="4" w:space="0"/>
              <w:bottom w:val="single" w:color="auto" w:sz="4" w:space="0"/>
              <w:right w:val="single" w:color="auto" w:sz="4" w:space="0"/>
            </w:tcBorders>
            <w:vAlign w:val="top"/>
          </w:tcPr>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color w:val="000000"/>
                <w:sz w:val="28"/>
                <w:szCs w:val="28"/>
              </w:rPr>
            </w:pPr>
            <w:r>
              <w:rPr>
                <w:rFonts w:hint="default" w:ascii="Times New Roman" w:eastAsia="仿宋_GB2312"/>
                <w:sz w:val="28"/>
                <w:szCs w:val="28"/>
              </w:rPr>
              <w:t>相关专家签字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82" w:hRule="atLeast"/>
          <w:jc w:val="center"/>
        </w:trPr>
        <w:tc>
          <w:tcPr>
            <w:tcW w:w="3359" w:type="dxa"/>
            <w:gridSpan w:val="2"/>
            <w:tcBorders>
              <w:top w:val="single" w:color="auto" w:sz="4" w:space="0"/>
              <w:left w:val="single" w:color="auto" w:sz="4" w:space="0"/>
              <w:bottom w:val="single" w:color="auto" w:sz="4" w:space="0"/>
              <w:right w:val="single" w:color="auto" w:sz="4" w:space="0"/>
            </w:tcBorders>
            <w:vAlign w:val="top"/>
          </w:tcPr>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both"/>
              <w:rPr>
                <w:rFonts w:hint="default" w:ascii="Times New Roman" w:eastAsia="仿宋_GB2312"/>
                <w:sz w:val="28"/>
                <w:szCs w:val="28"/>
              </w:rPr>
            </w:pPr>
          </w:p>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sz w:val="28"/>
                <w:szCs w:val="28"/>
              </w:rPr>
            </w:pPr>
            <w:r>
              <w:rPr>
                <w:rFonts w:hint="default" w:ascii="Times New Roman" w:eastAsia="仿宋_GB2312"/>
                <w:sz w:val="28"/>
                <w:szCs w:val="28"/>
              </w:rPr>
              <w:t xml:space="preserve">     </w:t>
            </w:r>
          </w:p>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color w:val="000000"/>
                <w:sz w:val="28"/>
                <w:szCs w:val="28"/>
              </w:rPr>
            </w:pPr>
            <w:r>
              <w:rPr>
                <w:rFonts w:hint="default" w:ascii="Times New Roman" w:eastAsia="仿宋_GB2312"/>
                <w:sz w:val="28"/>
                <w:szCs w:val="28"/>
              </w:rPr>
              <w:t xml:space="preserve">      年   月   日</w:t>
            </w:r>
          </w:p>
        </w:tc>
        <w:tc>
          <w:tcPr>
            <w:tcW w:w="3724" w:type="dxa"/>
            <w:gridSpan w:val="6"/>
            <w:tcBorders>
              <w:top w:val="single" w:color="auto" w:sz="4" w:space="0"/>
              <w:left w:val="single" w:color="auto" w:sz="4" w:space="0"/>
              <w:bottom w:val="single" w:color="auto" w:sz="4" w:space="0"/>
              <w:right w:val="single" w:color="auto" w:sz="4" w:space="0"/>
            </w:tcBorders>
            <w:vAlign w:val="top"/>
          </w:tcPr>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both"/>
              <w:rPr>
                <w:rFonts w:hint="default" w:ascii="Times New Roman" w:eastAsia="仿宋_GB2312"/>
                <w:sz w:val="28"/>
                <w:szCs w:val="28"/>
              </w:rPr>
            </w:pPr>
          </w:p>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sz w:val="28"/>
                <w:szCs w:val="28"/>
              </w:rPr>
            </w:pPr>
            <w:r>
              <w:rPr>
                <w:rFonts w:hint="default" w:ascii="Times New Roman" w:eastAsia="仿宋_GB2312"/>
                <w:sz w:val="28"/>
                <w:szCs w:val="28"/>
              </w:rPr>
              <w:t xml:space="preserve">     </w:t>
            </w:r>
          </w:p>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b/>
                <w:bCs/>
                <w:color w:val="000000"/>
                <w:sz w:val="28"/>
                <w:szCs w:val="28"/>
              </w:rPr>
            </w:pPr>
            <w:r>
              <w:rPr>
                <w:rFonts w:hint="default" w:ascii="Times New Roman" w:eastAsia="仿宋_GB2312"/>
                <w:sz w:val="28"/>
                <w:szCs w:val="28"/>
              </w:rPr>
              <w:t xml:space="preserve">      年   月   日</w:t>
            </w:r>
          </w:p>
        </w:tc>
        <w:tc>
          <w:tcPr>
            <w:tcW w:w="3894" w:type="dxa"/>
            <w:gridSpan w:val="2"/>
            <w:tcBorders>
              <w:top w:val="single" w:color="auto" w:sz="4" w:space="0"/>
              <w:left w:val="single" w:color="auto" w:sz="4" w:space="0"/>
              <w:bottom w:val="single" w:color="auto" w:sz="4" w:space="0"/>
              <w:right w:val="single" w:color="auto" w:sz="4" w:space="0"/>
            </w:tcBorders>
            <w:vAlign w:val="top"/>
          </w:tcPr>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sz w:val="28"/>
                <w:szCs w:val="28"/>
              </w:rPr>
            </w:pPr>
            <w:r>
              <w:rPr>
                <w:rFonts w:hint="default" w:ascii="Times New Roman" w:eastAsia="仿宋_GB2312"/>
                <w:sz w:val="28"/>
                <w:szCs w:val="28"/>
              </w:rPr>
              <w:t xml:space="preserve">     </w:t>
            </w:r>
          </w:p>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sz w:val="28"/>
                <w:szCs w:val="28"/>
              </w:rPr>
            </w:pPr>
          </w:p>
          <w:p>
            <w:pPr>
              <w:pStyle w:val="3"/>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ascii="Times New Roman" w:eastAsia="仿宋_GB2312"/>
                <w:color w:val="000000"/>
                <w:sz w:val="28"/>
                <w:szCs w:val="28"/>
              </w:rPr>
            </w:pPr>
            <w:r>
              <w:rPr>
                <w:rFonts w:hint="default" w:ascii="Times New Roman" w:eastAsia="仿宋_GB2312"/>
                <w:sz w:val="28"/>
                <w:szCs w:val="28"/>
              </w:rPr>
              <w:t xml:space="preserve">     年   月   日</w:t>
            </w:r>
          </w:p>
        </w:tc>
      </w:tr>
      <w:bookmarkEnd w:id="60"/>
    </w:tbl>
    <w:p>
      <w:pPr>
        <w:pStyle w:val="10"/>
        <w:rPr>
          <w:sz w:val="24"/>
        </w:rPr>
      </w:pPr>
    </w:p>
    <w:p>
      <w:pPr>
        <w:keepNext w:val="0"/>
        <w:keepLines w:val="0"/>
        <w:pageBreakBefore w:val="0"/>
        <w:widowControl w:val="0"/>
        <w:tabs>
          <w:tab w:val="left" w:pos="780"/>
        </w:tabs>
        <w:kinsoku/>
        <w:wordWrap/>
        <w:overflowPunct/>
        <w:topLinePunct w:val="0"/>
        <w:autoSpaceDE/>
        <w:autoSpaceDN/>
        <w:bidi w:val="0"/>
        <w:adjustRightInd w:val="0"/>
        <w:snapToGrid w:val="0"/>
        <w:spacing w:line="576" w:lineRule="exact"/>
        <w:jc w:val="left"/>
        <w:rPr>
          <w:rFonts w:hint="eastAsia" w:ascii="仿宋_GB2312" w:hAnsi="仿宋_GB2312" w:eastAsia="仿宋_GB2312" w:cs="仿宋_GB2312"/>
          <w:sz w:val="32"/>
          <w:szCs w:val="32"/>
        </w:rPr>
      </w:pPr>
      <w:r>
        <w:rPr>
          <w:sz w:val="24"/>
        </w:rPr>
        <w:t>注: 1.表中空间不足，可附页。2.此表</w:t>
      </w:r>
      <w:r>
        <w:rPr>
          <w:rFonts w:hint="eastAsia"/>
          <w:sz w:val="24"/>
          <w:lang w:eastAsia="zh-CN"/>
        </w:rPr>
        <w:t>双面打印，注明页码，一式</w:t>
      </w:r>
      <w:r>
        <w:rPr>
          <w:rFonts w:hint="eastAsia"/>
          <w:sz w:val="24"/>
          <w:lang w:val="en-US" w:eastAsia="zh-CN"/>
        </w:rPr>
        <w:t>2份，</w:t>
      </w:r>
      <w:r>
        <w:rPr>
          <w:sz w:val="24"/>
        </w:rPr>
        <w:t>签字复印</w:t>
      </w:r>
      <w:r>
        <w:rPr>
          <w:rFonts w:hint="eastAsia"/>
          <w:sz w:val="24"/>
          <w:lang w:eastAsia="zh-CN"/>
        </w:rPr>
        <w:t>件无效。</w:t>
      </w:r>
    </w:p>
    <w:p>
      <w:pPr>
        <w:keepNext w:val="0"/>
        <w:keepLines w:val="0"/>
        <w:pageBreakBefore w:val="0"/>
        <w:widowControl w:val="0"/>
        <w:kinsoku/>
        <w:wordWrap/>
        <w:overflowPunct/>
        <w:topLinePunct w:val="0"/>
        <w:autoSpaceDE/>
        <w:autoSpaceDN/>
        <w:bidi w:val="0"/>
        <w:adjustRightInd w:val="0"/>
        <w:snapToGrid w:val="0"/>
        <w:spacing w:line="576" w:lineRule="exact"/>
        <w:jc w:val="center"/>
        <w:rPr>
          <w:rFonts w:hint="eastAsia" w:ascii="仿宋_GB2312" w:hAnsi="仿宋_GB2312" w:eastAsia="仿宋_GB2312" w:cs="仿宋_GB2312"/>
          <w:sz w:val="32"/>
          <w:szCs w:val="32"/>
          <w:lang w:bidi="ar"/>
        </w:rPr>
      </w:pPr>
    </w:p>
    <w:p>
      <w:pPr>
        <w:keepNext w:val="0"/>
        <w:keepLines w:val="0"/>
        <w:pageBreakBefore w:val="0"/>
        <w:widowControl w:val="0"/>
        <w:kinsoku/>
        <w:wordWrap/>
        <w:overflowPunct/>
        <w:topLinePunct w:val="0"/>
        <w:autoSpaceDE/>
        <w:autoSpaceDN/>
        <w:bidi w:val="0"/>
        <w:adjustRightInd w:val="0"/>
        <w:snapToGrid w:val="0"/>
        <w:spacing w:line="576" w:lineRule="exact"/>
        <w:jc w:val="center"/>
        <w:rPr>
          <w:rFonts w:hint="eastAsia" w:ascii="仿宋_GB2312" w:hAnsi="仿宋_GB2312" w:eastAsia="仿宋_GB2312" w:cs="仿宋_GB2312"/>
          <w:sz w:val="32"/>
          <w:szCs w:val="32"/>
          <w:lang w:bidi="ar"/>
        </w:rPr>
      </w:pPr>
    </w:p>
    <w:p>
      <w:pPr>
        <w:keepNext w:val="0"/>
        <w:keepLines w:val="0"/>
        <w:pageBreakBefore w:val="0"/>
        <w:widowControl w:val="0"/>
        <w:kinsoku/>
        <w:wordWrap/>
        <w:overflowPunct/>
        <w:topLinePunct w:val="0"/>
        <w:autoSpaceDE/>
        <w:autoSpaceDN/>
        <w:bidi w:val="0"/>
        <w:adjustRightInd w:val="0"/>
        <w:snapToGrid w:val="0"/>
        <w:spacing w:line="576" w:lineRule="exact"/>
        <w:jc w:val="center"/>
        <w:rPr>
          <w:rFonts w:hint="eastAsia" w:ascii="仿宋_GB2312" w:hAnsi="仿宋_GB2312" w:eastAsia="仿宋_GB2312" w:cs="仿宋_GB2312"/>
          <w:sz w:val="32"/>
          <w:szCs w:val="32"/>
          <w:lang w:bidi="ar"/>
        </w:rPr>
      </w:pPr>
    </w:p>
    <w:p>
      <w:pPr>
        <w:keepNext w:val="0"/>
        <w:keepLines w:val="0"/>
        <w:pageBreakBefore w:val="0"/>
        <w:widowControl w:val="0"/>
        <w:kinsoku/>
        <w:wordWrap/>
        <w:overflowPunct/>
        <w:topLinePunct w:val="0"/>
        <w:autoSpaceDE/>
        <w:autoSpaceDN/>
        <w:bidi w:val="0"/>
        <w:adjustRightInd w:val="0"/>
        <w:snapToGrid w:val="0"/>
        <w:spacing w:line="576" w:lineRule="exact"/>
        <w:jc w:val="center"/>
        <w:rPr>
          <w:rFonts w:hint="eastAsia" w:ascii="仿宋_GB2312" w:hAnsi="仿宋_GB2312" w:eastAsia="仿宋_GB2312" w:cs="仿宋_GB2312"/>
          <w:sz w:val="32"/>
          <w:szCs w:val="32"/>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bidi="ar"/>
        </w:rPr>
      </w:pP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sz w:val="44"/>
          <w:szCs w:val="44"/>
          <w:lang w:eastAsia="zh-CN" w:bidi="ar"/>
        </w:rPr>
      </w:pPr>
      <w:r>
        <w:rPr>
          <w:rFonts w:hint="eastAsia" w:ascii="方正小标宋简体" w:hAnsi="方正小标宋简体" w:eastAsia="方正小标宋简体" w:cs="方正小标宋简体"/>
          <w:spacing w:val="-6"/>
          <w:sz w:val="44"/>
          <w:szCs w:val="44"/>
          <w:lang w:bidi="ar"/>
        </w:rPr>
        <w:t>药品GMP符合性检查缺陷项目</w:t>
      </w:r>
      <w:r>
        <w:rPr>
          <w:rFonts w:hint="eastAsia" w:ascii="方正小标宋简体" w:hAnsi="方正小标宋简体" w:eastAsia="方正小标宋简体" w:cs="方正小标宋简体"/>
          <w:spacing w:val="-6"/>
          <w:sz w:val="44"/>
          <w:szCs w:val="44"/>
          <w:lang w:eastAsia="zh-CN" w:bidi="ar"/>
        </w:rPr>
        <w:t>表</w:t>
      </w:r>
    </w:p>
    <w:tbl>
      <w:tblPr>
        <w:tblStyle w:val="8"/>
        <w:tblW w:w="89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3080"/>
        <w:gridCol w:w="1763"/>
        <w:gridCol w:w="17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6" w:hRule="atLeast"/>
        </w:trPr>
        <w:tc>
          <w:tcPr>
            <w:tcW w:w="23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kern w:val="0"/>
                <w:sz w:val="28"/>
                <w:szCs w:val="28"/>
                <w:lang w:bidi="ar"/>
              </w:rPr>
            </w:pPr>
            <w:r>
              <w:rPr>
                <w:rFonts w:hint="default"/>
                <w:kern w:val="0"/>
                <w:sz w:val="28"/>
                <w:szCs w:val="28"/>
                <w:lang w:bidi="ar"/>
              </w:rPr>
              <w:t>企业名称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eastAsia="黑体"/>
                <w:lang w:eastAsia="zh-CN"/>
              </w:rPr>
            </w:pPr>
            <w:r>
              <w:rPr>
                <w:rFonts w:hint="eastAsia"/>
                <w:kern w:val="0"/>
                <w:sz w:val="28"/>
                <w:szCs w:val="28"/>
                <w:lang w:eastAsia="zh-CN" w:bidi="ar"/>
              </w:rPr>
              <w:t>（被检查单位）</w:t>
            </w:r>
          </w:p>
        </w:tc>
        <w:tc>
          <w:tcPr>
            <w:tcW w:w="662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6" w:hRule="atLeast"/>
        </w:trPr>
        <w:tc>
          <w:tcPr>
            <w:tcW w:w="23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kern w:val="0"/>
                <w:sz w:val="28"/>
                <w:szCs w:val="28"/>
                <w:lang w:eastAsia="zh-CN" w:bidi="ar"/>
              </w:rPr>
            </w:pPr>
            <w:r>
              <w:rPr>
                <w:rFonts w:hint="eastAsia"/>
                <w:kern w:val="0"/>
                <w:sz w:val="28"/>
                <w:szCs w:val="28"/>
                <w:lang w:eastAsia="zh-CN" w:bidi="ar"/>
              </w:rPr>
              <w:t>检查地址</w:t>
            </w:r>
          </w:p>
        </w:tc>
        <w:tc>
          <w:tcPr>
            <w:tcW w:w="662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6" w:hRule="atLeast"/>
        </w:trPr>
        <w:tc>
          <w:tcPr>
            <w:tcW w:w="23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eastAsia="宋体"/>
                <w:kern w:val="0"/>
                <w:sz w:val="28"/>
                <w:szCs w:val="28"/>
                <w:lang w:eastAsia="zh-CN" w:bidi="ar"/>
              </w:rPr>
            </w:pPr>
            <w:r>
              <w:rPr>
                <w:rFonts w:hint="default"/>
                <w:kern w:val="0"/>
                <w:sz w:val="28"/>
                <w:szCs w:val="28"/>
                <w:lang w:bidi="ar"/>
              </w:rPr>
              <w:t>检查范围</w:t>
            </w:r>
            <w:r>
              <w:rPr>
                <w:rFonts w:hint="eastAsia"/>
                <w:kern w:val="0"/>
                <w:sz w:val="28"/>
                <w:szCs w:val="28"/>
                <w:lang w:eastAsia="zh-CN" w:bidi="ar"/>
              </w:rPr>
              <w:t>及相关车间、生产线</w:t>
            </w:r>
          </w:p>
        </w:tc>
        <w:tc>
          <w:tcPr>
            <w:tcW w:w="662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trPr>
        <w:tc>
          <w:tcPr>
            <w:tcW w:w="23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eastAsia="宋体"/>
                <w:kern w:val="0"/>
                <w:sz w:val="28"/>
                <w:szCs w:val="28"/>
                <w:lang w:eastAsia="zh-CN"/>
              </w:rPr>
            </w:pPr>
            <w:r>
              <w:rPr>
                <w:rFonts w:hint="eastAsia"/>
                <w:kern w:val="0"/>
                <w:sz w:val="28"/>
                <w:szCs w:val="28"/>
                <w:lang w:eastAsia="zh-CN"/>
              </w:rPr>
              <w:t>检查时间</w:t>
            </w:r>
          </w:p>
        </w:tc>
        <w:tc>
          <w:tcPr>
            <w:tcW w:w="662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trPr>
        <w:tc>
          <w:tcPr>
            <w:tcW w:w="23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kern w:val="0"/>
                <w:sz w:val="28"/>
                <w:szCs w:val="28"/>
                <w:lang w:eastAsia="zh-CN"/>
              </w:rPr>
            </w:pPr>
            <w:r>
              <w:rPr>
                <w:rFonts w:hint="eastAsia"/>
                <w:kern w:val="0"/>
                <w:sz w:val="28"/>
                <w:szCs w:val="28"/>
                <w:lang w:eastAsia="zh-CN"/>
              </w:rPr>
              <w:t>企业法定代表人</w:t>
            </w:r>
          </w:p>
        </w:tc>
        <w:tc>
          <w:tcPr>
            <w:tcW w:w="308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p>
        </w:tc>
        <w:tc>
          <w:tcPr>
            <w:tcW w:w="176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eastAsia" w:eastAsia="宋体"/>
                <w:kern w:val="0"/>
                <w:sz w:val="28"/>
                <w:szCs w:val="28"/>
                <w:lang w:eastAsia="zh-CN"/>
              </w:rPr>
            </w:pPr>
            <w:r>
              <w:rPr>
                <w:rFonts w:hint="eastAsia"/>
                <w:kern w:val="0"/>
                <w:sz w:val="28"/>
                <w:szCs w:val="28"/>
                <w:lang w:eastAsia="zh-CN"/>
              </w:rPr>
              <w:t>企业负责人</w:t>
            </w:r>
          </w:p>
        </w:tc>
        <w:tc>
          <w:tcPr>
            <w:tcW w:w="17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trPr>
        <w:tc>
          <w:tcPr>
            <w:tcW w:w="23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kern w:val="0"/>
                <w:sz w:val="28"/>
                <w:szCs w:val="28"/>
                <w:lang w:eastAsia="zh-CN"/>
              </w:rPr>
            </w:pPr>
            <w:r>
              <w:rPr>
                <w:rFonts w:hint="eastAsia"/>
                <w:kern w:val="0"/>
                <w:sz w:val="28"/>
                <w:szCs w:val="28"/>
                <w:lang w:eastAsia="zh-CN"/>
              </w:rPr>
              <w:t>质量负责人</w:t>
            </w:r>
          </w:p>
        </w:tc>
        <w:tc>
          <w:tcPr>
            <w:tcW w:w="308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p>
        </w:tc>
        <w:tc>
          <w:tcPr>
            <w:tcW w:w="176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eastAsia"/>
                <w:kern w:val="0"/>
                <w:sz w:val="28"/>
                <w:szCs w:val="28"/>
                <w:lang w:eastAsia="zh-CN"/>
              </w:rPr>
            </w:pPr>
            <w:r>
              <w:rPr>
                <w:rFonts w:hint="eastAsia"/>
                <w:kern w:val="0"/>
                <w:sz w:val="28"/>
                <w:szCs w:val="28"/>
                <w:lang w:eastAsia="zh-CN"/>
              </w:rPr>
              <w:t>生产负责热</w:t>
            </w:r>
          </w:p>
        </w:tc>
        <w:tc>
          <w:tcPr>
            <w:tcW w:w="17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4" w:hRule="atLeast"/>
        </w:trPr>
        <w:tc>
          <w:tcPr>
            <w:tcW w:w="23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kern w:val="0"/>
                <w:sz w:val="28"/>
                <w:szCs w:val="28"/>
                <w:lang w:eastAsia="zh-CN"/>
              </w:rPr>
            </w:pPr>
            <w:r>
              <w:rPr>
                <w:rFonts w:hint="eastAsia"/>
                <w:kern w:val="0"/>
                <w:sz w:val="28"/>
                <w:szCs w:val="28"/>
                <w:lang w:eastAsia="zh-CN"/>
              </w:rPr>
              <w:t>质量授权人</w:t>
            </w:r>
          </w:p>
        </w:tc>
        <w:tc>
          <w:tcPr>
            <w:tcW w:w="662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00" w:hRule="atLeast"/>
        </w:trPr>
        <w:tc>
          <w:tcPr>
            <w:tcW w:w="8968" w:type="dxa"/>
            <w:gridSpan w:val="4"/>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560" w:firstLineChars="200"/>
              <w:jc w:val="left"/>
              <w:rPr>
                <w:rFonts w:hint="eastAsia"/>
                <w:kern w:val="0"/>
                <w:sz w:val="28"/>
                <w:szCs w:val="28"/>
                <w:lang w:bidi="ar"/>
              </w:rPr>
            </w:pPr>
            <w:r>
              <w:rPr>
                <w:rFonts w:hint="eastAsia"/>
                <w:kern w:val="0"/>
                <w:sz w:val="28"/>
                <w:szCs w:val="28"/>
                <w:lang w:bidi="ar"/>
              </w:rPr>
              <w:t>缺陷情况：</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560" w:firstLineChars="200"/>
              <w:jc w:val="left"/>
              <w:rPr>
                <w:rFonts w:hint="eastAsia"/>
                <w:kern w:val="0"/>
                <w:sz w:val="28"/>
                <w:szCs w:val="28"/>
                <w:lang w:bidi="ar"/>
              </w:rPr>
            </w:pPr>
            <w:r>
              <w:rPr>
                <w:rFonts w:hint="eastAsia"/>
                <w:kern w:val="0"/>
                <w:sz w:val="28"/>
                <w:szCs w:val="28"/>
                <w:lang w:bidi="ar"/>
              </w:rPr>
              <w:t>本缺陷项目表所述缺陷为检查组现场检查发现的具体问题，并不代表你公司存在的全部问题；以下检查缺陷和结论为检查组根据现场检查情况和《药品生产企业现场检查风险评定原则》进行的判定，派出检查单位经风险研判和综合评估认为需要对检查缺陷、分类等级和检查结论进行调整的，将在调整后函告被检查单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560" w:firstLineChars="200"/>
              <w:jc w:val="left"/>
              <w:rPr>
                <w:rFonts w:hint="eastAsia"/>
                <w:kern w:val="0"/>
                <w:sz w:val="28"/>
                <w:szCs w:val="28"/>
                <w:lang w:bidi="ar"/>
              </w:rPr>
            </w:pPr>
            <w:r>
              <w:rPr>
                <w:rFonts w:hint="eastAsia"/>
                <w:kern w:val="0"/>
                <w:sz w:val="28"/>
                <w:szCs w:val="28"/>
                <w:lang w:bidi="ar"/>
              </w:rPr>
              <w:t>严重缺陷：xx项</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560" w:firstLineChars="200"/>
              <w:jc w:val="left"/>
              <w:rPr>
                <w:rFonts w:hint="eastAsia"/>
                <w:kern w:val="0"/>
                <w:sz w:val="28"/>
                <w:szCs w:val="28"/>
                <w:lang w:bidi="ar"/>
              </w:rPr>
            </w:pPr>
            <w:r>
              <w:rPr>
                <w:rFonts w:hint="eastAsia"/>
                <w:kern w:val="0"/>
                <w:sz w:val="28"/>
                <w:szCs w:val="28"/>
                <w:lang w:bidi="ar"/>
              </w:rPr>
              <w:t>主要缺陷：xx项</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560" w:firstLineChars="200"/>
              <w:jc w:val="left"/>
              <w:rPr>
                <w:rFonts w:hint="default"/>
                <w:kern w:val="0"/>
                <w:sz w:val="28"/>
                <w:szCs w:val="28"/>
                <w:lang w:bidi="ar"/>
              </w:rPr>
            </w:pPr>
            <w:r>
              <w:rPr>
                <w:rFonts w:hint="eastAsia"/>
                <w:kern w:val="0"/>
                <w:sz w:val="28"/>
                <w:szCs w:val="28"/>
                <w:lang w:bidi="ar"/>
              </w:rPr>
              <w:t>一般缺陷：xx项</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560" w:firstLineChars="200"/>
              <w:rPr>
                <w:rFonts w:hint="default"/>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42" w:hRule="atLeast"/>
        </w:trPr>
        <w:tc>
          <w:tcPr>
            <w:tcW w:w="8968"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lang w:bidi="ar"/>
              </w:rPr>
            </w:pPr>
            <w:r>
              <w:rPr>
                <w:rFonts w:hint="default"/>
                <w:kern w:val="0"/>
                <w:sz w:val="28"/>
                <w:szCs w:val="28"/>
                <w:lang w:bidi="ar"/>
              </w:rPr>
              <w:t>本次检查处理建议：</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Pr>
                <w:rFonts w:hint="default" w:ascii="Times New Roman" w:hAnsi="Times New Roman" w:eastAsia="仿宋_GB2312" w:cs="Times New Roman"/>
                <w:sz w:val="28"/>
                <w:szCs w:val="28"/>
                <w:lang w:bidi="ar"/>
              </w:rPr>
            </w:pP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Pr>
                <w:rFonts w:hint="default" w:ascii="Times New Roman" w:hAnsi="Times New Roman" w:eastAsia="仿宋_GB2312" w:cs="Times New Roman"/>
                <w:sz w:val="28"/>
                <w:szCs w:val="2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75" w:hRule="atLeast"/>
        </w:trPr>
        <w:tc>
          <w:tcPr>
            <w:tcW w:w="8968"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r>
              <w:rPr>
                <w:rFonts w:hint="default"/>
                <w:kern w:val="0"/>
                <w:sz w:val="28"/>
                <w:szCs w:val="28"/>
                <w:lang w:bidi="ar"/>
              </w:rPr>
              <w:t>企业</w:t>
            </w:r>
            <w:r>
              <w:rPr>
                <w:rFonts w:hint="eastAsia"/>
                <w:kern w:val="0"/>
                <w:sz w:val="28"/>
                <w:szCs w:val="28"/>
                <w:lang w:eastAsia="zh-CN" w:bidi="ar"/>
              </w:rPr>
              <w:t>法定代表人或者企业</w:t>
            </w:r>
            <w:r>
              <w:rPr>
                <w:rFonts w:hint="default"/>
                <w:kern w:val="0"/>
                <w:sz w:val="28"/>
                <w:szCs w:val="28"/>
                <w:lang w:bidi="ar"/>
              </w:rPr>
              <w:t>负责人签字：</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560" w:firstLineChars="200"/>
              <w:rPr>
                <w:rFonts w:hint="default"/>
                <w:kern w:val="0"/>
                <w:sz w:val="28"/>
                <w:szCs w:val="28"/>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7000" w:firstLineChars="2500"/>
              <w:rPr>
                <w:rFonts w:hint="default"/>
                <w:kern w:val="0"/>
                <w:sz w:val="28"/>
                <w:szCs w:val="28"/>
              </w:rPr>
            </w:pPr>
            <w:r>
              <w:rPr>
                <w:rFonts w:hint="default"/>
                <w:kern w:val="0"/>
                <w:sz w:val="28"/>
                <w:szCs w:val="28"/>
                <w:lang w:bidi="ar"/>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80" w:hRule="atLeast"/>
        </w:trPr>
        <w:tc>
          <w:tcPr>
            <w:tcW w:w="8968"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rPr>
                <w:rFonts w:hint="default"/>
                <w:kern w:val="0"/>
                <w:sz w:val="28"/>
                <w:szCs w:val="28"/>
              </w:rPr>
            </w:pPr>
            <w:r>
              <w:rPr>
                <w:rFonts w:hint="default"/>
                <w:kern w:val="0"/>
                <w:sz w:val="28"/>
                <w:szCs w:val="28"/>
                <w:lang w:bidi="ar"/>
              </w:rPr>
              <w:t>检查组全体人员签字：</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560" w:firstLineChars="200"/>
              <w:rPr>
                <w:rFonts w:hint="default"/>
                <w:kern w:val="0"/>
                <w:sz w:val="28"/>
                <w:szCs w:val="28"/>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firstLine="7000" w:firstLineChars="2500"/>
              <w:rPr>
                <w:rFonts w:hint="default"/>
                <w:kern w:val="0"/>
                <w:sz w:val="28"/>
                <w:szCs w:val="28"/>
              </w:rPr>
            </w:pPr>
            <w:r>
              <w:rPr>
                <w:rFonts w:hint="default"/>
                <w:kern w:val="0"/>
                <w:sz w:val="28"/>
                <w:szCs w:val="28"/>
                <w:lang w:bidi="ar"/>
              </w:rPr>
              <w:t>年  月  日</w:t>
            </w:r>
          </w:p>
        </w:tc>
      </w:tr>
    </w:tbl>
    <w:p>
      <w:pPr>
        <w:keepNext w:val="0"/>
        <w:keepLines w:val="0"/>
        <w:pageBreakBefore w:val="0"/>
        <w:widowControl w:val="0"/>
        <w:kinsoku/>
        <w:wordWrap/>
        <w:overflowPunct/>
        <w:topLinePunct w:val="0"/>
        <w:autoSpaceDE/>
        <w:autoSpaceDN/>
        <w:bidi w:val="0"/>
        <w:spacing w:line="576" w:lineRule="exact"/>
        <w:rPr>
          <w:rFonts w:hint="eastAsia"/>
          <w:kern w:val="0"/>
          <w:sz w:val="24"/>
          <w:szCs w:val="24"/>
          <w:lang w:bidi="ar"/>
        </w:rPr>
      </w:pPr>
      <w:r>
        <w:rPr>
          <w:rFonts w:hint="eastAsia"/>
          <w:kern w:val="0"/>
          <w:sz w:val="24"/>
          <w:szCs w:val="24"/>
          <w:lang w:bidi="ar"/>
        </w:rPr>
        <w:t xml:space="preserve">说明：1．此表双面打印，注明页码。 </w:t>
      </w:r>
    </w:p>
    <w:p>
      <w:pPr>
        <w:keepNext w:val="0"/>
        <w:keepLines w:val="0"/>
        <w:pageBreakBefore w:val="0"/>
        <w:widowControl w:val="0"/>
        <w:kinsoku/>
        <w:wordWrap/>
        <w:overflowPunct/>
        <w:topLinePunct w:val="0"/>
        <w:autoSpaceDE/>
        <w:autoSpaceDN/>
        <w:bidi w:val="0"/>
        <w:spacing w:line="576" w:lineRule="exact"/>
        <w:ind w:firstLine="720" w:firstLineChars="300"/>
        <w:rPr>
          <w:rFonts w:hint="eastAsia"/>
          <w:kern w:val="0"/>
          <w:sz w:val="24"/>
          <w:szCs w:val="24"/>
          <w:lang w:bidi="ar"/>
        </w:rPr>
      </w:pPr>
      <w:r>
        <w:rPr>
          <w:rFonts w:hint="eastAsia"/>
          <w:kern w:val="0"/>
          <w:sz w:val="24"/>
          <w:szCs w:val="24"/>
          <w:lang w:bidi="ar"/>
        </w:rPr>
        <w:t>2．本表一式2份，被检查单位、检查组各执1份，签字复印件无效。</w:t>
      </w:r>
    </w:p>
    <w:p>
      <w:pPr>
        <w:keepNext w:val="0"/>
        <w:keepLines w:val="0"/>
        <w:pageBreakBefore w:val="0"/>
        <w:widowControl w:val="0"/>
        <w:kinsoku/>
        <w:wordWrap/>
        <w:overflowPunct/>
        <w:topLinePunct w:val="0"/>
        <w:autoSpaceDE/>
        <w:autoSpaceDN/>
        <w:bidi w:val="0"/>
        <w:spacing w:line="576" w:lineRule="exact"/>
        <w:ind w:firstLine="720" w:firstLineChars="300"/>
        <w:rPr>
          <w:rFonts w:hint="eastAsia"/>
          <w:kern w:val="0"/>
          <w:sz w:val="24"/>
          <w:szCs w:val="24"/>
          <w:lang w:bidi="ar"/>
        </w:rPr>
      </w:pPr>
      <w:r>
        <w:rPr>
          <w:rFonts w:hint="eastAsia"/>
          <w:kern w:val="0"/>
          <w:sz w:val="24"/>
          <w:szCs w:val="24"/>
          <w:lang w:bidi="ar"/>
        </w:rPr>
        <w:t>3．本表内容仅为本次检查发现的问题，被检查单位应针对发现的问题进行整改并形成正式的书面整改报告，在检查结束后 30 个工作日内向派出检查单位报送整改材料。如因客观因素无法在规定时限内完成整改的缺陷，可报送相应切实可行的整改计划，待整改完成后及时补充提交整改完成情况及必要的证明材料。缺陷项目经派出检查单位审核后作出调整重新发放的，整改时限可延长10个工作日。</w:t>
      </w:r>
    </w:p>
    <w:p>
      <w:pPr>
        <w:keepNext w:val="0"/>
        <w:keepLines w:val="0"/>
        <w:pageBreakBefore w:val="0"/>
        <w:widowControl w:val="0"/>
        <w:kinsoku/>
        <w:wordWrap/>
        <w:overflowPunct/>
        <w:topLinePunct w:val="0"/>
        <w:autoSpaceDE/>
        <w:autoSpaceDN/>
        <w:bidi w:val="0"/>
        <w:spacing w:line="576" w:lineRule="exact"/>
        <w:ind w:firstLine="720" w:firstLineChars="300"/>
        <w:rPr>
          <w:rFonts w:hint="eastAsia" w:ascii="仿宋_GB2312" w:hAnsi="仿宋_GB2312" w:eastAsia="仿宋_GB2312" w:cs="仿宋_GB2312"/>
          <w:sz w:val="32"/>
          <w:szCs w:val="32"/>
        </w:rPr>
      </w:pPr>
      <w:r>
        <w:rPr>
          <w:rFonts w:hint="eastAsia"/>
          <w:kern w:val="0"/>
          <w:sz w:val="24"/>
          <w:szCs w:val="24"/>
          <w:lang w:bidi="ar"/>
        </w:rPr>
        <w:t>4．整改报告要求包括缺陷项、根本原因分析、风险评估与风险控制、采取的纠正与预防措施、对应措施整改完成日期／合理的计划完成日期、整改证明材料等。</w:t>
      </w:r>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sz w:val="32"/>
          <w:szCs w:val="32"/>
        </w:rPr>
      </w:pPr>
    </w:p>
    <w:p>
      <w:pPr>
        <w:pStyle w:val="10"/>
        <w:rPr>
          <w:rFonts w:hint="eastAsia" w:ascii="仿宋_GB2312" w:hAnsi="仿宋_GB2312" w:eastAsia="仿宋_GB2312" w:cs="仿宋_GB2312"/>
          <w:sz w:val="32"/>
          <w:szCs w:val="32"/>
        </w:rPr>
      </w:pPr>
    </w:p>
    <w:p>
      <w:pPr>
        <w:pStyle w:val="10"/>
        <w:rPr>
          <w:rFonts w:hint="eastAsia" w:ascii="仿宋_GB2312" w:hAnsi="仿宋_GB2312" w:eastAsia="仿宋_GB2312" w:cs="仿宋_GB2312"/>
          <w:sz w:val="32"/>
          <w:szCs w:val="32"/>
        </w:rPr>
      </w:pPr>
    </w:p>
    <w:p>
      <w:pPr>
        <w:pStyle w:val="10"/>
        <w:rPr>
          <w:rFonts w:hint="eastAsia" w:ascii="仿宋_GB2312" w:hAnsi="仿宋_GB2312" w:eastAsia="仿宋_GB2312" w:cs="仿宋_GB2312"/>
          <w:sz w:val="32"/>
          <w:szCs w:val="32"/>
        </w:rPr>
      </w:pPr>
    </w:p>
    <w:p>
      <w:pPr>
        <w:pStyle w:val="10"/>
        <w:rPr>
          <w:rFonts w:hint="eastAsia" w:ascii="仿宋_GB2312" w:hAnsi="仿宋_GB2312" w:eastAsia="仿宋_GB2312" w:cs="仿宋_GB2312"/>
          <w:sz w:val="32"/>
          <w:szCs w:val="32"/>
        </w:rPr>
      </w:pPr>
    </w:p>
    <w:p>
      <w:pPr>
        <w:keepNext w:val="0"/>
        <w:keepLines w:val="0"/>
        <w:pageBreakBefore w:val="0"/>
        <w:widowControl w:val="0"/>
        <w:suppressAutoHyphens/>
        <w:kinsoku/>
        <w:wordWrap/>
        <w:overflowPunct/>
        <w:topLinePunct w:val="0"/>
        <w:autoSpaceDE/>
        <w:autoSpaceDN/>
        <w:bidi w:val="0"/>
        <w:spacing w:line="556" w:lineRule="exact"/>
        <w:rPr>
          <w:rFonts w:hint="eastAsia" w:ascii="Times New Roman" w:hAnsi="Times New Roman" w:eastAsia="黑体"/>
          <w:spacing w:val="-6"/>
          <w:sz w:val="32"/>
          <w:szCs w:val="32"/>
        </w:rPr>
      </w:pPr>
      <w:r>
        <w:rPr>
          <w:rFonts w:hint="eastAsia" w:ascii="Times New Roman" w:hAnsi="Times New Roman" w:eastAsia="黑体"/>
          <w:spacing w:val="-6"/>
          <w:sz w:val="32"/>
          <w:szCs w:val="32"/>
        </w:rPr>
        <w:t>附件4</w:t>
      </w: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kern w:val="0"/>
          <w:sz w:val="44"/>
          <w:szCs w:val="44"/>
          <w:lang w:val="zh-CN"/>
        </w:rPr>
      </w:pPr>
      <w:r>
        <w:rPr>
          <w:rFonts w:hint="eastAsia" w:ascii="方正小标宋简体" w:hAnsi="方正小标宋简体" w:eastAsia="方正小标宋简体" w:cs="方正小标宋简体"/>
          <w:spacing w:val="-6"/>
          <w:kern w:val="0"/>
          <w:sz w:val="44"/>
          <w:szCs w:val="44"/>
          <w:lang w:val="zh-CN"/>
        </w:rPr>
        <w:t>药品GMP符合性检查缺陷调整通知单</w:t>
      </w:r>
    </w:p>
    <w:p>
      <w:pPr>
        <w:keepNext w:val="0"/>
        <w:keepLines w:val="0"/>
        <w:pageBreakBefore w:val="0"/>
        <w:widowControl w:val="0"/>
        <w:kinsoku/>
        <w:wordWrap/>
        <w:overflowPunct/>
        <w:topLinePunct w:val="0"/>
        <w:autoSpaceDE/>
        <w:autoSpaceDN/>
        <w:bidi w:val="0"/>
        <w:adjustRightInd w:val="0"/>
        <w:snapToGrid w:val="0"/>
        <w:spacing w:line="576" w:lineRule="exact"/>
        <w:jc w:val="center"/>
        <w:rPr>
          <w:rFonts w:hint="eastAsia" w:ascii="仿宋_GB2312" w:hAnsi="仿宋_GB2312" w:eastAsia="仿宋_GB2312" w:cs="仿宋_GB2312"/>
          <w:kern w:val="0"/>
          <w:sz w:val="32"/>
          <w:szCs w:val="32"/>
          <w:lang w:val="zh-CN"/>
        </w:rPr>
      </w:pPr>
    </w:p>
    <w:tbl>
      <w:tblPr>
        <w:tblStyle w:val="8"/>
        <w:tblW w:w="8479"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7"/>
        <w:gridCol w:w="976"/>
        <w:gridCol w:w="2480"/>
        <w:gridCol w:w="1546"/>
        <w:gridCol w:w="26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57" w:hRule="atLeast"/>
          <w:jc w:val="center"/>
        </w:trPr>
        <w:tc>
          <w:tcPr>
            <w:tcW w:w="1813" w:type="dxa"/>
            <w:gridSpan w:val="2"/>
            <w:tcBorders>
              <w:top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180" w:leftChars="0" w:right="0" w:hanging="180" w:firstLineChars="0"/>
              <w:jc w:val="center"/>
              <w:rPr>
                <w:rFonts w:hint="eastAsia" w:ascii="仿宋_GB2312" w:hAnsi="仿宋_GB2312" w:eastAsia="仿宋_GB2312" w:cs="仿宋_GB2312"/>
                <w:sz w:val="32"/>
                <w:szCs w:val="32"/>
                <w:lang w:eastAsia="zh-CN"/>
              </w:rPr>
            </w:pPr>
            <w:r>
              <w:rPr>
                <w:rFonts w:hint="eastAsia"/>
                <w:sz w:val="28"/>
                <w:szCs w:val="28"/>
                <w:lang w:eastAsia="zh-CN"/>
              </w:rPr>
              <w:t>被检查单位</w:t>
            </w:r>
          </w:p>
        </w:tc>
        <w:tc>
          <w:tcPr>
            <w:tcW w:w="6666" w:type="dxa"/>
            <w:gridSpan w:val="3"/>
            <w:tcBorders>
              <w:top w:val="single" w:color="auto" w:sz="4" w:space="0"/>
              <w:left w:val="single" w:color="auto" w:sz="4" w:space="0"/>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ascii="仿宋_GB2312" w:hAnsi="仿宋_GB2312" w:eastAsia="仿宋_GB2312" w:cs="仿宋_GB2312"/>
                <w:color w:val="FF0000"/>
                <w:sz w:val="32"/>
                <w:szCs w:val="3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657" w:hRule="atLeast"/>
          <w:jc w:val="center"/>
        </w:trPr>
        <w:tc>
          <w:tcPr>
            <w:tcW w:w="1813" w:type="dxa"/>
            <w:gridSpan w:val="2"/>
            <w:tcBorders>
              <w:top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180" w:leftChars="0" w:right="0" w:hanging="180" w:firstLineChars="0"/>
              <w:jc w:val="center"/>
              <w:rPr>
                <w:rFonts w:hint="eastAsia" w:ascii="仿宋_GB2312" w:hAnsi="仿宋_GB2312" w:eastAsia="宋体" w:cs="仿宋_GB2312"/>
                <w:sz w:val="32"/>
                <w:szCs w:val="32"/>
                <w:lang w:eastAsia="zh-CN"/>
              </w:rPr>
            </w:pPr>
            <w:r>
              <w:rPr>
                <w:rFonts w:hint="default"/>
                <w:sz w:val="28"/>
                <w:szCs w:val="28"/>
              </w:rPr>
              <w:t>检查范围</w:t>
            </w:r>
            <w:r>
              <w:rPr>
                <w:rFonts w:hint="eastAsia"/>
                <w:sz w:val="28"/>
                <w:szCs w:val="28"/>
                <w:lang w:eastAsia="zh-CN"/>
              </w:rPr>
              <w:t>及相关车间、生产线</w:t>
            </w:r>
          </w:p>
        </w:tc>
        <w:tc>
          <w:tcPr>
            <w:tcW w:w="6666" w:type="dxa"/>
            <w:gridSpan w:val="3"/>
            <w:tcBorders>
              <w:top w:val="single" w:color="auto" w:sz="4" w:space="0"/>
              <w:left w:val="single" w:color="auto" w:sz="4" w:space="0"/>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ascii="仿宋_GB2312" w:hAnsi="仿宋_GB2312" w:eastAsia="仿宋_GB2312" w:cs="仿宋_GB2312"/>
                <w:color w:val="FF0000"/>
                <w:sz w:val="32"/>
                <w:szCs w:val="3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599" w:hRule="atLeast"/>
          <w:jc w:val="center"/>
        </w:trPr>
        <w:tc>
          <w:tcPr>
            <w:tcW w:w="1813" w:type="dxa"/>
            <w:gridSpan w:val="2"/>
            <w:tcBorders>
              <w:top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ascii="仿宋_GB2312" w:hAnsi="仿宋_GB2312" w:eastAsia="仿宋_GB2312" w:cs="仿宋_GB2312"/>
                <w:sz w:val="32"/>
                <w:szCs w:val="32"/>
              </w:rPr>
            </w:pPr>
            <w:r>
              <w:rPr>
                <w:rFonts w:hint="default"/>
                <w:sz w:val="28"/>
                <w:szCs w:val="28"/>
              </w:rPr>
              <w:t>任务编号</w:t>
            </w:r>
          </w:p>
        </w:tc>
        <w:tc>
          <w:tcPr>
            <w:tcW w:w="248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ascii="仿宋_GB2312" w:hAnsi="仿宋_GB2312" w:eastAsia="仿宋_GB2312" w:cs="仿宋_GB2312"/>
                <w:color w:val="FF0000"/>
                <w:sz w:val="32"/>
                <w:szCs w:val="32"/>
              </w:rPr>
            </w:pPr>
          </w:p>
        </w:tc>
        <w:tc>
          <w:tcPr>
            <w:tcW w:w="154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ascii="仿宋_GB2312" w:hAnsi="仿宋_GB2312" w:eastAsia="仿宋_GB2312" w:cs="仿宋_GB2312"/>
                <w:sz w:val="32"/>
                <w:szCs w:val="32"/>
              </w:rPr>
            </w:pPr>
            <w:r>
              <w:rPr>
                <w:rFonts w:hint="default"/>
                <w:sz w:val="28"/>
                <w:szCs w:val="28"/>
              </w:rPr>
              <w:t>检查日期</w:t>
            </w:r>
          </w:p>
        </w:tc>
        <w:tc>
          <w:tcPr>
            <w:tcW w:w="2640" w:type="dxa"/>
            <w:tcBorders>
              <w:top w:val="single" w:color="auto" w:sz="4" w:space="0"/>
              <w:left w:val="single" w:color="auto" w:sz="4" w:space="0"/>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ascii="仿宋_GB2312" w:hAnsi="仿宋_GB2312" w:eastAsia="仿宋_GB2312" w:cs="仿宋_GB2312"/>
                <w:color w:val="FF0000"/>
                <w:sz w:val="32"/>
                <w:szCs w:val="3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188" w:hRule="atLeast"/>
          <w:jc w:val="center"/>
        </w:trPr>
        <w:tc>
          <w:tcPr>
            <w:tcW w:w="1813" w:type="dxa"/>
            <w:gridSpan w:val="2"/>
            <w:tcBorders>
              <w:top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ascii="仿宋_GB2312" w:hAnsi="仿宋_GB2312" w:eastAsia="仿宋_GB2312" w:cs="仿宋_GB2312"/>
                <w:sz w:val="32"/>
                <w:szCs w:val="32"/>
              </w:rPr>
            </w:pPr>
            <w:r>
              <w:rPr>
                <w:rFonts w:hint="eastAsia"/>
                <w:sz w:val="28"/>
                <w:szCs w:val="28"/>
                <w:lang w:eastAsia="zh-CN"/>
              </w:rPr>
              <w:t>被检查单位</w:t>
            </w:r>
            <w:r>
              <w:rPr>
                <w:rFonts w:hint="default"/>
                <w:sz w:val="28"/>
                <w:szCs w:val="28"/>
              </w:rPr>
              <w:t>联系人</w:t>
            </w:r>
          </w:p>
        </w:tc>
        <w:tc>
          <w:tcPr>
            <w:tcW w:w="248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ascii="仿宋_GB2312" w:hAnsi="仿宋_GB2312" w:eastAsia="仿宋_GB2312" w:cs="仿宋_GB2312"/>
                <w:sz w:val="32"/>
                <w:szCs w:val="32"/>
              </w:rPr>
            </w:pPr>
            <w:r>
              <w:rPr>
                <w:rFonts w:hint="default"/>
                <w:sz w:val="28"/>
                <w:szCs w:val="28"/>
              </w:rPr>
              <w:t xml:space="preserve"> </w:t>
            </w:r>
          </w:p>
        </w:tc>
        <w:tc>
          <w:tcPr>
            <w:tcW w:w="154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ascii="仿宋_GB2312" w:hAnsi="仿宋_GB2312" w:eastAsia="仿宋_GB2312" w:cs="仿宋_GB2312"/>
                <w:sz w:val="32"/>
                <w:szCs w:val="32"/>
              </w:rPr>
            </w:pPr>
            <w:r>
              <w:rPr>
                <w:rFonts w:hint="default"/>
                <w:sz w:val="28"/>
                <w:szCs w:val="28"/>
              </w:rPr>
              <w:t>电话</w:t>
            </w:r>
          </w:p>
        </w:tc>
        <w:tc>
          <w:tcPr>
            <w:tcW w:w="2640" w:type="dxa"/>
            <w:tcBorders>
              <w:top w:val="single" w:color="auto" w:sz="4" w:space="0"/>
              <w:left w:val="single" w:color="auto" w:sz="4" w:space="0"/>
              <w:bottom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ascii="仿宋_GB2312" w:hAnsi="仿宋_GB2312" w:eastAsia="仿宋_GB2312" w:cs="仿宋_GB2312"/>
                <w:sz w:val="32"/>
                <w:szCs w:val="32"/>
              </w:rPr>
            </w:pPr>
            <w:r>
              <w:rPr>
                <w:rFonts w:hint="default"/>
                <w:sz w:val="28"/>
                <w:szCs w:val="28"/>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2762" w:hRule="atLeast"/>
          <w:jc w:val="center"/>
        </w:trPr>
        <w:tc>
          <w:tcPr>
            <w:tcW w:w="837" w:type="dxa"/>
            <w:tcBorders>
              <w:top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ascii="仿宋_GB2312" w:hAnsi="仿宋_GB2312" w:eastAsia="仿宋_GB2312" w:cs="仿宋_GB2312"/>
                <w:sz w:val="32"/>
                <w:szCs w:val="32"/>
              </w:rPr>
            </w:pPr>
            <w:r>
              <w:rPr>
                <w:rFonts w:hint="default"/>
                <w:sz w:val="28"/>
                <w:szCs w:val="28"/>
              </w:rPr>
              <w:t>缺陷项目</w:t>
            </w:r>
          </w:p>
        </w:tc>
        <w:tc>
          <w:tcPr>
            <w:tcW w:w="7642" w:type="dxa"/>
            <w:gridSpan w:val="4"/>
            <w:tcBorders>
              <w:top w:val="single" w:color="auto" w:sz="4" w:space="0"/>
              <w:left w:val="single" w:color="auto" w:sz="4" w:space="0"/>
              <w:bottom w:val="single" w:color="auto" w:sz="4" w:space="0"/>
            </w:tcBorders>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560" w:firstLineChars="200"/>
              <w:rPr>
                <w:rFonts w:hint="eastAsia"/>
                <w:sz w:val="28"/>
                <w:szCs w:val="28"/>
                <w:lang w:val="en-US" w:eastAsia="zh-CN"/>
              </w:rPr>
            </w:pPr>
            <w:r>
              <w:rPr>
                <w:rFonts w:hint="default"/>
                <w:sz w:val="28"/>
                <w:szCs w:val="28"/>
              </w:rPr>
              <w:t>经</w:t>
            </w:r>
            <w:r>
              <w:rPr>
                <w:rFonts w:hint="eastAsia"/>
                <w:sz w:val="28"/>
                <w:szCs w:val="28"/>
                <w:lang w:eastAsia="zh-CN"/>
              </w:rPr>
              <w:t>审核</w:t>
            </w:r>
            <w:r>
              <w:rPr>
                <w:rFonts w:hint="default"/>
                <w:sz w:val="28"/>
                <w:szCs w:val="28"/>
              </w:rPr>
              <w:t>现场检查报告和相关材料</w:t>
            </w:r>
            <w:r>
              <w:rPr>
                <w:rFonts w:hint="eastAsia"/>
                <w:sz w:val="28"/>
                <w:szCs w:val="28"/>
                <w:lang w:eastAsia="zh-CN"/>
              </w:rPr>
              <w:t>，现新增</w:t>
            </w:r>
            <w:r>
              <w:rPr>
                <w:rFonts w:hint="eastAsia"/>
                <w:sz w:val="28"/>
                <w:szCs w:val="28"/>
                <w:lang w:val="en-US" w:eastAsia="zh-CN"/>
              </w:rPr>
              <w:t>/调整XXX缺陷，你单位需要对缺陷进行整改，具体缺陷如下：</w:t>
            </w:r>
          </w:p>
          <w:p>
            <w:pPr>
              <w:pStyle w:val="10"/>
              <w:keepNext w:val="0"/>
              <w:keepLines w:val="0"/>
              <w:suppressLineNumbers w:val="0"/>
              <w:spacing w:before="0" w:beforeAutospacing="0" w:after="0" w:afterAutospacing="0"/>
              <w:ind w:left="0"/>
              <w:rPr>
                <w:rFonts w:hint="default"/>
                <w:lang w:val="en-US" w:eastAsia="zh-CN"/>
              </w:rPr>
            </w:pP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560" w:firstLineChars="200"/>
              <w:rPr>
                <w:rFonts w:hint="default"/>
                <w:sz w:val="28"/>
                <w:szCs w:val="28"/>
              </w:rPr>
            </w:pP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560" w:firstLineChars="200"/>
              <w:rPr>
                <w:rFonts w:hint="default"/>
                <w:sz w:val="28"/>
                <w:szCs w:val="28"/>
              </w:rPr>
            </w:pP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2366" w:hRule="atLeast"/>
          <w:jc w:val="center"/>
        </w:trPr>
        <w:tc>
          <w:tcPr>
            <w:tcW w:w="837" w:type="dxa"/>
            <w:tcBorders>
              <w:top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sz w:val="28"/>
                <w:szCs w:val="28"/>
              </w:rPr>
            </w:pPr>
            <w:r>
              <w:rPr>
                <w:rFonts w:hint="default"/>
                <w:sz w:val="28"/>
                <w:szCs w:val="28"/>
                <w:lang w:val="zh-CN"/>
              </w:rPr>
              <w:t>通</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sz w:val="28"/>
                <w:szCs w:val="28"/>
              </w:rPr>
            </w:pPr>
            <w:r>
              <w:rPr>
                <w:rFonts w:hint="default"/>
                <w:sz w:val="28"/>
                <w:szCs w:val="28"/>
                <w:lang w:val="zh-CN"/>
              </w:rPr>
              <w:t>知</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ascii="仿宋_GB2312" w:hAnsi="仿宋_GB2312" w:eastAsia="仿宋_GB2312" w:cs="仿宋_GB2312"/>
                <w:sz w:val="32"/>
                <w:szCs w:val="32"/>
              </w:rPr>
            </w:pPr>
            <w:r>
              <w:rPr>
                <w:rFonts w:hint="default"/>
                <w:sz w:val="28"/>
                <w:szCs w:val="28"/>
                <w:lang w:val="zh-CN"/>
              </w:rPr>
              <w:t>人</w:t>
            </w:r>
          </w:p>
        </w:tc>
        <w:tc>
          <w:tcPr>
            <w:tcW w:w="7642" w:type="dxa"/>
            <w:gridSpan w:val="4"/>
            <w:tcBorders>
              <w:top w:val="single" w:color="auto" w:sz="4" w:space="0"/>
              <w:left w:val="single" w:color="auto" w:sz="4" w:space="0"/>
              <w:bottom w:val="single" w:color="auto" w:sz="4" w:space="0"/>
            </w:tcBorders>
            <w:vAlign w:val="top"/>
          </w:tcPr>
          <w:p>
            <w:pPr>
              <w:keepNext w:val="0"/>
              <w:keepLines w:val="0"/>
              <w:pageBreakBefore w:val="0"/>
              <w:widowControl w:val="0"/>
              <w:suppressLineNumbers w:val="0"/>
              <w:tabs>
                <w:tab w:val="left" w:pos="3132"/>
              </w:tabs>
              <w:kinsoku/>
              <w:wordWrap/>
              <w:overflowPunct/>
              <w:topLinePunct w:val="0"/>
              <w:autoSpaceDE/>
              <w:autoSpaceDN/>
              <w:bidi w:val="0"/>
              <w:spacing w:before="0" w:beforeAutospacing="0" w:after="0" w:afterAutospacing="0" w:line="560" w:lineRule="exact"/>
              <w:ind w:left="0" w:right="0"/>
              <w:rPr>
                <w:rFonts w:hint="default"/>
                <w:sz w:val="28"/>
                <w:szCs w:val="28"/>
              </w:rPr>
            </w:pPr>
            <w:r>
              <w:rPr>
                <w:rFonts w:hint="default"/>
                <w:sz w:val="28"/>
                <w:szCs w:val="28"/>
                <w:lang w:val="zh-CN"/>
              </w:rPr>
              <w:t xml:space="preserve">姓名： </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sz w:val="28"/>
                <w:szCs w:val="28"/>
                <w:lang w:val="zh-CN"/>
              </w:rPr>
            </w:pPr>
            <w:r>
              <w:rPr>
                <w:rFonts w:hint="default"/>
                <w:sz w:val="28"/>
                <w:szCs w:val="28"/>
                <w:lang w:val="zh-CN"/>
              </w:rPr>
              <w:t>电话：</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default"/>
                <w:sz w:val="28"/>
                <w:szCs w:val="28"/>
              </w:rPr>
            </w:pPr>
            <w:r>
              <w:rPr>
                <w:rFonts w:hint="default"/>
                <w:sz w:val="28"/>
                <w:szCs w:val="28"/>
                <w:lang w:val="zh-CN"/>
              </w:rPr>
              <w:t xml:space="preserve">E-mail：        </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rPr>
                <w:rFonts w:hint="eastAsia" w:ascii="仿宋_GB2312" w:hAnsi="仿宋_GB2312" w:eastAsia="仿宋_GB2312" w:cs="仿宋_GB2312"/>
                <w:sz w:val="32"/>
                <w:szCs w:val="32"/>
              </w:rPr>
            </w:pPr>
            <w:r>
              <w:rPr>
                <w:rFonts w:hint="default"/>
                <w:sz w:val="28"/>
                <w:szCs w:val="28"/>
              </w:rPr>
              <w:t>通知时间：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trHeight w:val="1234" w:hRule="atLeast"/>
          <w:jc w:val="center"/>
        </w:trPr>
        <w:tc>
          <w:tcPr>
            <w:tcW w:w="837" w:type="dxa"/>
            <w:tcBorders>
              <w:top w:val="single" w:color="auto" w:sz="4" w:space="0"/>
              <w:bottom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default"/>
                <w:sz w:val="28"/>
                <w:szCs w:val="28"/>
              </w:rPr>
            </w:pPr>
            <w:r>
              <w:rPr>
                <w:rFonts w:hint="default"/>
                <w:sz w:val="28"/>
                <w:szCs w:val="28"/>
              </w:rPr>
              <w:t>注意</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jc w:val="center"/>
              <w:rPr>
                <w:rFonts w:hint="eastAsia" w:ascii="仿宋_GB2312" w:hAnsi="仿宋_GB2312" w:eastAsia="仿宋_GB2312" w:cs="仿宋_GB2312"/>
                <w:sz w:val="32"/>
                <w:szCs w:val="32"/>
              </w:rPr>
            </w:pPr>
            <w:r>
              <w:rPr>
                <w:rFonts w:hint="default"/>
                <w:sz w:val="28"/>
                <w:szCs w:val="28"/>
              </w:rPr>
              <w:t>事项</w:t>
            </w:r>
          </w:p>
        </w:tc>
        <w:tc>
          <w:tcPr>
            <w:tcW w:w="7642" w:type="dxa"/>
            <w:gridSpan w:val="4"/>
            <w:tcBorders>
              <w:top w:val="single" w:color="auto" w:sz="4" w:space="0"/>
              <w:left w:val="single" w:color="auto" w:sz="4" w:space="0"/>
              <w:bottom w:val="single" w:color="auto" w:sz="4" w:space="0"/>
            </w:tcBorders>
            <w:vAlign w:val="top"/>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0" w:firstLine="560" w:firstLineChars="200"/>
              <w:rPr>
                <w:rFonts w:hint="eastAsia" w:ascii="仿宋_GB2312" w:hAnsi="仿宋_GB2312" w:eastAsia="仿宋_GB2312" w:cs="仿宋_GB2312"/>
                <w:sz w:val="32"/>
                <w:szCs w:val="32"/>
              </w:rPr>
            </w:pPr>
            <w:r>
              <w:rPr>
                <w:rFonts w:hint="eastAsia"/>
                <w:sz w:val="28"/>
                <w:szCs w:val="28"/>
              </w:rPr>
              <w:t>被检查单位对检查缺陷有异议的，可以在收到通知单后5个工作日内向检查派出单位提出异议。</w:t>
            </w:r>
          </w:p>
        </w:tc>
      </w:tr>
    </w:tbl>
    <w:p>
      <w:pPr>
        <w:keepNext w:val="0"/>
        <w:keepLines w:val="0"/>
        <w:pageBreakBefore w:val="0"/>
        <w:widowControl w:val="0"/>
        <w:suppressAutoHyphens/>
        <w:kinsoku/>
        <w:wordWrap/>
        <w:overflowPunct/>
        <w:topLinePunct w:val="0"/>
        <w:autoSpaceDE/>
        <w:autoSpaceDN/>
        <w:bidi w:val="0"/>
        <w:spacing w:line="556" w:lineRule="exact"/>
        <w:rPr>
          <w:rFonts w:hint="eastAsia" w:ascii="Times New Roman" w:hAnsi="Times New Roman" w:eastAsia="黑体"/>
          <w:spacing w:val="-6"/>
          <w:sz w:val="32"/>
          <w:szCs w:val="32"/>
        </w:rPr>
      </w:pPr>
      <w:r>
        <w:rPr>
          <w:rFonts w:hint="eastAsia" w:ascii="Times New Roman" w:hAnsi="Times New Roman" w:eastAsia="黑体"/>
          <w:spacing w:val="-6"/>
          <w:sz w:val="32"/>
          <w:szCs w:val="32"/>
        </w:rPr>
        <w:t>附件5</w:t>
      </w:r>
    </w:p>
    <w:p>
      <w:pPr>
        <w:keepNext w:val="0"/>
        <w:keepLines w:val="0"/>
        <w:pageBreakBefore w:val="0"/>
        <w:widowControl w:val="0"/>
        <w:suppressAutoHyphens/>
        <w:kinsoku/>
        <w:wordWrap/>
        <w:overflowPunct/>
        <w:topLinePunct w:val="0"/>
        <w:autoSpaceDE/>
        <w:autoSpaceDN/>
        <w:bidi w:val="0"/>
        <w:adjustRightInd w:val="0"/>
        <w:snapToGrid w:val="0"/>
        <w:spacing w:line="560" w:lineRule="exact"/>
        <w:jc w:val="center"/>
        <w:rPr>
          <w:rFonts w:hint="eastAsia" w:ascii="方正小标宋简体" w:hAnsi="方正小标宋简体" w:eastAsia="方正小标宋简体" w:cs="方正小标宋简体"/>
          <w:spacing w:val="-6"/>
          <w:kern w:val="0"/>
          <w:sz w:val="44"/>
          <w:szCs w:val="44"/>
          <w:lang w:val="zh-CN"/>
        </w:rPr>
      </w:pPr>
      <w:r>
        <w:rPr>
          <w:rFonts w:hint="eastAsia" w:ascii="方正小标宋简体" w:hAnsi="方正小标宋简体" w:eastAsia="方正小标宋简体" w:cs="方正小标宋简体"/>
          <w:spacing w:val="-6"/>
          <w:kern w:val="0"/>
          <w:sz w:val="44"/>
          <w:szCs w:val="44"/>
          <w:lang w:val="zh-CN"/>
        </w:rPr>
        <w:t>药品GMP符合性检查综合评定报告书</w:t>
      </w:r>
    </w:p>
    <w:p>
      <w:pPr>
        <w:keepNext w:val="0"/>
        <w:keepLines w:val="0"/>
        <w:pageBreakBefore w:val="0"/>
        <w:widowControl w:val="0"/>
        <w:kinsoku/>
        <w:wordWrap/>
        <w:overflowPunct/>
        <w:topLinePunct w:val="0"/>
        <w:autoSpaceDE/>
        <w:autoSpaceDN/>
        <w:bidi w:val="0"/>
        <w:adjustRightInd w:val="0"/>
        <w:snapToGrid w:val="0"/>
        <w:spacing w:line="576" w:lineRule="exact"/>
        <w:jc w:val="center"/>
        <w:rPr>
          <w:rFonts w:hint="eastAsia" w:ascii="仿宋_GB2312" w:hAnsi="仿宋_GB2312" w:eastAsia="仿宋_GB2312" w:cs="仿宋_GB2312"/>
          <w:kern w:val="0"/>
          <w:sz w:val="32"/>
          <w:szCs w:val="32"/>
          <w:lang w:val="zh-CN"/>
        </w:rPr>
      </w:pPr>
    </w:p>
    <w:tbl>
      <w:tblPr>
        <w:tblStyle w:val="8"/>
        <w:tblW w:w="95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8"/>
        <w:gridCol w:w="945"/>
        <w:gridCol w:w="1725"/>
        <w:gridCol w:w="2102"/>
        <w:gridCol w:w="34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263" w:type="dxa"/>
            <w:gridSpan w:val="2"/>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ascii="仿宋_GB2312" w:hAnsi="仿宋_GB2312" w:eastAsia="仿宋_GB2312" w:cs="仿宋_GB2312"/>
                <w:color w:val="000000"/>
                <w:sz w:val="32"/>
                <w:szCs w:val="32"/>
              </w:rPr>
            </w:pPr>
            <w:r>
              <w:rPr>
                <w:rFonts w:hint="default"/>
                <w:color w:val="000000"/>
                <w:sz w:val="28"/>
                <w:szCs w:val="28"/>
              </w:rPr>
              <w:t>任务编号</w:t>
            </w:r>
          </w:p>
        </w:tc>
        <w:tc>
          <w:tcPr>
            <w:tcW w:w="1725"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ascii="仿宋_GB2312" w:hAnsi="仿宋_GB2312" w:eastAsia="仿宋_GB2312" w:cs="仿宋_GB2312"/>
                <w:color w:val="000000"/>
                <w:sz w:val="32"/>
                <w:szCs w:val="32"/>
              </w:rPr>
            </w:pPr>
          </w:p>
        </w:tc>
        <w:tc>
          <w:tcPr>
            <w:tcW w:w="2102"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ascii="仿宋_GB2312" w:hAnsi="仿宋_GB2312" w:eastAsia="仿宋_GB2312" w:cs="仿宋_GB2312"/>
                <w:color w:val="000000"/>
                <w:sz w:val="32"/>
                <w:szCs w:val="32"/>
              </w:rPr>
            </w:pPr>
            <w:r>
              <w:rPr>
                <w:rFonts w:hint="default"/>
                <w:color w:val="000000"/>
                <w:sz w:val="28"/>
                <w:szCs w:val="28"/>
              </w:rPr>
              <w:t>检查</w:t>
            </w:r>
            <w:r>
              <w:rPr>
                <w:rFonts w:hint="eastAsia"/>
                <w:color w:val="000000"/>
                <w:sz w:val="28"/>
                <w:szCs w:val="28"/>
                <w:lang w:eastAsia="zh-CN"/>
              </w:rPr>
              <w:t>类型</w:t>
            </w:r>
          </w:p>
        </w:tc>
        <w:tc>
          <w:tcPr>
            <w:tcW w:w="3490"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left"/>
              <w:rPr>
                <w:rFonts w:hint="eastAsia" w:ascii="仿宋_GB2312" w:hAnsi="仿宋_GB2312" w:eastAsia="仿宋_GB2312" w:cs="仿宋_GB2312"/>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263" w:type="dxa"/>
            <w:gridSpan w:val="2"/>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eastAsia="宋体"/>
                <w:color w:val="000000"/>
                <w:sz w:val="28"/>
                <w:szCs w:val="28"/>
                <w:lang w:eastAsia="zh-CN"/>
              </w:rPr>
            </w:pPr>
            <w:r>
              <w:rPr>
                <w:rFonts w:hint="eastAsia"/>
                <w:color w:val="000000"/>
                <w:sz w:val="28"/>
                <w:szCs w:val="28"/>
                <w:lang w:eastAsia="zh-CN"/>
              </w:rPr>
              <w:t>被检查单位名称</w:t>
            </w:r>
          </w:p>
        </w:tc>
        <w:tc>
          <w:tcPr>
            <w:tcW w:w="7317"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left"/>
              <w:rPr>
                <w:rFonts w:hint="eastAsia" w:ascii="仿宋_GB2312" w:hAnsi="仿宋_GB2312" w:eastAsia="仿宋_GB2312" w:cs="仿宋_GB2312"/>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263" w:type="dxa"/>
            <w:gridSpan w:val="2"/>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color w:val="000000"/>
                <w:sz w:val="28"/>
                <w:szCs w:val="28"/>
                <w:lang w:eastAsia="zh-CN"/>
              </w:rPr>
            </w:pPr>
            <w:r>
              <w:rPr>
                <w:rFonts w:hint="eastAsia"/>
                <w:color w:val="000000"/>
                <w:sz w:val="28"/>
                <w:szCs w:val="28"/>
                <w:lang w:eastAsia="zh-CN"/>
              </w:rPr>
              <w:t>检查地址</w:t>
            </w:r>
          </w:p>
        </w:tc>
        <w:tc>
          <w:tcPr>
            <w:tcW w:w="7317"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left"/>
              <w:rPr>
                <w:rFonts w:hint="eastAsia" w:ascii="仿宋_GB2312" w:hAnsi="仿宋_GB2312" w:eastAsia="仿宋_GB2312" w:cs="仿宋_GB2312"/>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263" w:type="dxa"/>
            <w:gridSpan w:val="2"/>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color w:val="000000"/>
                <w:sz w:val="28"/>
                <w:szCs w:val="28"/>
                <w:lang w:eastAsia="zh-CN"/>
              </w:rPr>
            </w:pPr>
            <w:r>
              <w:rPr>
                <w:rFonts w:hint="eastAsia"/>
                <w:color w:val="000000"/>
                <w:sz w:val="28"/>
                <w:szCs w:val="28"/>
                <w:lang w:eastAsia="zh-CN"/>
              </w:rPr>
              <w:t>检查范围及相关车间、生产线</w:t>
            </w:r>
          </w:p>
        </w:tc>
        <w:tc>
          <w:tcPr>
            <w:tcW w:w="7317"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left"/>
              <w:rPr>
                <w:rFonts w:hint="eastAsia" w:ascii="仿宋_GB2312" w:hAnsi="仿宋_GB2312" w:eastAsia="仿宋_GB2312" w:cs="仿宋_GB2312"/>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263" w:type="dxa"/>
            <w:gridSpan w:val="2"/>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color w:val="000000"/>
                <w:sz w:val="28"/>
                <w:szCs w:val="28"/>
                <w:lang w:eastAsia="zh-CN"/>
              </w:rPr>
            </w:pPr>
            <w:r>
              <w:rPr>
                <w:rFonts w:hint="eastAsia"/>
                <w:color w:val="000000"/>
                <w:sz w:val="28"/>
                <w:szCs w:val="28"/>
                <w:lang w:eastAsia="zh-CN"/>
              </w:rPr>
              <w:t>检查依据</w:t>
            </w:r>
          </w:p>
        </w:tc>
        <w:tc>
          <w:tcPr>
            <w:tcW w:w="7317"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left"/>
              <w:rPr>
                <w:rFonts w:hint="eastAsia" w:ascii="仿宋_GB2312" w:hAnsi="仿宋_GB2312" w:eastAsia="仿宋_GB2312" w:cs="仿宋_GB2312"/>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263" w:type="dxa"/>
            <w:gridSpan w:val="2"/>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color w:val="000000"/>
                <w:sz w:val="28"/>
                <w:szCs w:val="28"/>
                <w:lang w:eastAsia="zh-CN"/>
              </w:rPr>
            </w:pPr>
            <w:r>
              <w:rPr>
                <w:rFonts w:hint="eastAsia"/>
                <w:color w:val="000000"/>
                <w:sz w:val="28"/>
                <w:szCs w:val="28"/>
                <w:lang w:eastAsia="zh-CN"/>
              </w:rPr>
              <w:t>检查人员</w:t>
            </w:r>
          </w:p>
        </w:tc>
        <w:tc>
          <w:tcPr>
            <w:tcW w:w="7317"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left"/>
              <w:rPr>
                <w:rFonts w:hint="eastAsia" w:ascii="仿宋_GB2312" w:hAnsi="仿宋_GB2312" w:eastAsia="仿宋_GB2312" w:cs="仿宋_GB2312"/>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263" w:type="dxa"/>
            <w:gridSpan w:val="2"/>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ascii="仿宋_GB2312" w:hAnsi="仿宋_GB2312" w:eastAsia="仿宋_GB2312" w:cs="仿宋_GB2312"/>
                <w:color w:val="000000"/>
                <w:sz w:val="32"/>
                <w:szCs w:val="32"/>
              </w:rPr>
            </w:pPr>
            <w:r>
              <w:rPr>
                <w:rFonts w:hint="default"/>
                <w:color w:val="000000"/>
                <w:sz w:val="28"/>
                <w:szCs w:val="28"/>
              </w:rPr>
              <w:t>检查时间</w:t>
            </w:r>
          </w:p>
        </w:tc>
        <w:tc>
          <w:tcPr>
            <w:tcW w:w="7317"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ascii="仿宋_GB2312" w:hAnsi="仿宋_GB2312" w:eastAsia="仿宋_GB2312" w:cs="仿宋_GB2312"/>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263" w:type="dxa"/>
            <w:gridSpan w:val="2"/>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ascii="仿宋_GB2312" w:hAnsi="仿宋_GB2312" w:eastAsia="仿宋_GB2312" w:cs="仿宋_GB2312"/>
                <w:color w:val="000000"/>
                <w:sz w:val="32"/>
                <w:szCs w:val="32"/>
              </w:rPr>
            </w:pPr>
            <w:r>
              <w:rPr>
                <w:rFonts w:hint="default"/>
                <w:color w:val="000000"/>
                <w:sz w:val="28"/>
                <w:szCs w:val="28"/>
              </w:rPr>
              <w:t>现场检查结论</w:t>
            </w:r>
          </w:p>
        </w:tc>
        <w:tc>
          <w:tcPr>
            <w:tcW w:w="7317" w:type="dxa"/>
            <w:gridSpan w:val="3"/>
            <w:vAlign w:val="center"/>
          </w:tcPr>
          <w:p>
            <w:pPr>
              <w:pStyle w:val="4"/>
              <w:keepNext w:val="0"/>
              <w:keepLines w:val="0"/>
              <w:pageBreakBefore w:val="0"/>
              <w:widowControl w:val="0"/>
              <w:suppressLineNumbers w:val="0"/>
              <w:shd w:val="clear" w:color="auto" w:fill="FFFFFF"/>
              <w:kinsoku/>
              <w:wordWrap/>
              <w:overflowPunct/>
              <w:topLinePunct w:val="0"/>
              <w:autoSpaceDE/>
              <w:autoSpaceDN/>
              <w:bidi w:val="0"/>
              <w:spacing w:before="0" w:beforeAutospacing="0" w:after="0" w:afterAutospacing="0" w:line="560" w:lineRule="exact"/>
              <w:ind w:left="0" w:right="0"/>
              <w:jc w:val="center"/>
              <w:rPr>
                <w:rFonts w:hint="eastAsia" w:ascii="仿宋_GB2312" w:hAnsi="仿宋_GB2312" w:eastAsia="仿宋_GB2312" w:cs="仿宋_GB2312"/>
                <w:color w:val="000000"/>
                <w:kern w:val="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580" w:type="dxa"/>
            <w:gridSpan w:val="5"/>
            <w:vAlign w:val="top"/>
          </w:tcPr>
          <w:p>
            <w:pPr>
              <w:keepNext w:val="0"/>
              <w:keepLines w:val="0"/>
              <w:pageBreakBefore w:val="0"/>
              <w:widowControl w:val="0"/>
              <w:suppressLineNumbers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before="0" w:beforeAutospacing="0" w:after="0" w:afterAutospacing="0" w:line="560" w:lineRule="exact"/>
              <w:ind w:left="0" w:right="0"/>
              <w:jc w:val="left"/>
              <w:rPr>
                <w:rFonts w:hint="default"/>
                <w:b/>
                <w:bCs/>
                <w:color w:val="000000"/>
                <w:sz w:val="28"/>
                <w:szCs w:val="28"/>
              </w:rPr>
            </w:pPr>
            <w:r>
              <w:rPr>
                <w:rFonts w:hint="default"/>
                <w:b/>
                <w:bCs/>
                <w:color w:val="000000"/>
                <w:sz w:val="28"/>
                <w:szCs w:val="28"/>
              </w:rPr>
              <w:t>检查情况概述：</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142" w:rightChars="0"/>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9580" w:type="dxa"/>
            <w:gridSpan w:val="5"/>
            <w:vAlign w:val="center"/>
          </w:tcPr>
          <w:p>
            <w:pPr>
              <w:keepNext w:val="0"/>
              <w:keepLines w:val="0"/>
              <w:pageBreakBefore w:val="0"/>
              <w:widowControl w:val="0"/>
              <w:suppressLineNumbers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before="0" w:beforeAutospacing="0" w:after="0" w:afterAutospacing="0" w:line="560" w:lineRule="exact"/>
              <w:ind w:left="0" w:right="0"/>
              <w:jc w:val="left"/>
              <w:rPr>
                <w:rFonts w:hint="default"/>
                <w:b/>
                <w:bCs/>
                <w:color w:val="000000"/>
                <w:sz w:val="28"/>
                <w:szCs w:val="28"/>
              </w:rPr>
            </w:pPr>
            <w:r>
              <w:rPr>
                <w:rFonts w:hint="default"/>
                <w:b/>
                <w:bCs/>
                <w:color w:val="000000"/>
                <w:sz w:val="28"/>
                <w:szCs w:val="28"/>
              </w:rPr>
              <w:t>现场检查发现问题：</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142" w:rightChars="0"/>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9580" w:type="dxa"/>
            <w:gridSpan w:val="5"/>
            <w:vAlign w:val="center"/>
          </w:tcPr>
          <w:p>
            <w:pPr>
              <w:keepNext w:val="0"/>
              <w:keepLines w:val="0"/>
              <w:pageBreakBefore w:val="0"/>
              <w:widowControl w:val="0"/>
              <w:suppressLineNumbers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before="0" w:beforeAutospacing="0" w:after="0" w:afterAutospacing="0" w:line="560" w:lineRule="exact"/>
              <w:ind w:left="0" w:right="0"/>
              <w:jc w:val="left"/>
              <w:rPr>
                <w:rFonts w:hint="default"/>
                <w:b/>
                <w:bCs/>
                <w:color w:val="000000"/>
                <w:sz w:val="28"/>
                <w:szCs w:val="28"/>
              </w:rPr>
            </w:pPr>
            <w:r>
              <w:rPr>
                <w:rFonts w:hint="default"/>
                <w:b/>
                <w:bCs/>
                <w:color w:val="000000"/>
                <w:sz w:val="28"/>
                <w:szCs w:val="28"/>
              </w:rPr>
              <w:t>检查报告审核意见：</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142" w:rightChars="0"/>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5" w:hRule="atLeast"/>
          <w:jc w:val="center"/>
        </w:trPr>
        <w:tc>
          <w:tcPr>
            <w:tcW w:w="9580" w:type="dxa"/>
            <w:gridSpan w:val="5"/>
            <w:vAlign w:val="center"/>
          </w:tcPr>
          <w:p>
            <w:pPr>
              <w:keepNext w:val="0"/>
              <w:keepLines w:val="0"/>
              <w:pageBreakBefore w:val="0"/>
              <w:widowControl w:val="0"/>
              <w:suppressLineNumbers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before="0" w:beforeAutospacing="0" w:after="0" w:afterAutospacing="0" w:line="560" w:lineRule="exact"/>
              <w:ind w:left="0" w:right="0"/>
              <w:jc w:val="left"/>
              <w:rPr>
                <w:rFonts w:hint="default"/>
                <w:b/>
                <w:bCs/>
                <w:color w:val="000000"/>
                <w:sz w:val="28"/>
                <w:szCs w:val="28"/>
              </w:rPr>
            </w:pPr>
            <w:r>
              <w:rPr>
                <w:rFonts w:hint="default"/>
                <w:b/>
                <w:bCs/>
                <w:color w:val="000000"/>
                <w:sz w:val="28"/>
                <w:szCs w:val="28"/>
              </w:rPr>
              <w:t>整改落实情况：</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142" w:right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对于现场检查结论为待整改后评定的，应描述对被检查单位整改材料审核、必要的现场复核及会审情况，明确被检查单位整改后质量管理体系是否能够有效运行。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5" w:hRule="atLeast"/>
          <w:jc w:val="center"/>
        </w:trPr>
        <w:tc>
          <w:tcPr>
            <w:tcW w:w="9580" w:type="dxa"/>
            <w:gridSpan w:val="5"/>
            <w:vAlign w:val="center"/>
          </w:tcPr>
          <w:p>
            <w:pPr>
              <w:keepNext w:val="0"/>
              <w:keepLines w:val="0"/>
              <w:pageBreakBefore w:val="0"/>
              <w:widowControl w:val="0"/>
              <w:suppressLineNumbers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before="0" w:beforeAutospacing="0" w:after="0" w:afterAutospacing="0" w:line="560" w:lineRule="exact"/>
              <w:ind w:left="0" w:right="0"/>
              <w:jc w:val="left"/>
              <w:rPr>
                <w:rFonts w:hint="default"/>
                <w:b/>
                <w:bCs/>
                <w:color w:val="000000"/>
                <w:sz w:val="28"/>
                <w:szCs w:val="28"/>
              </w:rPr>
            </w:pPr>
            <w:r>
              <w:rPr>
                <w:rFonts w:hint="default"/>
                <w:b/>
                <w:bCs/>
                <w:color w:val="000000"/>
                <w:sz w:val="28"/>
                <w:szCs w:val="28"/>
              </w:rPr>
              <w:t>相关说明：</w:t>
            </w:r>
          </w:p>
          <w:p>
            <w:pPr>
              <w:keepNext w:val="0"/>
              <w:keepLines w:val="0"/>
              <w:pageBreakBefore w:val="0"/>
              <w:widowControl w:val="0"/>
              <w:suppressLineNumbers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before="0" w:beforeAutospacing="0" w:after="0" w:afterAutospacing="0" w:line="560" w:lineRule="exact"/>
              <w:ind w:left="0" w:right="0"/>
              <w:jc w:val="left"/>
              <w:rPr>
                <w:rFonts w:hint="eastAsia" w:ascii="仿宋_GB2312" w:hAnsi="仿宋_GB2312" w:eastAsia="仿宋_GB2312" w:cs="仿宋_GB2312"/>
                <w:b/>
                <w:bCs/>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50" w:hRule="atLeast"/>
          <w:jc w:val="center"/>
        </w:trPr>
        <w:tc>
          <w:tcPr>
            <w:tcW w:w="9580" w:type="dxa"/>
            <w:gridSpan w:val="5"/>
            <w:vAlign w:val="center"/>
          </w:tcPr>
          <w:p>
            <w:pPr>
              <w:keepNext w:val="0"/>
              <w:keepLines w:val="0"/>
              <w:pageBreakBefore w:val="0"/>
              <w:widowControl w:val="0"/>
              <w:suppressLineNumbers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before="0" w:beforeAutospacing="0" w:after="0" w:afterAutospacing="0" w:line="560" w:lineRule="exact"/>
              <w:ind w:left="0" w:right="0"/>
              <w:jc w:val="left"/>
              <w:rPr>
                <w:rFonts w:hint="default"/>
                <w:b/>
                <w:bCs/>
                <w:color w:val="000000"/>
                <w:sz w:val="28"/>
                <w:szCs w:val="28"/>
              </w:rPr>
            </w:pPr>
            <w:r>
              <w:rPr>
                <w:rFonts w:hint="default"/>
                <w:b/>
                <w:bCs/>
                <w:color w:val="000000"/>
                <w:sz w:val="28"/>
                <w:szCs w:val="28"/>
              </w:rPr>
              <w:t>综合评定意见：</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142" w:right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基于……，综合评定结论为：符合要求／不符合要求。</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142" w:right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基于现场检查和风险研判情况，提出如下工作建议（如有）:</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142" w:right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142" w:right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w:t>
            </w:r>
          </w:p>
          <w:p>
            <w:pPr>
              <w:pStyle w:val="10"/>
              <w:keepNext w:val="0"/>
              <w:keepLines w:val="0"/>
              <w:pageBreakBefore w:val="0"/>
              <w:widowControl w:val="0"/>
              <w:suppressLineNumbers w:val="0"/>
              <w:kinsoku/>
              <w:wordWrap/>
              <w:overflowPunct/>
              <w:topLinePunct w:val="0"/>
              <w:autoSpaceDE/>
              <w:autoSpaceDN/>
              <w:bidi w:val="0"/>
              <w:spacing w:before="0" w:beforeAutospacing="0" w:after="0" w:afterAutospacing="0" w:line="560" w:lineRule="exact"/>
              <w:ind w:left="0" w:right="142" w:rightChars="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36" w:hRule="atLeast"/>
          <w:jc w:val="center"/>
        </w:trPr>
        <w:tc>
          <w:tcPr>
            <w:tcW w:w="9580" w:type="dxa"/>
            <w:gridSpan w:val="5"/>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289" w:beforeLines="50" w:beforeAutospacing="0" w:after="0" w:afterAutospacing="0" w:line="560" w:lineRule="exact"/>
              <w:ind w:left="0" w:right="0"/>
              <w:rPr>
                <w:rFonts w:hint="default"/>
                <w:color w:val="000000"/>
                <w:sz w:val="28"/>
                <w:szCs w:val="28"/>
              </w:rPr>
            </w:pPr>
            <w:r>
              <w:rPr>
                <w:rFonts w:hint="eastAsia"/>
                <w:color w:val="000000"/>
                <w:sz w:val="28"/>
                <w:szCs w:val="28"/>
                <w:lang w:eastAsia="zh-CN"/>
              </w:rPr>
              <w:t>藏药审评中心</w:t>
            </w:r>
            <w:r>
              <w:rPr>
                <w:rFonts w:hint="default"/>
                <w:color w:val="000000"/>
                <w:sz w:val="28"/>
                <w:szCs w:val="28"/>
              </w:rPr>
              <w:t>（盖章）：</w:t>
            </w:r>
          </w:p>
          <w:p>
            <w:pPr>
              <w:keepNext w:val="0"/>
              <w:keepLines w:val="0"/>
              <w:pageBreakBefore w:val="0"/>
              <w:widowControl w:val="0"/>
              <w:suppressLineNumbers w:val="0"/>
              <w:kinsoku/>
              <w:wordWrap/>
              <w:overflowPunct/>
              <w:topLinePunct w:val="0"/>
              <w:autoSpaceDE/>
              <w:autoSpaceDN/>
              <w:bidi w:val="0"/>
              <w:adjustRightInd w:val="0"/>
              <w:snapToGrid w:val="0"/>
              <w:spacing w:before="289" w:beforeLines="50" w:beforeAutospacing="0" w:after="0" w:afterAutospacing="0" w:line="560" w:lineRule="exact"/>
              <w:ind w:left="0" w:right="0"/>
              <w:jc w:val="center"/>
              <w:rPr>
                <w:rFonts w:hint="eastAsia" w:ascii="仿宋_GB2312" w:hAnsi="仿宋_GB2312" w:eastAsia="仿宋_GB2312" w:cs="仿宋_GB2312"/>
                <w:color w:val="000000"/>
                <w:sz w:val="32"/>
                <w:szCs w:val="32"/>
              </w:rPr>
            </w:pPr>
            <w:r>
              <w:rPr>
                <w:rFonts w:hint="default"/>
                <w:color w:val="000000"/>
                <w:sz w:val="28"/>
                <w:szCs w:val="28"/>
              </w:rPr>
              <w:t xml:space="preserve">                   </w:t>
            </w:r>
            <w:r>
              <w:rPr>
                <w:rFonts w:hint="eastAsia"/>
                <w:color w:val="000000"/>
                <w:sz w:val="28"/>
                <w:szCs w:val="28"/>
                <w:lang w:val="en-US" w:eastAsia="zh-CN"/>
              </w:rPr>
              <w:t xml:space="preserve">   </w:t>
            </w:r>
            <w:r>
              <w:rPr>
                <w:rFonts w:hint="default"/>
                <w:color w:val="000000"/>
                <w:sz w:val="28"/>
                <w:szCs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9" w:hRule="atLeast"/>
          <w:jc w:val="center"/>
        </w:trPr>
        <w:tc>
          <w:tcPr>
            <w:tcW w:w="1318"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289" w:beforeLines="50" w:beforeAutospacing="0" w:after="0" w:afterAutospacing="0" w:line="560" w:lineRule="exact"/>
              <w:ind w:left="0" w:right="0"/>
              <w:jc w:val="center"/>
              <w:rPr>
                <w:rFonts w:hint="eastAsia" w:eastAsia="宋体"/>
                <w:color w:val="000000"/>
                <w:sz w:val="28"/>
                <w:szCs w:val="28"/>
                <w:lang w:eastAsia="zh-CN"/>
              </w:rPr>
            </w:pPr>
            <w:r>
              <w:rPr>
                <w:rFonts w:hint="eastAsia"/>
                <w:color w:val="000000"/>
                <w:sz w:val="28"/>
                <w:szCs w:val="28"/>
                <w:lang w:eastAsia="zh-CN"/>
              </w:rPr>
              <w:t>附件</w:t>
            </w:r>
          </w:p>
        </w:tc>
        <w:tc>
          <w:tcPr>
            <w:tcW w:w="8262" w:type="dxa"/>
            <w:gridSpan w:val="4"/>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289" w:beforeLines="50" w:beforeAutospacing="0" w:after="0" w:afterAutospacing="0" w:line="560" w:lineRule="exact"/>
              <w:ind w:left="0" w:right="0"/>
              <w:jc w:val="center"/>
              <w:rPr>
                <w:rFonts w:hint="eastAsia" w:eastAsia="宋体"/>
                <w:color w:val="000000"/>
                <w:sz w:val="28"/>
                <w:szCs w:val="28"/>
                <w:lang w:eastAsia="zh-CN"/>
              </w:rPr>
            </w:pPr>
            <w:r>
              <w:rPr>
                <w:rFonts w:hint="eastAsia"/>
                <w:color w:val="000000"/>
                <w:sz w:val="28"/>
                <w:szCs w:val="28"/>
                <w:lang w:eastAsia="zh-CN"/>
              </w:rPr>
              <w:t>《现场检查报告》《现场检查不符合项情况》、整改资料等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7" w:hRule="atLeast"/>
          <w:jc w:val="center"/>
        </w:trPr>
        <w:tc>
          <w:tcPr>
            <w:tcW w:w="1318"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289" w:beforeLines="50" w:beforeAutospacing="0" w:after="0" w:afterAutospacing="0" w:line="560" w:lineRule="exact"/>
              <w:ind w:left="0" w:right="0"/>
              <w:jc w:val="center"/>
              <w:rPr>
                <w:rFonts w:hint="default"/>
                <w:color w:val="000000"/>
                <w:sz w:val="28"/>
                <w:szCs w:val="28"/>
              </w:rPr>
            </w:pPr>
          </w:p>
        </w:tc>
        <w:tc>
          <w:tcPr>
            <w:tcW w:w="8262" w:type="dxa"/>
            <w:gridSpan w:val="4"/>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289" w:beforeLines="50" w:beforeAutospacing="0" w:after="0" w:afterAutospacing="0" w:line="560" w:lineRule="exact"/>
              <w:ind w:left="0" w:right="0"/>
              <w:jc w:val="center"/>
              <w:rPr>
                <w:rFonts w:hint="default"/>
                <w:color w:val="000000"/>
                <w:sz w:val="28"/>
                <w:szCs w:val="28"/>
              </w:rPr>
            </w:pPr>
          </w:p>
        </w:tc>
      </w:tr>
    </w:tbl>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bCs/>
          <w:color w:val="000000"/>
          <w:spacing w:val="0"/>
          <w:kern w:val="0"/>
          <w:sz w:val="32"/>
          <w:szCs w:val="32"/>
          <w:lang w:bidi="ar"/>
        </w:rPr>
      </w:pPr>
    </w:p>
    <w:p>
      <w:pPr>
        <w:keepNext w:val="0"/>
        <w:keepLines w:val="0"/>
        <w:pageBreakBefore w:val="0"/>
        <w:widowControl w:val="0"/>
        <w:kinsoku/>
        <w:wordWrap/>
        <w:overflowPunct/>
        <w:topLinePunct w:val="0"/>
        <w:autoSpaceDE/>
        <w:autoSpaceDN/>
        <w:bidi w:val="0"/>
        <w:spacing w:line="576" w:lineRule="exact"/>
        <w:rPr>
          <w:rFonts w:hint="eastAsia" w:ascii="仿宋_GB2312" w:hAnsi="仿宋_GB2312" w:eastAsia="仿宋_GB2312" w:cs="仿宋_GB2312"/>
          <w:bCs/>
          <w:color w:val="000000"/>
          <w:spacing w:val="0"/>
          <w:kern w:val="0"/>
          <w:sz w:val="32"/>
          <w:szCs w:val="32"/>
          <w:lang w:bidi="ar"/>
        </w:rPr>
      </w:pPr>
    </w:p>
    <w:p>
      <w:pPr>
        <w:pStyle w:val="10"/>
        <w:keepNext w:val="0"/>
        <w:keepLines w:val="0"/>
        <w:pageBreakBefore w:val="0"/>
        <w:widowControl w:val="0"/>
        <w:kinsoku/>
        <w:wordWrap/>
        <w:overflowPunct/>
        <w:topLinePunct w:val="0"/>
        <w:autoSpaceDE/>
        <w:autoSpaceDN/>
        <w:bidi w:val="0"/>
        <w:rPr>
          <w:rFonts w:hint="eastAsia" w:ascii="仿宋_GB2312" w:hAnsi="仿宋_GB2312" w:eastAsia="仿宋_GB2312" w:cs="仿宋_GB2312"/>
          <w:bCs/>
          <w:color w:val="000000"/>
          <w:spacing w:val="0"/>
          <w:kern w:val="0"/>
          <w:sz w:val="32"/>
          <w:szCs w:val="32"/>
          <w:lang w:bidi="ar"/>
        </w:rPr>
      </w:pPr>
    </w:p>
    <w:p>
      <w:pPr>
        <w:pStyle w:val="10"/>
        <w:keepNext w:val="0"/>
        <w:keepLines w:val="0"/>
        <w:pageBreakBefore w:val="0"/>
        <w:widowControl w:val="0"/>
        <w:kinsoku/>
        <w:wordWrap/>
        <w:overflowPunct/>
        <w:topLinePunct w:val="0"/>
        <w:autoSpaceDE/>
        <w:autoSpaceDN/>
        <w:bidi w:val="0"/>
        <w:rPr>
          <w:rFonts w:hint="eastAsia" w:ascii="仿宋_GB2312" w:hAnsi="仿宋_GB2312" w:eastAsia="仿宋_GB2312" w:cs="仿宋_GB2312"/>
          <w:bCs/>
          <w:color w:val="000000"/>
          <w:spacing w:val="0"/>
          <w:kern w:val="0"/>
          <w:sz w:val="32"/>
          <w:szCs w:val="32"/>
          <w:lang w:bidi="ar"/>
        </w:rPr>
      </w:pPr>
    </w:p>
    <w:p>
      <w:pPr>
        <w:pStyle w:val="10"/>
        <w:keepNext w:val="0"/>
        <w:keepLines w:val="0"/>
        <w:pageBreakBefore w:val="0"/>
        <w:widowControl w:val="0"/>
        <w:kinsoku/>
        <w:wordWrap/>
        <w:overflowPunct/>
        <w:topLinePunct w:val="0"/>
        <w:autoSpaceDE/>
        <w:autoSpaceDN/>
        <w:bidi w:val="0"/>
        <w:rPr>
          <w:rFonts w:hint="eastAsia" w:ascii="仿宋_GB2312" w:hAnsi="仿宋_GB2312" w:eastAsia="仿宋_GB2312" w:cs="仿宋_GB2312"/>
          <w:bCs/>
          <w:color w:val="000000"/>
          <w:spacing w:val="0"/>
          <w:kern w:val="0"/>
          <w:sz w:val="32"/>
          <w:szCs w:val="32"/>
          <w:lang w:bidi="ar"/>
        </w:rPr>
      </w:pPr>
    </w:p>
    <w:p>
      <w:pPr>
        <w:pStyle w:val="10"/>
        <w:keepNext w:val="0"/>
        <w:keepLines w:val="0"/>
        <w:pageBreakBefore w:val="0"/>
        <w:widowControl w:val="0"/>
        <w:kinsoku/>
        <w:wordWrap/>
        <w:overflowPunct/>
        <w:topLinePunct w:val="0"/>
        <w:autoSpaceDE/>
        <w:autoSpaceDN/>
        <w:bidi w:val="0"/>
        <w:rPr>
          <w:rFonts w:hint="eastAsia" w:ascii="仿宋_GB2312" w:hAnsi="仿宋_GB2312" w:eastAsia="仿宋_GB2312" w:cs="仿宋_GB2312"/>
          <w:bCs/>
          <w:color w:val="000000"/>
          <w:spacing w:val="0"/>
          <w:kern w:val="0"/>
          <w:sz w:val="32"/>
          <w:szCs w:val="32"/>
          <w:lang w:bidi="ar"/>
        </w:rPr>
      </w:pPr>
    </w:p>
    <w:p>
      <w:pPr>
        <w:pStyle w:val="10"/>
        <w:keepNext w:val="0"/>
        <w:keepLines w:val="0"/>
        <w:pageBreakBefore w:val="0"/>
        <w:widowControl w:val="0"/>
        <w:kinsoku/>
        <w:wordWrap/>
        <w:overflowPunct/>
        <w:topLinePunct w:val="0"/>
        <w:autoSpaceDE/>
        <w:autoSpaceDN/>
        <w:bidi w:val="0"/>
        <w:rPr>
          <w:rFonts w:hint="eastAsia" w:ascii="仿宋_GB2312" w:hAnsi="仿宋_GB2312" w:eastAsia="仿宋_GB2312" w:cs="仿宋_GB2312"/>
          <w:bCs/>
          <w:color w:val="000000"/>
          <w:spacing w:val="0"/>
          <w:kern w:val="0"/>
          <w:sz w:val="32"/>
          <w:szCs w:val="32"/>
          <w:lang w:bidi="ar"/>
        </w:rPr>
      </w:pPr>
    </w:p>
    <w:p>
      <w:pPr>
        <w:pStyle w:val="10"/>
        <w:keepNext w:val="0"/>
        <w:keepLines w:val="0"/>
        <w:pageBreakBefore w:val="0"/>
        <w:widowControl w:val="0"/>
        <w:kinsoku/>
        <w:wordWrap/>
        <w:overflowPunct/>
        <w:topLinePunct w:val="0"/>
        <w:autoSpaceDE/>
        <w:autoSpaceDN/>
        <w:bidi w:val="0"/>
        <w:rPr>
          <w:rFonts w:hint="eastAsia" w:ascii="仿宋_GB2312" w:hAnsi="仿宋_GB2312" w:eastAsia="仿宋_GB2312" w:cs="仿宋_GB2312"/>
          <w:bCs/>
          <w:color w:val="000000"/>
          <w:spacing w:val="0"/>
          <w:kern w:val="0"/>
          <w:sz w:val="32"/>
          <w:szCs w:val="32"/>
          <w:lang w:bidi="ar"/>
        </w:rPr>
      </w:pPr>
    </w:p>
    <w:p>
      <w:pPr>
        <w:keepNext w:val="0"/>
        <w:keepLines w:val="0"/>
        <w:pageBreakBefore w:val="0"/>
        <w:widowControl w:val="0"/>
        <w:suppressAutoHyphens/>
        <w:kinsoku/>
        <w:wordWrap/>
        <w:overflowPunct/>
        <w:topLinePunct w:val="0"/>
        <w:autoSpaceDE/>
        <w:autoSpaceDN/>
        <w:bidi w:val="0"/>
        <w:spacing w:line="556" w:lineRule="exact"/>
        <w:rPr>
          <w:rFonts w:hint="eastAsia" w:ascii="Times New Roman" w:hAnsi="Times New Roman" w:eastAsia="黑体"/>
          <w:spacing w:val="-6"/>
          <w:sz w:val="32"/>
          <w:szCs w:val="32"/>
        </w:rPr>
      </w:pPr>
      <w:r>
        <w:rPr>
          <w:rFonts w:hint="eastAsia" w:ascii="Times New Roman" w:hAnsi="Times New Roman" w:eastAsia="黑体"/>
          <w:spacing w:val="-6"/>
          <w:sz w:val="32"/>
          <w:szCs w:val="32"/>
        </w:rPr>
        <w:t>附件6</w:t>
      </w:r>
    </w:p>
    <w:p>
      <w:pPr>
        <w:keepNext w:val="0"/>
        <w:keepLines w:val="0"/>
        <w:pageBreakBefore w:val="0"/>
        <w:widowControl w:val="0"/>
        <w:kinsoku/>
        <w:wordWrap/>
        <w:overflowPunct/>
        <w:topLinePunct w:val="0"/>
        <w:autoSpaceDE/>
        <w:autoSpaceDN/>
        <w:bidi w:val="0"/>
        <w:spacing w:line="560" w:lineRule="exact"/>
        <w:rPr>
          <w:rFonts w:eastAsia="微软雅黑"/>
          <w:b/>
          <w:color w:val="000000"/>
          <w:spacing w:val="0"/>
          <w:kern w:val="0"/>
          <w:sz w:val="36"/>
          <w:szCs w:val="36"/>
          <w:lang w:bidi="ar"/>
        </w:rPr>
      </w:pPr>
    </w:p>
    <w:p>
      <w:pPr>
        <w:keepNext w:val="0"/>
        <w:keepLines w:val="0"/>
        <w:pageBreakBefore w:val="0"/>
        <w:widowControl w:val="0"/>
        <w:kinsoku/>
        <w:wordWrap/>
        <w:overflowPunct/>
        <w:topLinePunct w:val="0"/>
        <w:autoSpaceDE/>
        <w:autoSpaceDN/>
        <w:bidi w:val="0"/>
        <w:spacing w:line="560" w:lineRule="exact"/>
        <w:jc w:val="center"/>
        <w:rPr>
          <w:rFonts w:hint="eastAsia" w:ascii="方正小标宋简体" w:hAnsi="方正小标宋简体" w:eastAsia="方正小标宋简体" w:cs="方正小标宋简体"/>
          <w:bCs/>
          <w:color w:val="000000"/>
          <w:spacing w:val="-11"/>
          <w:kern w:val="0"/>
          <w:sz w:val="44"/>
          <w:szCs w:val="44"/>
          <w:lang w:bidi="ar"/>
        </w:rPr>
      </w:pPr>
      <w:r>
        <w:rPr>
          <w:rFonts w:hint="eastAsia" w:ascii="方正小标宋简体" w:hAnsi="方正小标宋简体" w:eastAsia="方正小标宋简体" w:cs="方正小标宋简体"/>
          <w:bCs/>
          <w:color w:val="000000"/>
          <w:spacing w:val="-11"/>
          <w:kern w:val="0"/>
          <w:sz w:val="44"/>
          <w:szCs w:val="44"/>
          <w:lang w:eastAsia="zh-CN" w:bidi="ar"/>
        </w:rPr>
        <w:t>西藏自治区</w:t>
      </w:r>
      <w:r>
        <w:rPr>
          <w:rFonts w:hint="eastAsia" w:ascii="方正小标宋简体" w:hAnsi="方正小标宋简体" w:eastAsia="方正小标宋简体" w:cs="方正小标宋简体"/>
          <w:bCs/>
          <w:color w:val="000000"/>
          <w:spacing w:val="-11"/>
          <w:kern w:val="0"/>
          <w:sz w:val="44"/>
          <w:szCs w:val="44"/>
          <w:lang w:bidi="ar"/>
        </w:rPr>
        <w:t>药品监督管理局</w:t>
      </w:r>
    </w:p>
    <w:p>
      <w:pPr>
        <w:keepNext w:val="0"/>
        <w:keepLines w:val="0"/>
        <w:pageBreakBefore w:val="0"/>
        <w:widowControl w:val="0"/>
        <w:kinsoku/>
        <w:wordWrap/>
        <w:overflowPunct/>
        <w:topLinePunct w:val="0"/>
        <w:autoSpaceDE/>
        <w:autoSpaceDN/>
        <w:bidi w:val="0"/>
        <w:spacing w:line="560" w:lineRule="exact"/>
        <w:jc w:val="center"/>
        <w:rPr>
          <w:rFonts w:hint="eastAsia" w:ascii="方正小标宋简体" w:hAnsi="方正小标宋简体" w:eastAsia="方正小标宋简体" w:cs="方正小标宋简体"/>
          <w:bCs/>
          <w:color w:val="000000"/>
          <w:spacing w:val="0"/>
          <w:kern w:val="0"/>
          <w:sz w:val="44"/>
          <w:szCs w:val="44"/>
          <w:lang w:bidi="ar"/>
        </w:rPr>
      </w:pPr>
      <w:r>
        <w:rPr>
          <w:rFonts w:hint="eastAsia" w:ascii="方正小标宋简体" w:hAnsi="方正小标宋简体" w:eastAsia="方正小标宋简体" w:cs="方正小标宋简体"/>
          <w:bCs/>
          <w:color w:val="000000"/>
          <w:spacing w:val="-11"/>
          <w:kern w:val="0"/>
          <w:sz w:val="44"/>
          <w:szCs w:val="44"/>
          <w:lang w:bidi="ar"/>
        </w:rPr>
        <w:t>GMP符合性检查结果公告（公示）</w:t>
      </w:r>
    </w:p>
    <w:p>
      <w:pPr>
        <w:keepNext w:val="0"/>
        <w:keepLines w:val="0"/>
        <w:pageBreakBefore w:val="0"/>
        <w:widowControl w:val="0"/>
        <w:kinsoku/>
        <w:wordWrap/>
        <w:overflowPunct/>
        <w:topLinePunct w:val="0"/>
        <w:autoSpaceDE/>
        <w:autoSpaceDN/>
        <w:bidi w:val="0"/>
        <w:spacing w:line="560" w:lineRule="exact"/>
        <w:jc w:val="center"/>
        <w:rPr>
          <w:rFonts w:eastAsia="方正小标宋简体"/>
          <w:bCs/>
          <w:spacing w:val="0"/>
          <w:sz w:val="36"/>
          <w:szCs w:val="36"/>
        </w:rPr>
      </w:pPr>
      <w:r>
        <w:rPr>
          <w:rFonts w:eastAsia="方正小标宋简体"/>
          <w:bCs/>
          <w:color w:val="000000"/>
          <w:spacing w:val="0"/>
          <w:kern w:val="0"/>
          <w:sz w:val="36"/>
          <w:szCs w:val="36"/>
          <w:lang w:bidi="ar"/>
        </w:rPr>
        <w:t>（****年第**号）</w:t>
      </w:r>
    </w:p>
    <w:p>
      <w:pPr>
        <w:keepNext w:val="0"/>
        <w:keepLines w:val="0"/>
        <w:pageBreakBefore w:val="0"/>
        <w:widowControl w:val="0"/>
        <w:kinsoku/>
        <w:wordWrap/>
        <w:overflowPunct/>
        <w:topLinePunct w:val="0"/>
        <w:autoSpaceDE/>
        <w:autoSpaceDN/>
        <w:bidi w:val="0"/>
        <w:spacing w:line="560" w:lineRule="exact"/>
        <w:rPr>
          <w:spacing w:val="0"/>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20" w:firstLineChars="200"/>
        <w:jc w:val="center"/>
        <w:textAlignment w:val="auto"/>
        <w:rPr>
          <w:rFonts w:hint="eastAsia"/>
          <w:spacing w:val="0"/>
          <w:sz w:val="31"/>
          <w:szCs w:val="31"/>
          <w:lang w:eastAsia="zh-CN"/>
        </w:rPr>
      </w:pPr>
      <w:r>
        <w:rPr>
          <w:spacing w:val="0"/>
          <w:sz w:val="31"/>
          <w:szCs w:val="31"/>
        </w:rPr>
        <w:t>根据《药品管理法》《药品生产监督管理办法》</w:t>
      </w:r>
      <w:r>
        <w:rPr>
          <w:rFonts w:hint="eastAsia"/>
          <w:spacing w:val="0"/>
          <w:sz w:val="31"/>
          <w:szCs w:val="31"/>
          <w:lang w:eastAsia="zh-CN"/>
        </w:rPr>
        <w:t>《西藏自</w:t>
      </w:r>
    </w:p>
    <w:p>
      <w:pPr>
        <w:keepNext w:val="0"/>
        <w:keepLines w:val="0"/>
        <w:pageBreakBefore w:val="0"/>
        <w:widowControl w:val="0"/>
        <w:kinsoku/>
        <w:wordWrap/>
        <w:overflowPunct/>
        <w:topLinePunct w:val="0"/>
        <w:autoSpaceDE/>
        <w:autoSpaceDN/>
        <w:bidi w:val="0"/>
        <w:adjustRightInd/>
        <w:snapToGrid/>
        <w:spacing w:line="576" w:lineRule="exact"/>
        <w:jc w:val="both"/>
        <w:textAlignment w:val="auto"/>
        <w:rPr>
          <w:spacing w:val="0"/>
          <w:sz w:val="31"/>
          <w:szCs w:val="31"/>
        </w:rPr>
      </w:pPr>
      <w:r>
        <w:rPr>
          <w:rFonts w:hint="eastAsia"/>
          <w:spacing w:val="0"/>
          <w:sz w:val="31"/>
          <w:szCs w:val="31"/>
          <w:lang w:eastAsia="zh-CN"/>
        </w:rPr>
        <w:t>治区</w:t>
      </w:r>
      <w:r>
        <w:rPr>
          <w:rFonts w:hint="eastAsia"/>
          <w:spacing w:val="0"/>
          <w:sz w:val="31"/>
          <w:szCs w:val="31"/>
        </w:rPr>
        <w:t>药品生产质量管理规范符合性检查工作程序</w:t>
      </w:r>
      <w:r>
        <w:rPr>
          <w:rFonts w:hint="eastAsia"/>
          <w:spacing w:val="0"/>
          <w:sz w:val="31"/>
          <w:szCs w:val="31"/>
          <w:lang w:eastAsia="zh-CN"/>
        </w:rPr>
        <w:t>》</w:t>
      </w:r>
      <w:r>
        <w:rPr>
          <w:spacing w:val="0"/>
          <w:sz w:val="31"/>
          <w:szCs w:val="31"/>
        </w:rPr>
        <w:t>有关规定，经现场检查并综合评定，现将***公司《药品生产质量管理规范》符合性检查结果公告（公示）。</w:t>
      </w:r>
    </w:p>
    <w:p>
      <w:pPr>
        <w:pStyle w:val="5"/>
        <w:keepNext w:val="0"/>
        <w:keepLines w:val="0"/>
        <w:pageBreakBefore w:val="0"/>
        <w:widowControl w:val="0"/>
        <w:kinsoku/>
        <w:wordWrap/>
        <w:overflowPunct/>
        <w:topLinePunct w:val="0"/>
        <w:autoSpaceDE/>
        <w:autoSpaceDN/>
        <w:bidi w:val="0"/>
        <w:spacing w:beforeAutospacing="0" w:afterAutospacing="0" w:line="390" w:lineRule="atLeast"/>
        <w:ind w:firstLine="3360" w:firstLineChars="1600"/>
        <w:jc w:val="both"/>
        <w:rPr>
          <w:rStyle w:val="7"/>
          <w:rFonts w:eastAsia="微软雅黑"/>
          <w:b w:val="0"/>
          <w:color w:val="000000"/>
          <w:spacing w:val="0"/>
          <w:sz w:val="21"/>
          <w:szCs w:val="21"/>
        </w:rPr>
      </w:pPr>
    </w:p>
    <w:tbl>
      <w:tblPr>
        <w:tblStyle w:val="8"/>
        <w:tblW w:w="9517" w:type="dxa"/>
        <w:jc w:val="center"/>
        <w:tblInd w:w="0" w:type="dxa"/>
        <w:tblLayout w:type="fixed"/>
        <w:tblCellMar>
          <w:top w:w="0" w:type="dxa"/>
          <w:left w:w="0" w:type="dxa"/>
          <w:bottom w:w="0" w:type="dxa"/>
          <w:right w:w="0" w:type="dxa"/>
        </w:tblCellMar>
      </w:tblPr>
      <w:tblGrid>
        <w:gridCol w:w="1685"/>
        <w:gridCol w:w="1892"/>
        <w:gridCol w:w="1530"/>
        <w:gridCol w:w="1785"/>
        <w:gridCol w:w="1200"/>
        <w:gridCol w:w="1425"/>
      </w:tblGrid>
      <w:tr>
        <w:tblPrEx>
          <w:tblLayout w:type="fixed"/>
          <w:tblCellMar>
            <w:top w:w="0" w:type="dxa"/>
            <w:left w:w="0" w:type="dxa"/>
            <w:bottom w:w="0" w:type="dxa"/>
            <w:right w:w="0" w:type="dxa"/>
          </w:tblCellMar>
        </w:tblPrEx>
        <w:trPr>
          <w:trHeight w:val="945" w:hRule="atLeast"/>
          <w:jc w:val="center"/>
        </w:trPr>
        <w:tc>
          <w:tcPr>
            <w:tcW w:w="1685"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pStyle w:val="5"/>
              <w:keepNext w:val="0"/>
              <w:keepLines w:val="0"/>
              <w:pageBreakBefore w:val="0"/>
              <w:widowControl w:val="0"/>
              <w:suppressLineNumbers w:val="0"/>
              <w:kinsoku/>
              <w:wordWrap/>
              <w:overflowPunct/>
              <w:topLinePunct w:val="0"/>
              <w:autoSpaceDE/>
              <w:autoSpaceDN/>
              <w:bidi w:val="0"/>
              <w:snapToGrid w:val="0"/>
              <w:spacing w:beforeAutospacing="0" w:afterAutospacing="0" w:line="320" w:lineRule="exact"/>
              <w:jc w:val="center"/>
              <w:rPr>
                <w:rFonts w:hint="default"/>
                <w:sz w:val="28"/>
                <w:szCs w:val="28"/>
              </w:rPr>
            </w:pPr>
            <w:r>
              <w:rPr>
                <w:rFonts w:hint="default"/>
                <w:sz w:val="28"/>
                <w:szCs w:val="28"/>
              </w:rPr>
              <w:t>持有人</w:t>
            </w:r>
          </w:p>
          <w:p>
            <w:pPr>
              <w:pStyle w:val="5"/>
              <w:keepNext w:val="0"/>
              <w:keepLines w:val="0"/>
              <w:pageBreakBefore w:val="0"/>
              <w:widowControl w:val="0"/>
              <w:suppressLineNumbers w:val="0"/>
              <w:kinsoku/>
              <w:wordWrap/>
              <w:overflowPunct/>
              <w:topLinePunct w:val="0"/>
              <w:autoSpaceDE/>
              <w:autoSpaceDN/>
              <w:bidi w:val="0"/>
              <w:snapToGrid w:val="0"/>
              <w:spacing w:beforeAutospacing="0" w:afterAutospacing="0" w:line="320" w:lineRule="exact"/>
              <w:jc w:val="center"/>
              <w:rPr>
                <w:rFonts w:hint="default"/>
                <w:sz w:val="28"/>
                <w:szCs w:val="28"/>
              </w:rPr>
            </w:pPr>
            <w:r>
              <w:rPr>
                <w:rFonts w:hint="default"/>
                <w:sz w:val="28"/>
                <w:szCs w:val="28"/>
              </w:rPr>
              <w:t>（企业）名称</w:t>
            </w:r>
          </w:p>
        </w:tc>
        <w:tc>
          <w:tcPr>
            <w:tcW w:w="1892"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pStyle w:val="5"/>
              <w:keepNext w:val="0"/>
              <w:keepLines w:val="0"/>
              <w:pageBreakBefore w:val="0"/>
              <w:widowControl w:val="0"/>
              <w:suppressLineNumbers w:val="0"/>
              <w:kinsoku/>
              <w:wordWrap/>
              <w:overflowPunct/>
              <w:topLinePunct w:val="0"/>
              <w:autoSpaceDE/>
              <w:autoSpaceDN/>
              <w:bidi w:val="0"/>
              <w:snapToGrid w:val="0"/>
              <w:spacing w:beforeAutospacing="0" w:afterAutospacing="0" w:line="320" w:lineRule="exact"/>
              <w:jc w:val="center"/>
              <w:rPr>
                <w:rFonts w:hint="default"/>
                <w:sz w:val="28"/>
                <w:szCs w:val="28"/>
              </w:rPr>
            </w:pPr>
            <w:r>
              <w:rPr>
                <w:rFonts w:hint="default"/>
                <w:sz w:val="28"/>
                <w:szCs w:val="28"/>
              </w:rPr>
              <w:t>检查地址</w:t>
            </w:r>
          </w:p>
        </w:tc>
        <w:tc>
          <w:tcPr>
            <w:tcW w:w="1530"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pStyle w:val="5"/>
              <w:keepNext w:val="0"/>
              <w:keepLines w:val="0"/>
              <w:pageBreakBefore w:val="0"/>
              <w:widowControl w:val="0"/>
              <w:suppressLineNumbers w:val="0"/>
              <w:kinsoku/>
              <w:wordWrap/>
              <w:overflowPunct/>
              <w:topLinePunct w:val="0"/>
              <w:autoSpaceDE/>
              <w:autoSpaceDN/>
              <w:bidi w:val="0"/>
              <w:snapToGrid w:val="0"/>
              <w:spacing w:beforeAutospacing="0" w:afterAutospacing="0" w:line="320" w:lineRule="exact"/>
              <w:jc w:val="center"/>
              <w:rPr>
                <w:rFonts w:hint="default"/>
                <w:sz w:val="28"/>
                <w:szCs w:val="28"/>
              </w:rPr>
            </w:pPr>
            <w:r>
              <w:rPr>
                <w:rFonts w:hint="default"/>
                <w:sz w:val="28"/>
                <w:szCs w:val="28"/>
              </w:rPr>
              <w:t>检查范围</w:t>
            </w:r>
          </w:p>
        </w:tc>
        <w:tc>
          <w:tcPr>
            <w:tcW w:w="1785"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pStyle w:val="5"/>
              <w:keepNext w:val="0"/>
              <w:keepLines w:val="0"/>
              <w:pageBreakBefore w:val="0"/>
              <w:widowControl w:val="0"/>
              <w:suppressLineNumbers w:val="0"/>
              <w:kinsoku/>
              <w:wordWrap/>
              <w:overflowPunct/>
              <w:topLinePunct w:val="0"/>
              <w:autoSpaceDE/>
              <w:autoSpaceDN/>
              <w:bidi w:val="0"/>
              <w:snapToGrid w:val="0"/>
              <w:spacing w:beforeAutospacing="0" w:afterAutospacing="0" w:line="320" w:lineRule="exact"/>
              <w:jc w:val="center"/>
              <w:rPr>
                <w:rFonts w:hint="default"/>
                <w:sz w:val="28"/>
                <w:szCs w:val="28"/>
              </w:rPr>
            </w:pPr>
            <w:r>
              <w:rPr>
                <w:rFonts w:hint="default"/>
                <w:sz w:val="28"/>
                <w:szCs w:val="28"/>
              </w:rPr>
              <w:t>检查时间</w:t>
            </w:r>
          </w:p>
        </w:tc>
        <w:tc>
          <w:tcPr>
            <w:tcW w:w="1200"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320" w:lineRule="exact"/>
              <w:ind w:left="0" w:right="0"/>
              <w:jc w:val="center"/>
              <w:rPr>
                <w:rFonts w:hint="default"/>
                <w:kern w:val="0"/>
                <w:sz w:val="28"/>
                <w:szCs w:val="28"/>
                <w:lang w:bidi="ar"/>
              </w:rPr>
            </w:pPr>
            <w:r>
              <w:rPr>
                <w:rFonts w:hint="default"/>
                <w:kern w:val="0"/>
                <w:sz w:val="28"/>
                <w:szCs w:val="28"/>
              </w:rPr>
              <w:t>类型</w:t>
            </w:r>
          </w:p>
        </w:tc>
        <w:tc>
          <w:tcPr>
            <w:tcW w:w="1425"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pStyle w:val="5"/>
              <w:keepNext w:val="0"/>
              <w:keepLines w:val="0"/>
              <w:pageBreakBefore w:val="0"/>
              <w:widowControl w:val="0"/>
              <w:suppressLineNumbers w:val="0"/>
              <w:kinsoku/>
              <w:wordWrap/>
              <w:overflowPunct/>
              <w:topLinePunct w:val="0"/>
              <w:autoSpaceDE/>
              <w:autoSpaceDN/>
              <w:bidi w:val="0"/>
              <w:snapToGrid w:val="0"/>
              <w:spacing w:beforeAutospacing="0" w:afterAutospacing="0" w:line="320" w:lineRule="exact"/>
              <w:jc w:val="center"/>
              <w:rPr>
                <w:rFonts w:hint="default"/>
                <w:sz w:val="28"/>
                <w:szCs w:val="28"/>
                <w:lang w:bidi="ar"/>
              </w:rPr>
            </w:pPr>
            <w:r>
              <w:rPr>
                <w:rFonts w:hint="default"/>
                <w:sz w:val="28"/>
                <w:szCs w:val="28"/>
              </w:rPr>
              <w:t>检查结果</w:t>
            </w:r>
          </w:p>
        </w:tc>
      </w:tr>
      <w:tr>
        <w:tblPrEx>
          <w:tblLayout w:type="fixed"/>
          <w:tblCellMar>
            <w:top w:w="0" w:type="dxa"/>
            <w:left w:w="0" w:type="dxa"/>
            <w:bottom w:w="0" w:type="dxa"/>
            <w:right w:w="0" w:type="dxa"/>
          </w:tblCellMar>
        </w:tblPrEx>
        <w:trPr>
          <w:trHeight w:val="1288" w:hRule="atLeast"/>
          <w:jc w:val="center"/>
        </w:trPr>
        <w:tc>
          <w:tcPr>
            <w:tcW w:w="1685"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ind w:left="0" w:right="0"/>
              <w:textAlignment w:val="center"/>
              <w:rPr>
                <w:rFonts w:hint="default" w:eastAsia="宋体"/>
                <w:kern w:val="0"/>
                <w:sz w:val="20"/>
                <w:lang w:bidi="ar"/>
              </w:rPr>
            </w:pPr>
          </w:p>
        </w:tc>
        <w:tc>
          <w:tcPr>
            <w:tcW w:w="1892"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ind w:left="0" w:right="0"/>
              <w:textAlignment w:val="center"/>
              <w:rPr>
                <w:rFonts w:hint="default" w:eastAsia="宋体"/>
                <w:kern w:val="0"/>
                <w:sz w:val="20"/>
                <w:lang w:bidi="ar"/>
              </w:rPr>
            </w:pPr>
          </w:p>
        </w:tc>
        <w:tc>
          <w:tcPr>
            <w:tcW w:w="1530"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ind w:left="0" w:right="0"/>
              <w:textAlignment w:val="center"/>
              <w:rPr>
                <w:rFonts w:hint="default" w:eastAsia="宋体"/>
                <w:kern w:val="0"/>
                <w:sz w:val="18"/>
                <w:szCs w:val="18"/>
                <w:lang w:bidi="ar"/>
              </w:rPr>
            </w:pPr>
          </w:p>
        </w:tc>
        <w:tc>
          <w:tcPr>
            <w:tcW w:w="1785"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ind w:left="0" w:right="0"/>
              <w:textAlignment w:val="center"/>
              <w:rPr>
                <w:rFonts w:hint="default" w:eastAsia="宋体"/>
                <w:kern w:val="0"/>
                <w:sz w:val="20"/>
                <w:lang w:bidi="ar"/>
              </w:rPr>
            </w:pPr>
          </w:p>
        </w:tc>
        <w:tc>
          <w:tcPr>
            <w:tcW w:w="1200"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ind w:left="0" w:right="0"/>
              <w:textAlignment w:val="center"/>
              <w:rPr>
                <w:rFonts w:hint="default" w:eastAsia="宋体"/>
                <w:kern w:val="0"/>
                <w:sz w:val="20"/>
                <w:lang w:bidi="ar"/>
              </w:rPr>
            </w:pPr>
          </w:p>
        </w:tc>
        <w:tc>
          <w:tcPr>
            <w:tcW w:w="1425" w:type="dxa"/>
            <w:tcBorders>
              <w:top w:val="single" w:color="666666" w:sz="6" w:space="0"/>
              <w:left w:val="single" w:color="666666" w:sz="6" w:space="0"/>
              <w:bottom w:val="single" w:color="666666" w:sz="6" w:space="0"/>
              <w:right w:val="single" w:color="666666" w:sz="6" w:space="0"/>
            </w:tcBorders>
            <w:tcMar>
              <w:top w:w="45" w:type="dxa"/>
              <w:left w:w="45" w:type="dxa"/>
              <w:bottom w:w="45" w:type="dxa"/>
              <w:right w:w="45" w:type="dxa"/>
            </w:tcMar>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ind w:left="0" w:right="0"/>
              <w:textAlignment w:val="center"/>
              <w:rPr>
                <w:rFonts w:hint="default" w:eastAsia="宋体"/>
                <w:kern w:val="0"/>
                <w:sz w:val="20"/>
                <w:lang w:bidi="ar"/>
              </w:rPr>
            </w:pPr>
          </w:p>
        </w:tc>
      </w:tr>
    </w:tbl>
    <w:p>
      <w:pPr>
        <w:keepNext w:val="0"/>
        <w:keepLines w:val="0"/>
        <w:pageBreakBefore w:val="0"/>
        <w:widowControl w:val="0"/>
        <w:kinsoku/>
        <w:wordWrap/>
        <w:overflowPunct/>
        <w:topLinePunct w:val="0"/>
        <w:autoSpaceDE/>
        <w:autoSpaceDN/>
        <w:bidi w:val="0"/>
        <w:spacing w:line="560" w:lineRule="exact"/>
        <w:rPr>
          <w:spacing w:val="0"/>
          <w:szCs w:val="32"/>
        </w:rPr>
      </w:pPr>
    </w:p>
    <w:p>
      <w:pPr>
        <w:keepNext w:val="0"/>
        <w:keepLines w:val="0"/>
        <w:pageBreakBefore w:val="0"/>
        <w:widowControl w:val="0"/>
        <w:kinsoku/>
        <w:wordWrap/>
        <w:overflowPunct/>
        <w:topLinePunct w:val="0"/>
        <w:autoSpaceDE/>
        <w:autoSpaceDN/>
        <w:bidi w:val="0"/>
        <w:spacing w:line="560" w:lineRule="exact"/>
        <w:rPr>
          <w:spacing w:val="0"/>
          <w:szCs w:val="32"/>
        </w:rPr>
      </w:pPr>
    </w:p>
    <w:p>
      <w:pPr>
        <w:keepNext w:val="0"/>
        <w:keepLines w:val="0"/>
        <w:pageBreakBefore w:val="0"/>
        <w:widowControl w:val="0"/>
        <w:kinsoku/>
        <w:wordWrap/>
        <w:overflowPunct/>
        <w:topLinePunct w:val="0"/>
        <w:autoSpaceDE/>
        <w:autoSpaceDN/>
        <w:bidi w:val="0"/>
        <w:spacing w:line="240" w:lineRule="exact"/>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ind w:firstLine="4160" w:firstLineChars="13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西藏自治区</w:t>
      </w:r>
      <w:r>
        <w:rPr>
          <w:rFonts w:hint="eastAsia" w:ascii="仿宋_GB2312" w:hAnsi="仿宋_GB2312" w:eastAsia="仿宋_GB2312" w:cs="仿宋_GB2312"/>
          <w:sz w:val="32"/>
          <w:szCs w:val="32"/>
        </w:rPr>
        <w:t>药品监督管理局</w:t>
      </w:r>
    </w:p>
    <w:p>
      <w:pPr>
        <w:keepNext w:val="0"/>
        <w:keepLines w:val="0"/>
        <w:pageBreakBefore w:val="0"/>
        <w:widowControl w:val="0"/>
        <w:kinsoku/>
        <w:wordWrap/>
        <w:overflowPunct/>
        <w:topLinePunct w:val="0"/>
        <w:autoSpaceDE/>
        <w:autoSpaceDN/>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年  月   日</w:t>
      </w:r>
    </w:p>
    <w:p>
      <w:pPr>
        <w:pStyle w:val="5"/>
        <w:keepNext w:val="0"/>
        <w:keepLines w:val="0"/>
        <w:pageBreakBefore w:val="0"/>
        <w:widowControl w:val="0"/>
        <w:kinsoku/>
        <w:wordWrap/>
        <w:overflowPunct/>
        <w:topLinePunct w:val="0"/>
        <w:autoSpaceDE/>
        <w:autoSpaceDN/>
        <w:bidi w:val="0"/>
        <w:spacing w:before="120" w:beforeAutospacing="0" w:afterAutospacing="0" w:line="240" w:lineRule="auto"/>
        <w:jc w:val="both"/>
        <w:rPr>
          <w:color w:val="333333"/>
          <w:sz w:val="32"/>
          <w:szCs w:val="32"/>
        </w:rPr>
      </w:pPr>
    </w:p>
    <w:p>
      <w:pPr>
        <w:pStyle w:val="5"/>
        <w:keepNext w:val="0"/>
        <w:keepLines w:val="0"/>
        <w:pageBreakBefore w:val="0"/>
        <w:widowControl w:val="0"/>
        <w:kinsoku/>
        <w:wordWrap/>
        <w:overflowPunct/>
        <w:topLinePunct w:val="0"/>
        <w:autoSpaceDE/>
        <w:autoSpaceDN/>
        <w:bidi w:val="0"/>
        <w:spacing w:before="120" w:beforeAutospacing="0" w:afterAutospacing="0" w:line="240" w:lineRule="auto"/>
        <w:jc w:val="both"/>
        <w:rPr>
          <w:color w:val="333333"/>
          <w:sz w:val="32"/>
          <w:szCs w:val="32"/>
        </w:rPr>
      </w:pPr>
    </w:p>
    <w:p>
      <w:pPr>
        <w:keepNext w:val="0"/>
        <w:keepLines w:val="0"/>
        <w:pageBreakBefore w:val="0"/>
        <w:widowControl w:val="0"/>
        <w:kinsoku/>
        <w:wordWrap/>
        <w:overflowPunct/>
        <w:topLinePunct w:val="0"/>
        <w:autoSpaceDE/>
        <w:autoSpaceDN/>
        <w:bidi w:val="0"/>
        <w:spacing w:line="560" w:lineRule="exact"/>
        <w:rPr>
          <w:rFonts w:eastAsia="文泉驿微米黑"/>
          <w:szCs w:val="32"/>
        </w:rPr>
      </w:pPr>
      <w:r>
        <w:rPr>
          <w:rFonts w:hint="eastAsia" w:ascii="Times New Roman" w:hAnsi="Times New Roman" w:eastAsia="黑体"/>
          <w:spacing w:val="-6"/>
          <w:sz w:val="32"/>
          <w:szCs w:val="32"/>
        </w:rPr>
        <w:t>附件7</w:t>
      </w:r>
    </w:p>
    <w:p>
      <w:pPr>
        <w:keepNext w:val="0"/>
        <w:keepLines w:val="0"/>
        <w:pageBreakBefore w:val="0"/>
        <w:widowControl w:val="0"/>
        <w:kinsoku/>
        <w:wordWrap/>
        <w:overflowPunct/>
        <w:topLinePunct w:val="0"/>
        <w:autoSpaceDE/>
        <w:autoSpaceDN/>
        <w:bidi w:val="0"/>
        <w:spacing w:line="560" w:lineRule="exact"/>
        <w:ind w:right="-14"/>
        <w:jc w:val="center"/>
        <w:outlineLvl w:val="1"/>
        <w:rPr>
          <w:rFonts w:hint="eastAsia" w:ascii="方正小标宋简体" w:hAnsi="方正小标宋简体" w:eastAsia="方正小标宋简体" w:cs="方正小标宋简体"/>
          <w:spacing w:val="0"/>
          <w:sz w:val="44"/>
          <w:szCs w:val="44"/>
        </w:rPr>
      </w:pPr>
      <w:r>
        <w:rPr>
          <w:rFonts w:hint="eastAsia" w:ascii="方正小标宋简体" w:hAnsi="方正小标宋简体" w:eastAsia="方正小标宋简体" w:cs="方正小标宋简体"/>
          <w:spacing w:val="0"/>
          <w:sz w:val="44"/>
          <w:szCs w:val="44"/>
          <w:lang w:eastAsia="zh-CN"/>
        </w:rPr>
        <w:t>西藏自治区</w:t>
      </w:r>
      <w:r>
        <w:rPr>
          <w:rFonts w:hint="eastAsia" w:ascii="方正小标宋简体" w:hAnsi="方正小标宋简体" w:eastAsia="方正小标宋简体" w:cs="方正小标宋简体"/>
          <w:spacing w:val="0"/>
          <w:sz w:val="44"/>
          <w:szCs w:val="44"/>
        </w:rPr>
        <w:t>药品监督管理局</w:t>
      </w:r>
    </w:p>
    <w:p>
      <w:pPr>
        <w:keepNext w:val="0"/>
        <w:keepLines w:val="0"/>
        <w:pageBreakBefore w:val="0"/>
        <w:widowControl w:val="0"/>
        <w:kinsoku/>
        <w:wordWrap/>
        <w:overflowPunct/>
        <w:topLinePunct w:val="0"/>
        <w:autoSpaceDE/>
        <w:autoSpaceDN/>
        <w:bidi w:val="0"/>
        <w:spacing w:line="560" w:lineRule="exact"/>
        <w:ind w:right="-14"/>
        <w:jc w:val="center"/>
        <w:outlineLvl w:val="1"/>
        <w:rPr>
          <w:rFonts w:hint="eastAsia" w:ascii="方正小标宋简体" w:hAnsi="方正小标宋简体" w:eastAsia="方正小标宋简体" w:cs="方正小标宋简体"/>
          <w:spacing w:val="0"/>
          <w:sz w:val="44"/>
          <w:szCs w:val="44"/>
        </w:rPr>
      </w:pPr>
      <w:bookmarkStart w:id="61" w:name="Matter"/>
      <w:r>
        <w:rPr>
          <w:rFonts w:hint="eastAsia" w:ascii="方正小标宋简体" w:hAnsi="方正小标宋简体" w:eastAsia="方正小标宋简体" w:cs="方正小标宋简体"/>
          <w:spacing w:val="0"/>
          <w:sz w:val="44"/>
          <w:szCs w:val="44"/>
        </w:rPr>
        <w:t>药品GMP符合性检查告知书</w:t>
      </w:r>
    </w:p>
    <w:p>
      <w:pPr>
        <w:keepNext w:val="0"/>
        <w:keepLines w:val="0"/>
        <w:pageBreakBefore w:val="0"/>
        <w:widowControl w:val="0"/>
        <w:kinsoku/>
        <w:wordWrap/>
        <w:overflowPunct/>
        <w:topLinePunct w:val="0"/>
        <w:autoSpaceDE/>
        <w:autoSpaceDN/>
        <w:bidi w:val="0"/>
        <w:adjustRightInd w:val="0"/>
        <w:snapToGrid w:val="0"/>
        <w:spacing w:line="560" w:lineRule="exact"/>
        <w:jc w:val="right"/>
        <w:rPr>
          <w:color w:val="000000"/>
          <w:sz w:val="28"/>
          <w:szCs w:val="28"/>
        </w:rPr>
      </w:pPr>
      <w:r>
        <w:rPr>
          <w:color w:val="000000"/>
          <w:sz w:val="28"/>
          <w:szCs w:val="28"/>
        </w:rPr>
        <w:t>编号：*****</w:t>
      </w:r>
    </w:p>
    <w:tbl>
      <w:tblPr>
        <w:tblStyle w:val="8"/>
        <w:tblW w:w="9596" w:type="dxa"/>
        <w:jc w:val="center"/>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2877"/>
        <w:gridCol w:w="2513"/>
        <w:gridCol w:w="2475"/>
        <w:gridCol w:w="1731"/>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703"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164" w:right="144"/>
              <w:jc w:val="center"/>
              <w:rPr>
                <w:rFonts w:hint="eastAsia" w:ascii="Times New Roman" w:hAnsi="Times New Roman" w:eastAsia="仿宋_GB2312"/>
                <w:sz w:val="28"/>
                <w:szCs w:val="28"/>
                <w:lang w:eastAsia="zh-CN"/>
              </w:rPr>
            </w:pPr>
            <w:r>
              <w:rPr>
                <w:rFonts w:hint="eastAsia" w:ascii="Times New Roman" w:hAnsi="Times New Roman" w:eastAsia="仿宋_GB2312"/>
                <w:sz w:val="28"/>
                <w:szCs w:val="28"/>
                <w:lang w:eastAsia="zh-CN"/>
              </w:rPr>
              <w:t>任务编号</w:t>
            </w:r>
          </w:p>
        </w:tc>
        <w:tc>
          <w:tcPr>
            <w:tcW w:w="2513" w:type="dxa"/>
            <w:tcBorders>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c>
          <w:tcPr>
            <w:tcW w:w="2475" w:type="dxa"/>
            <w:tcBorders>
              <w:left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eastAsia="宋体"/>
                <w:sz w:val="28"/>
                <w:szCs w:val="28"/>
                <w:lang w:eastAsia="zh-CN"/>
              </w:rPr>
            </w:pPr>
            <w:r>
              <w:rPr>
                <w:rFonts w:hint="eastAsia"/>
                <w:sz w:val="28"/>
                <w:szCs w:val="28"/>
                <w:lang w:eastAsia="zh-CN"/>
              </w:rPr>
              <w:t>检查类型</w:t>
            </w:r>
          </w:p>
        </w:tc>
        <w:tc>
          <w:tcPr>
            <w:tcW w:w="1731" w:type="dxa"/>
            <w:tcBorders>
              <w:lef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585"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164" w:right="144"/>
              <w:jc w:val="center"/>
              <w:rPr>
                <w:rFonts w:hint="eastAsia" w:ascii="Times New Roman" w:hAnsi="Times New Roman" w:eastAsia="仿宋_GB2312"/>
                <w:sz w:val="28"/>
                <w:szCs w:val="28"/>
                <w:lang w:eastAsia="zh-CN"/>
              </w:rPr>
            </w:pPr>
            <w:r>
              <w:rPr>
                <w:rFonts w:hint="eastAsia" w:ascii="Times New Roman" w:hAnsi="Times New Roman" w:eastAsia="仿宋_GB2312"/>
                <w:sz w:val="28"/>
                <w:szCs w:val="28"/>
                <w:lang w:eastAsia="zh-CN"/>
              </w:rPr>
              <w:t>被检查单位名称</w:t>
            </w:r>
          </w:p>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164" w:right="144"/>
              <w:jc w:val="center"/>
              <w:rPr>
                <w:rFonts w:hint="eastAsia" w:ascii="Times New Roman" w:hAnsi="Times New Roman" w:eastAsia="仿宋_GB2312"/>
                <w:sz w:val="28"/>
                <w:szCs w:val="28"/>
                <w:lang w:eastAsia="zh-CN"/>
              </w:rPr>
            </w:pPr>
          </w:p>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164" w:right="144"/>
              <w:jc w:val="center"/>
              <w:rPr>
                <w:rFonts w:hint="eastAsia" w:ascii="Times New Roman" w:hAnsi="Times New Roman" w:eastAsia="仿宋_GB2312"/>
                <w:sz w:val="28"/>
                <w:szCs w:val="28"/>
                <w:lang w:eastAsia="zh-CN"/>
              </w:rPr>
            </w:pPr>
          </w:p>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164" w:right="144"/>
              <w:jc w:val="center"/>
              <w:rPr>
                <w:rFonts w:hint="eastAsia" w:ascii="Times New Roman" w:hAnsi="Times New Roman" w:eastAsia="仿宋_GB2312"/>
                <w:sz w:val="28"/>
                <w:szCs w:val="28"/>
                <w:lang w:eastAsia="zh-CN"/>
              </w:rPr>
            </w:pPr>
          </w:p>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164" w:right="144"/>
              <w:jc w:val="center"/>
              <w:rPr>
                <w:rFonts w:hint="eastAsia" w:ascii="Times New Roman" w:hAnsi="Times New Roman" w:eastAsia="仿宋_GB2312"/>
                <w:sz w:val="28"/>
                <w:szCs w:val="28"/>
                <w:lang w:eastAsia="zh-CN"/>
              </w:rPr>
            </w:pPr>
          </w:p>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164" w:right="144"/>
              <w:jc w:val="center"/>
              <w:rPr>
                <w:rFonts w:hint="eastAsia" w:ascii="Times New Roman" w:hAnsi="Times New Roman" w:eastAsia="仿宋_GB2312"/>
                <w:sz w:val="28"/>
                <w:szCs w:val="28"/>
                <w:lang w:eastAsia="zh-CN"/>
              </w:rPr>
            </w:pPr>
            <w:r>
              <w:rPr>
                <w:rFonts w:hint="eastAsia" w:ascii="Times New Roman" w:hAnsi="Times New Roman" w:eastAsia="仿宋_GB2312"/>
                <w:sz w:val="28"/>
                <w:szCs w:val="28"/>
                <w:lang w:eastAsia="zh-CN"/>
              </w:rPr>
              <w:t>位名车馆</w:t>
            </w:r>
          </w:p>
        </w:tc>
        <w:tc>
          <w:tcPr>
            <w:tcW w:w="2513" w:type="dxa"/>
            <w:tcBorders>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c>
          <w:tcPr>
            <w:tcW w:w="2475" w:type="dxa"/>
            <w:tcBorders>
              <w:left w:val="single" w:color="auto" w:sz="4" w:space="0"/>
              <w:righ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eastAsia" w:eastAsia="宋体"/>
                <w:sz w:val="28"/>
                <w:szCs w:val="28"/>
                <w:lang w:eastAsia="zh-CN"/>
              </w:rPr>
            </w:pPr>
            <w:r>
              <w:rPr>
                <w:rFonts w:hint="eastAsia"/>
                <w:sz w:val="28"/>
                <w:szCs w:val="28"/>
                <w:lang w:eastAsia="zh-CN"/>
              </w:rPr>
              <w:t>药品生产许可证号</w:t>
            </w:r>
          </w:p>
        </w:tc>
        <w:tc>
          <w:tcPr>
            <w:tcW w:w="1731" w:type="dxa"/>
            <w:tcBorders>
              <w:left w:val="single" w:color="auto" w:sz="4" w:space="0"/>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703"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164" w:right="144"/>
              <w:jc w:val="center"/>
              <w:rPr>
                <w:rFonts w:hint="default" w:ascii="Times New Roman" w:hAnsi="Times New Roman" w:eastAsia="仿宋_GB2312"/>
                <w:sz w:val="28"/>
                <w:szCs w:val="28"/>
              </w:rPr>
            </w:pPr>
            <w:r>
              <w:rPr>
                <w:rFonts w:hint="eastAsia" w:ascii="Times New Roman" w:hAnsi="Times New Roman" w:eastAsia="仿宋_GB2312"/>
                <w:sz w:val="28"/>
                <w:szCs w:val="28"/>
                <w:lang w:eastAsia="zh-CN"/>
              </w:rPr>
              <w:t>检查</w:t>
            </w:r>
            <w:r>
              <w:rPr>
                <w:rFonts w:hint="default" w:ascii="Times New Roman" w:hAnsi="Times New Roman" w:eastAsia="仿宋_GB2312"/>
                <w:sz w:val="28"/>
                <w:szCs w:val="28"/>
              </w:rPr>
              <w:t>地址</w:t>
            </w:r>
          </w:p>
        </w:tc>
        <w:tc>
          <w:tcPr>
            <w:tcW w:w="6719"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textAlignment w:val="baseline"/>
              <w:rPr>
                <w:rFonts w:hint="default"/>
                <w:sz w:val="28"/>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1076"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142"/>
              <w:jc w:val="center"/>
              <w:rPr>
                <w:rFonts w:hint="default" w:ascii="Times New Roman" w:hAnsi="Times New Roman" w:eastAsia="仿宋_GB2312"/>
                <w:sz w:val="28"/>
                <w:szCs w:val="28"/>
              </w:rPr>
            </w:pPr>
            <w:r>
              <w:rPr>
                <w:rFonts w:hint="default" w:ascii="Times New Roman" w:hAnsi="Times New Roman" w:eastAsia="仿宋_GB2312"/>
                <w:sz w:val="28"/>
                <w:szCs w:val="28"/>
              </w:rPr>
              <w:t>检查范围</w:t>
            </w:r>
          </w:p>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142"/>
              <w:jc w:val="center"/>
              <w:rPr>
                <w:rFonts w:hint="eastAsia" w:ascii="Times New Roman" w:hAnsi="Times New Roman" w:eastAsia="仿宋_GB2312"/>
                <w:sz w:val="28"/>
                <w:szCs w:val="28"/>
                <w:lang w:eastAsia="zh-CN"/>
              </w:rPr>
            </w:pPr>
            <w:r>
              <w:rPr>
                <w:rFonts w:hint="eastAsia" w:ascii="Times New Roman" w:hAnsi="Times New Roman" w:eastAsia="仿宋_GB2312"/>
                <w:sz w:val="28"/>
                <w:szCs w:val="28"/>
                <w:lang w:eastAsia="zh-CN"/>
              </w:rPr>
              <w:t>及相关车间、生产线</w:t>
            </w:r>
          </w:p>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142"/>
              <w:jc w:val="center"/>
              <w:rPr>
                <w:rFonts w:hint="default" w:ascii="Times New Roman" w:hAnsi="Times New Roman" w:eastAsia="仿宋_GB2312"/>
                <w:sz w:val="28"/>
                <w:szCs w:val="28"/>
              </w:rPr>
            </w:pPr>
          </w:p>
        </w:tc>
        <w:tc>
          <w:tcPr>
            <w:tcW w:w="6719"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680"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142"/>
              <w:jc w:val="center"/>
              <w:rPr>
                <w:rFonts w:hint="eastAsia" w:ascii="Times New Roman" w:hAnsi="Times New Roman" w:eastAsia="仿宋_GB2312"/>
                <w:sz w:val="28"/>
                <w:szCs w:val="28"/>
                <w:lang w:eastAsia="zh-CN"/>
              </w:rPr>
            </w:pPr>
            <w:r>
              <w:rPr>
                <w:rFonts w:hint="eastAsia" w:ascii="Times New Roman" w:hAnsi="Times New Roman" w:eastAsia="仿宋_GB2312"/>
                <w:sz w:val="28"/>
                <w:szCs w:val="28"/>
                <w:lang w:eastAsia="zh-CN"/>
              </w:rPr>
              <w:t>检查依据</w:t>
            </w:r>
          </w:p>
        </w:tc>
        <w:tc>
          <w:tcPr>
            <w:tcW w:w="6719"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680"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142"/>
              <w:jc w:val="center"/>
              <w:rPr>
                <w:rFonts w:hint="eastAsia" w:ascii="Times New Roman" w:hAnsi="Times New Roman" w:eastAsia="仿宋_GB2312"/>
                <w:sz w:val="28"/>
                <w:szCs w:val="28"/>
                <w:lang w:eastAsia="zh-CN"/>
              </w:rPr>
            </w:pPr>
            <w:r>
              <w:rPr>
                <w:rFonts w:hint="eastAsia" w:ascii="Times New Roman" w:hAnsi="Times New Roman" w:eastAsia="仿宋_GB2312"/>
                <w:sz w:val="28"/>
                <w:szCs w:val="28"/>
                <w:lang w:eastAsia="zh-CN"/>
              </w:rPr>
              <w:t>检查时间</w:t>
            </w:r>
          </w:p>
        </w:tc>
        <w:tc>
          <w:tcPr>
            <w:tcW w:w="6719"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680"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142"/>
              <w:jc w:val="center"/>
              <w:rPr>
                <w:rFonts w:hint="eastAsia" w:ascii="Times New Roman" w:hAnsi="Times New Roman" w:eastAsia="仿宋_GB2312"/>
                <w:sz w:val="28"/>
                <w:szCs w:val="28"/>
                <w:lang w:eastAsia="zh-CN"/>
              </w:rPr>
            </w:pPr>
            <w:r>
              <w:rPr>
                <w:rFonts w:hint="eastAsia" w:ascii="Times New Roman" w:hAnsi="Times New Roman" w:eastAsia="仿宋_GB2312"/>
                <w:sz w:val="28"/>
                <w:szCs w:val="28"/>
                <w:lang w:eastAsia="zh-CN"/>
              </w:rPr>
              <w:t>结论</w:t>
            </w:r>
          </w:p>
        </w:tc>
        <w:tc>
          <w:tcPr>
            <w:tcW w:w="6719"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731"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144"/>
              <w:jc w:val="center"/>
              <w:rPr>
                <w:rFonts w:hint="eastAsia" w:ascii="Times New Roman" w:hAnsi="Times New Roman" w:eastAsia="仿宋_GB2312"/>
                <w:sz w:val="28"/>
                <w:szCs w:val="28"/>
              </w:rPr>
            </w:pPr>
            <w:r>
              <w:rPr>
                <w:rFonts w:hint="eastAsia" w:ascii="Times New Roman" w:hAnsi="Times New Roman" w:eastAsia="仿宋_GB2312"/>
                <w:sz w:val="28"/>
                <w:szCs w:val="28"/>
              </w:rPr>
              <w:t>附件</w:t>
            </w:r>
          </w:p>
        </w:tc>
        <w:tc>
          <w:tcPr>
            <w:tcW w:w="6719"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731"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144"/>
              <w:jc w:val="center"/>
              <w:rPr>
                <w:rFonts w:hint="eastAsia" w:ascii="Times New Roman" w:hAnsi="Times New Roman" w:eastAsia="仿宋_GB2312"/>
                <w:sz w:val="28"/>
                <w:szCs w:val="28"/>
              </w:rPr>
            </w:pPr>
            <w:r>
              <w:rPr>
                <w:rFonts w:hint="eastAsia" w:ascii="Times New Roman" w:hAnsi="Times New Roman" w:eastAsia="仿宋_GB2312"/>
                <w:sz w:val="28"/>
                <w:szCs w:val="28"/>
              </w:rPr>
              <w:t>主送</w:t>
            </w:r>
          </w:p>
        </w:tc>
        <w:tc>
          <w:tcPr>
            <w:tcW w:w="6719"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Ex>
        <w:trPr>
          <w:trHeight w:val="731" w:hRule="exact"/>
          <w:jc w:val="center"/>
        </w:trPr>
        <w:tc>
          <w:tcPr>
            <w:tcW w:w="2877" w:type="dxa"/>
            <w:vAlign w:val="center"/>
          </w:tcPr>
          <w:p>
            <w:pPr>
              <w:pStyle w:val="11"/>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144"/>
              <w:jc w:val="center"/>
              <w:rPr>
                <w:rFonts w:hint="eastAsia" w:ascii="Times New Roman" w:hAnsi="Times New Roman" w:eastAsia="仿宋_GB2312"/>
                <w:sz w:val="28"/>
                <w:szCs w:val="28"/>
                <w:lang w:eastAsia="zh-CN"/>
              </w:rPr>
            </w:pPr>
            <w:r>
              <w:rPr>
                <w:rFonts w:hint="eastAsia" w:ascii="Times New Roman" w:hAnsi="Times New Roman" w:eastAsia="仿宋_GB2312"/>
                <w:sz w:val="28"/>
                <w:szCs w:val="28"/>
                <w:lang w:eastAsia="zh-CN"/>
              </w:rPr>
              <w:t>抄送</w:t>
            </w:r>
          </w:p>
        </w:tc>
        <w:tc>
          <w:tcPr>
            <w:tcW w:w="6719" w:type="dxa"/>
            <w:gridSpan w:val="3"/>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60" w:lineRule="exact"/>
              <w:ind w:left="0" w:right="0"/>
              <w:jc w:val="center"/>
              <w:rPr>
                <w:rFonts w:hint="default"/>
                <w:sz w:val="28"/>
                <w:szCs w:val="28"/>
              </w:rPr>
            </w:pPr>
          </w:p>
        </w:tc>
      </w:tr>
      <w:bookmarkEnd w:id="61"/>
    </w:tbl>
    <w:p>
      <w:pPr>
        <w:keepNext w:val="0"/>
        <w:keepLines w:val="0"/>
        <w:pageBreakBefore w:val="0"/>
        <w:widowControl w:val="0"/>
        <w:kinsoku/>
        <w:wordWrap/>
        <w:overflowPunct/>
        <w:topLinePunct w:val="0"/>
        <w:autoSpaceDE/>
        <w:autoSpaceDN/>
        <w:bidi w:val="0"/>
        <w:spacing w:line="560" w:lineRule="exact"/>
        <w:ind w:firstLine="5040" w:firstLineChars="1800"/>
        <w:outlineLvl w:val="1"/>
        <w:rPr>
          <w:rFonts w:hint="eastAsia" w:ascii="仿宋_GB2312" w:hAnsi="仿宋_GB2312" w:cs="仿宋_GB2312"/>
          <w:spacing w:val="0"/>
          <w:sz w:val="28"/>
          <w:szCs w:val="28"/>
        </w:rPr>
      </w:pPr>
    </w:p>
    <w:p>
      <w:pPr>
        <w:keepNext w:val="0"/>
        <w:keepLines w:val="0"/>
        <w:pageBreakBefore w:val="0"/>
        <w:widowControl w:val="0"/>
        <w:kinsoku/>
        <w:wordWrap/>
        <w:overflowPunct/>
        <w:topLinePunct w:val="0"/>
        <w:autoSpaceDE/>
        <w:autoSpaceDN/>
        <w:bidi w:val="0"/>
        <w:spacing w:line="560" w:lineRule="exact"/>
        <w:ind w:firstLine="4160" w:firstLineChars="1300"/>
        <w:outlineLvl w:val="1"/>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lang w:eastAsia="zh-CN"/>
        </w:rPr>
        <w:t>西藏自治区</w:t>
      </w:r>
      <w:r>
        <w:rPr>
          <w:rFonts w:hint="eastAsia" w:ascii="仿宋_GB2312" w:hAnsi="仿宋_GB2312" w:eastAsia="仿宋_GB2312" w:cs="仿宋_GB2312"/>
          <w:spacing w:val="0"/>
          <w:sz w:val="32"/>
          <w:szCs w:val="32"/>
        </w:rPr>
        <w:t>药品监督管理局</w:t>
      </w:r>
    </w:p>
    <w:p>
      <w:pPr>
        <w:pStyle w:val="10"/>
        <w:keepNext w:val="0"/>
        <w:keepLines w:val="0"/>
        <w:pageBreakBefore w:val="0"/>
        <w:widowControl w:val="0"/>
        <w:kinsoku/>
        <w:wordWrap/>
        <w:overflowPunct/>
        <w:topLinePunct w:val="0"/>
        <w:autoSpaceDE/>
        <w:autoSpaceDN/>
        <w:bidi w:val="0"/>
        <w:adjustRightInd/>
        <w:spacing w:before="120" w:line="240" w:lineRule="auto"/>
        <w:ind w:firstLine="645"/>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年</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日</w:t>
      </w:r>
    </w:p>
    <w:p>
      <w:pPr>
        <w:pStyle w:val="10"/>
        <w:rPr>
          <w:rFonts w:hint="default"/>
          <w:lang w:val="en-US" w:eastAsia="zh-CN"/>
        </w:rPr>
      </w:pPr>
    </w:p>
    <w:p>
      <w:pPr>
        <w:pStyle w:val="10"/>
        <w:rPr>
          <w:rFonts w:hint="default"/>
          <w:lang w:val="en-US" w:eastAsia="zh-CN"/>
        </w:rPr>
      </w:pPr>
    </w:p>
    <w:p>
      <w:pPr>
        <w:pStyle w:val="10"/>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西藏自治区</w:t>
      </w:r>
      <w:r>
        <w:rPr>
          <w:rFonts w:hint="eastAsia" w:ascii="方正小标宋简体" w:hAnsi="方正小标宋简体" w:eastAsia="方正小标宋简体" w:cs="方正小标宋简体"/>
          <w:sz w:val="44"/>
          <w:szCs w:val="44"/>
        </w:rPr>
        <w:t>药品上市许可持有人受托</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生产企业遴选指南</w:t>
      </w:r>
    </w:p>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一、制定目的</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为规范药品委托生产，指导</w:t>
      </w:r>
      <w:r>
        <w:rPr>
          <w:rFonts w:hint="eastAsia" w:ascii="仿宋_GB2312" w:hAnsi="仿宋_GB2312" w:eastAsia="仿宋_GB2312" w:cs="仿宋_GB2312"/>
          <w:sz w:val="32"/>
          <w:szCs w:val="32"/>
          <w:lang w:eastAsia="zh-CN"/>
        </w:rPr>
        <w:t>西藏自治区</w:t>
      </w:r>
      <w:r>
        <w:rPr>
          <w:rFonts w:hint="eastAsia" w:ascii="仿宋_GB2312" w:hAnsi="仿宋_GB2312" w:eastAsia="仿宋_GB2312" w:cs="仿宋_GB2312"/>
          <w:sz w:val="32"/>
          <w:szCs w:val="32"/>
        </w:rPr>
        <w:t>内委托生产的药品上市许可持有人(以下简称B证持有人）选择与委托药品匹配性高、业界认可度高、合规意识强、质量体系健全、GMP实施规范、风险处置水平高的受托生产企业，确保B证持有人与受托生产企业的质量体系衔接良好、质量保证措施完善，特制定本指南。本指南适用于</w:t>
      </w:r>
      <w:r>
        <w:rPr>
          <w:rFonts w:hint="eastAsia" w:ascii="仿宋_GB2312" w:hAnsi="仿宋_GB2312" w:eastAsia="仿宋_GB2312" w:cs="仿宋_GB2312"/>
          <w:sz w:val="32"/>
          <w:szCs w:val="32"/>
          <w:lang w:eastAsia="zh-CN"/>
        </w:rPr>
        <w:t>西藏自治区</w:t>
      </w:r>
      <w:r>
        <w:rPr>
          <w:rFonts w:hint="eastAsia" w:ascii="仿宋_GB2312" w:hAnsi="仿宋_GB2312" w:eastAsia="仿宋_GB2312" w:cs="仿宋_GB2312"/>
          <w:sz w:val="32"/>
          <w:szCs w:val="32"/>
        </w:rPr>
        <w:t>内B证持有人遴选受托生产企业。</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二、制定依据</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华人民共和国药品管理法》《药品注册管理办法》《药品生产监督管理办法》《药品经营和使用质量监督管理办法》《药品生产质量管理规范》及其附录、《药品经营质量管理规范》《药品上市许可持有人落实药品质量安全主体责任监督管理规定》《国家药监局关于加强药品上市许可持有人委托生产监督管理工作的公告》（2023年第132号）、《药品委托生产质量协议指南》（2020年版）、《药品上市许可持有人委托生产现场检查指南》</w:t>
      </w:r>
      <w:r>
        <w:rPr>
          <w:rFonts w:hint="eastAsia" w:ascii="仿宋_GB2312" w:hAnsi="仿宋_GB2312" w:eastAsia="仿宋_GB2312" w:cs="仿宋_GB2312"/>
          <w:sz w:val="32"/>
          <w:szCs w:val="32"/>
          <w:lang w:eastAsia="zh-CN"/>
        </w:rPr>
        <w:t>以及</w:t>
      </w:r>
      <w:r>
        <w:rPr>
          <w:rFonts w:hint="eastAsia" w:ascii="仿宋_GB2312" w:hAnsi="仿宋_GB2312" w:eastAsia="仿宋_GB2312" w:cs="仿宋_GB2312"/>
          <w:sz w:val="32"/>
          <w:szCs w:val="32"/>
        </w:rPr>
        <w:t>其他药品相关法律、法规、规章、技术规范和标准。</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三、遴选要点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（一）总体要求</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B证持有人应当综合评估受托生产企业的生产能力、质量保证及控制能力、风险识别及防控能力、安全环保控制能力、信息化管理能力等各个方面的情况，按照质量优先、合规首选的原则，</w:t>
      </w:r>
      <w:r>
        <w:rPr>
          <w:rFonts w:hint="eastAsia" w:ascii="仿宋_GB2312" w:hAnsi="仿宋_GB2312" w:eastAsia="仿宋_GB2312" w:cs="仿宋_GB2312"/>
          <w:sz w:val="32"/>
          <w:szCs w:val="32"/>
        </w:rPr>
        <w:t>选择符合委托药品的生产与质量管理需求的受托生产企业，通过委托生产合同和质量协议明确双方责任与义务，建立有效沟通机制，保证双方质量管理体系有效衔接，确保生产过程及药品质量持续符合法定要求。</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rPr>
        <w:t>（二）</w:t>
      </w:r>
      <w:r>
        <w:rPr>
          <w:rFonts w:hint="eastAsia" w:ascii="楷体_GB2312" w:hAnsi="楷体_GB2312" w:eastAsia="楷体_GB2312" w:cs="楷体_GB2312"/>
          <w:sz w:val="32"/>
          <w:szCs w:val="32"/>
          <w:lang w:eastAsia="zh-CN"/>
        </w:rPr>
        <w:t>企业整体运行情况</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1.企业资质</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受托生产企业应依法持有药品生产许可证，</w:t>
      </w:r>
      <w:r>
        <w:rPr>
          <w:rFonts w:hint="eastAsia" w:ascii="仿宋_GB2312" w:hAnsi="仿宋_GB2312" w:eastAsia="仿宋_GB2312" w:cs="仿宋_GB2312"/>
          <w:sz w:val="32"/>
          <w:szCs w:val="32"/>
        </w:rPr>
        <w:t>严格遵守药品管理法律法规，</w:t>
      </w:r>
      <w:r>
        <w:rPr>
          <w:rFonts w:hint="eastAsia" w:ascii="仿宋_GB2312" w:hAnsi="仿宋_GB2312" w:eastAsia="仿宋_GB2312" w:cs="仿宋_GB2312"/>
          <w:sz w:val="32"/>
          <w:szCs w:val="32"/>
          <w:lang w:val="en-US" w:eastAsia="zh-CN"/>
        </w:rPr>
        <w:t>具备与受托生产药品相适应的生产线和质量保证及控制能力，根据要求通过GMP符合性检查或者当地省局出具同意受托生产审查意见书。</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2.企业在业界的认可度</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根据受托品种类型优先选择业界认可度较高的企业。可分别从受托生产企业的生产规模、生产经验、市场占比、业界的认可度、竞争能力、责任赔偿能力等方面进行评价。</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2.1企业规模</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优先选择具备与受托产品相匹配的生产线及充足的产能，满足受托产品的生产需求的受托生产企业；持有人变更的，原则上建议选择原持有人继续委托生产。</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rPr>
        <w:t>2.2</w:t>
      </w:r>
      <w:r>
        <w:rPr>
          <w:rFonts w:hint="eastAsia" w:ascii="仿宋_GB2312" w:hAnsi="仿宋_GB2312" w:eastAsia="仿宋_GB2312" w:cs="仿宋_GB2312"/>
          <w:b/>
          <w:bCs/>
          <w:sz w:val="32"/>
          <w:szCs w:val="32"/>
          <w:lang w:eastAsia="zh-CN"/>
        </w:rPr>
        <w:t>责任赔偿能力</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企业可通过了解获取受托生产企业在药品研发投入、企业的专业推广力、市场占比等，尤其是受托生产企业同类型品种的情况，优先考虑综合实力较强的企业，同时可优先考虑同一集团内的药品生产企业。</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2.3竞争能力</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评价指标包括但不限于企业技术创新、组织管理、人才培养、合规运营等能力，可通过受托生产企业注册产品数量、创新药数量、在研品种数量、生产设施设备信息化程度、组织管理流程、人才培养机制、法规管理等方面进行评价。</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3.企业信誉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企业信誉反映了企业的信用状况和履约能力，良好的企业信誉可以保证企业可持续发展，降低合作风险。原则上优先</w:t>
      </w:r>
      <w:r>
        <w:rPr>
          <w:rFonts w:hint="eastAsia" w:ascii="仿宋_GB2312" w:hAnsi="仿宋_GB2312" w:eastAsia="仿宋_GB2312" w:cs="仿宋_GB2312"/>
          <w:sz w:val="32"/>
          <w:szCs w:val="32"/>
          <w:lang w:val="en-US" w:eastAsia="zh-CN"/>
        </w:rPr>
        <w:t>优先考虑具有良好的信用状况、履约能力、运营能力及可持续发展能力的受托生产企业。</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3.1企业运营异常</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可从国家企业信用信息公示查询服务平台、中国裁判文书网等国家官方网站，或者天眼查等第三方服务平台，收集企业是否存在破产倒闭、存在多项商业合同纠纷，例如具有破产或合约执行风险，包括其关联方的情况。</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3.2不良信用记录</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可从国家药品监督管理局网站、各省药品监督管理局网站获取是否具有以下不良信用情形：</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（1）近一年内存在两批次以上药品抽检不合格的；</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（2）近三年内监督检查结论存在不符合药品GMP要求情况的；</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（3）近五年内存在严重违反药品监管法规行为或者关键岗位人员存在失信记录的；</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（4）三年内存在被国内外药品监督管理机构给予过行政处罚或者责令不合格药品召回情况的。</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（三）同类型、同剂型产品的生产规模、生产经验、匹配性优先选择与受托生产药品类型相似、剂型相同、生产规模大、生产经验丰富、生产所用设备及仪器匹配性好的企业。</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4</w:t>
      </w:r>
      <w:r>
        <w:rPr>
          <w:rFonts w:hint="eastAsia" w:ascii="仿宋_GB2312" w:hAnsi="仿宋_GB2312" w:eastAsia="仿宋_GB2312" w:cs="仿宋_GB2312"/>
          <w:b/>
          <w:bCs/>
          <w:sz w:val="32"/>
          <w:szCs w:val="32"/>
        </w:rPr>
        <w:t>.生产规模及生产经验</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生产规模评价指标一般为同类型、同剂型品种的生产线数量、</w:t>
      </w:r>
      <w:r>
        <w:rPr>
          <w:rFonts w:hint="eastAsia" w:ascii="仿宋_GB2312" w:hAnsi="仿宋_GB2312" w:eastAsia="仿宋_GB2312" w:cs="仿宋_GB2312"/>
          <w:sz w:val="32"/>
          <w:szCs w:val="32"/>
          <w:lang w:val="en-US" w:eastAsia="zh-CN"/>
        </w:rPr>
        <w:t>生产批次数量</w:t>
      </w:r>
      <w:r>
        <w:rPr>
          <w:rFonts w:hint="eastAsia" w:ascii="仿宋_GB2312" w:hAnsi="仿宋_GB2312" w:eastAsia="仿宋_GB2312" w:cs="仿宋_GB2312"/>
          <w:sz w:val="32"/>
          <w:szCs w:val="32"/>
        </w:rPr>
        <w:t>、年度生产能力等。生产经验一般可从受托生产企业生产同品种、同类型、同剂型的产品数量及是否有受托生产、质量管理经验等指标进行评价。</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4.1</w:t>
      </w:r>
      <w:r>
        <w:rPr>
          <w:rFonts w:hint="eastAsia" w:ascii="仿宋_GB2312" w:hAnsi="仿宋_GB2312" w:eastAsia="仿宋_GB2312" w:cs="仿宋_GB2312"/>
          <w:b/>
          <w:bCs/>
          <w:sz w:val="32"/>
          <w:szCs w:val="32"/>
        </w:rPr>
        <w:t>.与产品的匹配性</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可优先选择与受托生产药品所需要的机构与人员、厂房、设施与设备、物料与产品管理、确认与验证、生产管理、质量保证及控制、产能等方面匹配性好的企业。</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5.</w:t>
      </w:r>
      <w:r>
        <w:rPr>
          <w:rFonts w:hint="eastAsia" w:ascii="仿宋_GB2312" w:hAnsi="仿宋_GB2312" w:eastAsia="仿宋_GB2312" w:cs="仿宋_GB2312"/>
          <w:b/>
          <w:bCs/>
          <w:sz w:val="32"/>
          <w:szCs w:val="32"/>
        </w:rPr>
        <w:t>机构与人员</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企业应当具备与受托生产药品相匹配的组织机构与人员，配置生产及质量管理人员数量应当与受托生产药品的生产需求量相适应。</w:t>
      </w:r>
    </w:p>
    <w:p>
      <w:pPr>
        <w:keepNext w:val="0"/>
        <w:keepLines w:val="0"/>
        <w:pageBreakBefore w:val="0"/>
        <w:widowControl w:val="0"/>
        <w:numPr>
          <w:ilvl w:val="0"/>
          <w:numId w:val="3"/>
        </w:numP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受托生产企业应配备与药品生产规模相适应的管理人员，实施委托前委托方应对受托生产企业的关键岗位人员配备和在职在岗情况、质量管理体系建设和运行情况、对委托生产的管理情况等内容进行评估。</w:t>
      </w:r>
    </w:p>
    <w:p>
      <w:pPr>
        <w:keepNext w:val="0"/>
        <w:keepLines w:val="0"/>
        <w:pageBreakBefore w:val="0"/>
        <w:widowControl w:val="0"/>
        <w:numPr>
          <w:ilvl w:val="0"/>
          <w:numId w:val="3"/>
        </w:numPr>
        <w:kinsoku/>
        <w:wordWrap/>
        <w:overflowPunct/>
        <w:topLinePunct w:val="0"/>
        <w:autoSpaceDE/>
        <w:autoSpaceDN/>
        <w:bidi w:val="0"/>
        <w:adjustRightInd/>
        <w:snapToGrid/>
        <w:spacing w:line="576"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针对具体委托品种的生产和质量管理，受托生产企业承诺可以明确其直接负责的主管人员和其他责任人员并形成文件。</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（3）受托方应当保证参与受托生产药品生产、检验、物料管理等人员接受与受托生产药品、物料相关的培训。</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（4）质量保证人员应该充足，配比一般是10%-15%以上，应能满足企业年度产能的管理需求。</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5.1</w:t>
      </w:r>
      <w:r>
        <w:rPr>
          <w:rFonts w:hint="eastAsia" w:ascii="仿宋_GB2312" w:hAnsi="仿宋_GB2312" w:eastAsia="仿宋_GB2312" w:cs="仿宋_GB2312"/>
          <w:b/>
          <w:bCs/>
          <w:sz w:val="32"/>
          <w:szCs w:val="32"/>
        </w:rPr>
        <w:t>厂房、设施与设备</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具备拟受托生产药品生产工艺与质量管理需求的厂房、设施、设备。应优先从厂房防污染及交叉污染布局、设施设备性能匹配度、先进性上考虑。优先选择设备自动化程度高，配备在线监测设备、过程监测设备，与受托生产药品匹配性较高的企业。</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5.2</w:t>
      </w:r>
      <w:r>
        <w:rPr>
          <w:rFonts w:hint="eastAsia" w:ascii="仿宋_GB2312" w:hAnsi="仿宋_GB2312" w:eastAsia="仿宋_GB2312" w:cs="仿宋_GB2312"/>
          <w:b/>
          <w:bCs/>
          <w:sz w:val="32"/>
          <w:szCs w:val="32"/>
        </w:rPr>
        <w:t>物料与产品管理</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24"/>
          <w:lang w:val="en-US" w:eastAsia="zh-CN"/>
        </w:rPr>
      </w:pPr>
      <w:r>
        <w:rPr>
          <w:rFonts w:hint="eastAsia" w:ascii="仿宋_GB2312" w:hAnsi="仿宋_GB2312" w:eastAsia="仿宋_GB2312" w:cs="仿宋_GB2312"/>
          <w:sz w:val="32"/>
          <w:szCs w:val="32"/>
          <w:lang w:val="en-US" w:eastAsia="zh-CN"/>
        </w:rPr>
        <w:t>是否建立了供应商管理程序，是否建立了物料管理规程。物料和产品运输、仓储管理是否符合相应质量管理规范的要求，如发现异常情况，是否有偏差和OOS管理进行处理。</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5.3</w:t>
      </w:r>
      <w:r>
        <w:rPr>
          <w:rFonts w:hint="eastAsia" w:ascii="仿宋_GB2312" w:hAnsi="仿宋_GB2312" w:eastAsia="仿宋_GB2312" w:cs="仿宋_GB2312"/>
          <w:b/>
          <w:bCs/>
          <w:sz w:val="32"/>
          <w:szCs w:val="32"/>
        </w:rPr>
        <w:t>确认与验证</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现有的厂房、设施与设备、仪器确认与验证管理是否满足受托生产药品的需求；是否按计划对厂房设施和设备进行维护，是否结合药品生产需要开展必要的确认与验证。如需要补充确认/验证，在产品工艺确认/验证前是否可完成相关工作。</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5.4</w:t>
      </w:r>
      <w:r>
        <w:rPr>
          <w:rFonts w:hint="eastAsia" w:ascii="仿宋_GB2312" w:hAnsi="仿宋_GB2312" w:eastAsia="仿宋_GB2312" w:cs="仿宋_GB2312"/>
          <w:b/>
          <w:bCs/>
          <w:sz w:val="32"/>
          <w:szCs w:val="32"/>
        </w:rPr>
        <w:t>生产管理</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托生产企业应当能够接受B证持有人对委托生产全过程进行指导和监督，确保能够按照注册工艺生产出符合注册标准的药品；生物制品、中药注射剂、多组分生化药受托生产企业，应接受B证持有人选派人员入驻，对生产管理、质量管理全过程进行现场指导和监督。</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5.5</w:t>
      </w:r>
      <w:r>
        <w:rPr>
          <w:rFonts w:hint="eastAsia" w:ascii="仿宋_GB2312" w:hAnsi="仿宋_GB2312" w:eastAsia="仿宋_GB2312" w:cs="仿宋_GB2312"/>
          <w:b/>
          <w:bCs/>
          <w:sz w:val="32"/>
          <w:szCs w:val="32"/>
        </w:rPr>
        <w:t>质量控制与质量保证</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优先选择具有充足</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lang w:val="en-US" w:eastAsia="zh-CN"/>
        </w:rPr>
        <w:t>质量保证和控制人员、</w:t>
      </w:r>
      <w:r>
        <w:rPr>
          <w:rFonts w:hint="eastAsia" w:ascii="仿宋_GB2312" w:hAnsi="仿宋_GB2312" w:eastAsia="仿宋_GB2312" w:cs="仿宋_GB2312"/>
          <w:sz w:val="32"/>
          <w:szCs w:val="32"/>
        </w:rPr>
        <w:t>拥有全自动分析检测设备、先进的数据管理系统、与受托生产药品相匹配的检验能力的实验室的企业。</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文件管理规范，能够保存所有与委托生产品种直接相关的生产质量文件和记录，并确保所有的文件和记录真实、完整、可追溯，可以随时查询。</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5.6</w:t>
      </w:r>
      <w:r>
        <w:rPr>
          <w:rFonts w:hint="eastAsia" w:ascii="仿宋_GB2312" w:hAnsi="仿宋_GB2312" w:eastAsia="仿宋_GB2312" w:cs="仿宋_GB2312"/>
          <w:b/>
          <w:bCs/>
          <w:sz w:val="32"/>
          <w:szCs w:val="32"/>
        </w:rPr>
        <w:t>产能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根据受托生产药品及共线药品市场需求量，计算生产线产能，富余产能能够满足受托生产药品的市场需求。</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三</w:t>
      </w:r>
      <w:r>
        <w:rPr>
          <w:rFonts w:hint="eastAsia" w:ascii="楷体_GB2312" w:hAnsi="楷体_GB2312" w:eastAsia="楷体_GB2312" w:cs="楷体_GB2312"/>
          <w:sz w:val="32"/>
          <w:szCs w:val="32"/>
        </w:rPr>
        <w:t>）既往接受检查情况及风险管理</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1.受托生产企业既往接受检查情况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1.1监督检查情况、国内外客户审计情况（包括关联方和合作方）、同剂型生产线接受注册核查情况；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1.2质量内审、质量管理评审开展情况；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1.3及时跟踪并执行最新政策法规情况。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2.受托生产企业的风险管理</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2.1风险控制措施制定</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托生产企业应当结合药品风险，配合B证持有人定期组织对委托生产质量管理、生产管理等情况进行回顾分析，原则上每季度不少于一次风险研判，制定纠正预防措施，持续健全质量管理体系。委托生产药品发生严重不良反应或者抽检发现不合格情况时，快速响应，主动配合B证持有人从物料质量、生产过程控制、检测、储存、发运等环节进行调查分析。发现不符合要求的，应当依法采取风险控制措施。</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2.2共线风险评估</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受托生产企业应当建立增加共线产品及时告知B证持有人管理机制。</w:t>
      </w:r>
      <w:r>
        <w:rPr>
          <w:rFonts w:hint="eastAsia" w:ascii="仿宋_GB2312" w:hAnsi="仿宋_GB2312" w:eastAsia="仿宋_GB2312" w:cs="仿宋_GB2312"/>
          <w:sz w:val="32"/>
          <w:szCs w:val="32"/>
          <w:lang w:val="en-US" w:eastAsia="zh-CN"/>
        </w:rPr>
        <w:t>对于同一生产线生产其他药品的，受托生产企业应当根据《药品共线生产质量风险管理指南》，制定可行的污染控制措施，排查污染和交叉污染风险。受托生产企业应当对执行污染控制措施的情况进行检查，并根据风险评估情况设置必要的检验项目、开展检验，确保药品质量安全。</w:t>
      </w:r>
      <w:r>
        <w:rPr>
          <w:rFonts w:hint="eastAsia" w:ascii="仿宋_GB2312" w:hAnsi="仿宋_GB2312" w:eastAsia="仿宋_GB2312" w:cs="仿宋_GB2312"/>
          <w:sz w:val="32"/>
          <w:szCs w:val="32"/>
        </w:rPr>
        <w:t>委托生产线增加共线品种时，需及时告知共线品种B证持有人，并由B证持有人审核确认。</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2.3药品安全事件处置</w:t>
      </w:r>
      <w:r>
        <w:rPr>
          <w:rFonts w:hint="eastAsia" w:ascii="仿宋_GB2312" w:hAnsi="仿宋_GB2312" w:eastAsia="仿宋_GB2312" w:cs="仿宋_GB2312"/>
          <w:b/>
          <w:bCs/>
          <w:sz w:val="32"/>
          <w:szCs w:val="32"/>
          <w:lang w:eastAsia="zh-CN"/>
        </w:rPr>
        <w:t>能力</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受托生产企业应当制定药品安全事件处置方案，并定期组织开展培训和应急演练。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四</w:t>
      </w:r>
      <w:r>
        <w:rPr>
          <w:rFonts w:hint="eastAsia" w:ascii="楷体_GB2312" w:hAnsi="楷体_GB2312" w:eastAsia="楷体_GB2312" w:cs="楷体_GB2312"/>
          <w:sz w:val="32"/>
          <w:szCs w:val="32"/>
        </w:rPr>
        <w:t>）其他因素</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1.受托生产企业配备专职负责沟通对接持有人的专业团队或成员，双方共同推进意愿较强，高层管理人员对委托生产业务重视程度明显。</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同等条件下，为方便经常性的现场沟通和利于风险防控，建议优先选择持有人变更前生产企业。</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.建议优先选择制药产业比较发达，产业上下游配套相对健全和集中区域的药品生产企业。</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四</w:t>
      </w:r>
      <w:r>
        <w:rPr>
          <w:rFonts w:hint="eastAsia" w:ascii="黑体" w:hAnsi="黑体" w:eastAsia="黑体" w:cs="黑体"/>
          <w:sz w:val="32"/>
          <w:szCs w:val="32"/>
        </w:rPr>
        <w:t>、遴选结果决定</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B证持有人质量管理部门组织遴选，对受托生产企业形成遴选报告等材料，可考虑同步评估两家以上符合上述指标的受托生产企业，质量负责人提出遴选意见后，B证持有人应当组织集体讨论通过后，报法定代表人或企业负责人作出批准决定。</w:t>
      </w:r>
    </w:p>
    <w:p>
      <w:pPr>
        <w:pStyle w:val="10"/>
        <w:keepNext w:val="0"/>
        <w:keepLines w:val="0"/>
        <w:pageBreakBefore w:val="0"/>
        <w:widowControl w:val="0"/>
        <w:kinsoku/>
        <w:wordWrap/>
        <w:overflowPunct/>
        <w:topLinePunct w:val="0"/>
        <w:autoSpaceDE/>
        <w:autoSpaceDN/>
        <w:bidi w:val="0"/>
        <w:spacing w:line="576" w:lineRule="exact"/>
        <w:ind w:left="0" w:leftChars="0" w:right="0" w:rightChars="0"/>
        <w:rPr>
          <w:rFonts w:hint="default"/>
          <w:lang w:val="en-US" w:eastAsia="zh-CN"/>
        </w:rPr>
      </w:pPr>
    </w:p>
    <w:p>
      <w:pPr>
        <w:pStyle w:val="10"/>
        <w:keepNext w:val="0"/>
        <w:keepLines w:val="0"/>
        <w:pageBreakBefore w:val="0"/>
        <w:widowControl w:val="0"/>
        <w:kinsoku/>
        <w:wordWrap/>
        <w:overflowPunct/>
        <w:topLinePunct w:val="0"/>
        <w:autoSpaceDE/>
        <w:autoSpaceDN/>
        <w:bidi w:val="0"/>
        <w:spacing w:line="576" w:lineRule="exact"/>
        <w:ind w:left="0" w:leftChars="0" w:right="0" w:rightChars="0"/>
        <w:rPr>
          <w:rFonts w:hint="default"/>
          <w:lang w:val="en-US" w:eastAsia="zh-CN"/>
        </w:rPr>
      </w:pPr>
    </w:p>
    <w:p>
      <w:pPr>
        <w:pStyle w:val="10"/>
        <w:keepNext w:val="0"/>
        <w:keepLines w:val="0"/>
        <w:pageBreakBefore w:val="0"/>
        <w:widowControl w:val="0"/>
        <w:kinsoku/>
        <w:wordWrap/>
        <w:overflowPunct/>
        <w:topLinePunct w:val="0"/>
        <w:autoSpaceDE/>
        <w:autoSpaceDN/>
        <w:bidi w:val="0"/>
        <w:spacing w:line="576" w:lineRule="exact"/>
        <w:ind w:left="0" w:leftChars="0" w:right="0" w:rightChars="0"/>
        <w:rPr>
          <w:rFonts w:hint="default"/>
          <w:lang w:val="en-US" w:eastAsia="zh-CN"/>
        </w:rPr>
      </w:pPr>
    </w:p>
    <w:p>
      <w:pPr>
        <w:pStyle w:val="10"/>
        <w:keepNext w:val="0"/>
        <w:keepLines w:val="0"/>
        <w:pageBreakBefore w:val="0"/>
        <w:widowControl w:val="0"/>
        <w:kinsoku/>
        <w:wordWrap/>
        <w:overflowPunct/>
        <w:topLinePunct w:val="0"/>
        <w:autoSpaceDE/>
        <w:autoSpaceDN/>
        <w:bidi w:val="0"/>
        <w:spacing w:line="576" w:lineRule="exact"/>
        <w:ind w:left="0" w:leftChars="0" w:right="0" w:rightChars="0"/>
        <w:rPr>
          <w:rFonts w:hint="default"/>
          <w:lang w:val="en-US" w:eastAsia="zh-CN"/>
        </w:rPr>
      </w:pPr>
    </w:p>
    <w:p>
      <w:pPr>
        <w:pStyle w:val="10"/>
        <w:keepNext w:val="0"/>
        <w:keepLines w:val="0"/>
        <w:pageBreakBefore w:val="0"/>
        <w:widowControl w:val="0"/>
        <w:kinsoku/>
        <w:wordWrap/>
        <w:overflowPunct/>
        <w:topLinePunct w:val="0"/>
        <w:autoSpaceDE/>
        <w:autoSpaceDN/>
        <w:bidi w:val="0"/>
        <w:spacing w:line="576" w:lineRule="exact"/>
        <w:ind w:left="0" w:leftChars="0" w:right="0" w:rightChars="0"/>
        <w:rPr>
          <w:rFonts w:hint="default"/>
          <w:lang w:val="en-US" w:eastAsia="zh-CN"/>
        </w:rPr>
      </w:pPr>
    </w:p>
    <w:p>
      <w:pPr>
        <w:pStyle w:val="9"/>
        <w:keepNext w:val="0"/>
        <w:keepLines w:val="0"/>
        <w:pageBreakBefore w:val="0"/>
        <w:widowControl w:val="0"/>
        <w:kinsoku/>
        <w:wordWrap/>
        <w:overflowPunct/>
        <w:topLinePunct w:val="0"/>
        <w:autoSpaceDE/>
        <w:autoSpaceDN/>
        <w:bidi w:val="0"/>
        <w:adjustRightInd/>
        <w:snapToGrid/>
        <w:spacing w:before="156" w:after="156" w:line="576" w:lineRule="exact"/>
        <w:ind w:left="0" w:leftChars="0" w:right="0" w:rightChars="0" w:firstLine="0" w:firstLineChars="0"/>
        <w:jc w:val="both"/>
        <w:textAlignment w:val="auto"/>
        <w:outlineLvl w:val="9"/>
        <w:rPr>
          <w:rFonts w:hint="eastAsia"/>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华康简标题宋">
    <w:altName w:val="宋体"/>
    <w:panose1 w:val="00000000000000000000"/>
    <w:charset w:val="86"/>
    <w:family w:val="modern"/>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宋体_GB2312">
    <w:altName w:val="宋体"/>
    <w:panose1 w:val="00000000000000000000"/>
    <w:charset w:val="00"/>
    <w:family w:val="auto"/>
    <w:pitch w:val="default"/>
    <w:sig w:usb0="00000000" w:usb1="00000000" w:usb2="00000000" w:usb3="00000000" w:csb0="0000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文泉驿微米黑">
    <w:altName w:val="黑体"/>
    <w:panose1 w:val="020B0606030804020204"/>
    <w:charset w:val="86"/>
    <w:family w:val="auto"/>
    <w:pitch w:val="default"/>
    <w:sig w:usb0="00000000" w:usb1="00000000" w:usb2="00800036" w:usb3="00000000" w:csb0="603E019F" w:csb1="DFD7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- 3 -</w:t>
                          </w:r>
                          <w:r>
                            <w:rPr>
                              <w:rFonts w:hint="eastAsia" w:ascii="仿宋_GB2312" w:hAnsi="仿宋_GB2312" w:eastAsia="仿宋_GB2312" w:cs="仿宋_GB2312"/>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- 3 -</w:t>
                    </w:r>
                    <w:r>
                      <w:rPr>
                        <w:rFonts w:hint="eastAsia" w:ascii="仿宋_GB2312" w:hAnsi="仿宋_GB2312" w:eastAsia="仿宋_GB2312" w:cs="仿宋_GB2312"/>
                        <w:sz w:val="28"/>
                        <w:szCs w:val="28"/>
                        <w:lang w:eastAsia="zh-CN"/>
                      </w:rPr>
                      <w:fldChar w:fldCharType="end"/>
                    </w:r>
                  </w:p>
                </w:txbxContent>
              </v:textbox>
            </v:shape>
          </w:pict>
        </mc:Fallback>
      </mc:AlternateContent>
    </w:r>
  </w:p>
  <w:p>
    <w:pPr>
      <w:pStyle w:val="2"/>
      <w:rPr>
        <w:rFonts w:hint="eastAsia"/>
      </w:rPr>
    </w:pPr>
    <w: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x/Dk7rgEAAEsD&#10;AAAOAAAAAAAAAAEAIAAAAB4BAABkcnMvZTJvRG9jLnhtbFBLBQYAAAAABgAGAFkBAAA+BQAAAAA=&#10;">
              <v:fill on="f" focussize="0,0"/>
              <v:stroke on="f"/>
              <v:imagedata o:title=""/>
              <o:lock v:ext="edit" aspectratio="f"/>
              <v:textbox inset="0mm,0mm,0mm,0mm" style="mso-fit-shape-to-text:t;">
                <w:txbxContent>
                  <w:p>
                    <w:pPr>
                      <w:pStyle w:val="2"/>
                      <w:rPr>
                        <w:rFonts w:hint="eastAsia"/>
                      </w:rPr>
                    </w:pP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1F8A9E"/>
    <w:multiLevelType w:val="singleLevel"/>
    <w:tmpl w:val="0C1F8A9E"/>
    <w:lvl w:ilvl="0" w:tentative="0">
      <w:start w:val="9"/>
      <w:numFmt w:val="chineseCounting"/>
      <w:suff w:val="space"/>
      <w:lvlText w:val="第%1条"/>
      <w:lvlJc w:val="left"/>
      <w:rPr>
        <w:rFonts w:hint="eastAsia"/>
      </w:rPr>
    </w:lvl>
  </w:abstractNum>
  <w:abstractNum w:abstractNumId="1">
    <w:nsid w:val="49A946D4"/>
    <w:multiLevelType w:val="singleLevel"/>
    <w:tmpl w:val="49A946D4"/>
    <w:lvl w:ilvl="0" w:tentative="0">
      <w:start w:val="1"/>
      <w:numFmt w:val="decimal"/>
      <w:suff w:val="nothing"/>
      <w:lvlText w:val="（%1）"/>
      <w:lvlJc w:val="left"/>
    </w:lvl>
  </w:abstractNum>
  <w:abstractNum w:abstractNumId="2">
    <w:nsid w:val="5EFE956B"/>
    <w:multiLevelType w:val="singleLevel"/>
    <w:tmpl w:val="5EFE956B"/>
    <w:lvl w:ilvl="0" w:tentative="0">
      <w:start w:val="18"/>
      <w:numFmt w:val="chineseCounting"/>
      <w:suff w:val="space"/>
      <w:lvlText w:val="第%1条"/>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783111B"/>
    <w:rsid w:val="078311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overflowPunct w:val="0"/>
      <w:autoSpaceDE w:val="0"/>
      <w:autoSpaceDN w:val="0"/>
      <w:adjustRightInd w:val="0"/>
      <w:spacing w:line="240" w:lineRule="atLeast"/>
      <w:jc w:val="both"/>
      <w:textAlignment w:val="baseline"/>
    </w:pPr>
    <w:rPr>
      <w:sz w:val="20"/>
    </w:rPr>
  </w:style>
  <w:style w:type="paragraph" w:styleId="3">
    <w:name w:val="Body Text 2"/>
    <w:basedOn w:val="1"/>
    <w:uiPriority w:val="0"/>
    <w:pPr>
      <w:adjustRightInd w:val="0"/>
      <w:snapToGrid w:val="0"/>
      <w:spacing w:line="600" w:lineRule="atLeast"/>
      <w:jc w:val="center"/>
    </w:pPr>
    <w:rPr>
      <w:rFonts w:ascii="华康简标题宋" w:eastAsia="华康简标题宋"/>
      <w:spacing w:val="-4"/>
      <w:sz w:val="44"/>
    </w:rPr>
  </w:style>
  <w:style w:type="paragraph" w:styleId="4">
    <w:name w:val="HTML Preformatted"/>
    <w:basedOn w:val="1"/>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w:basedOn w:val="1"/>
    <w:next w:val="1"/>
    <w:qFormat/>
    <w:uiPriority w:val="0"/>
    <w:pPr>
      <w:spacing w:before="156" w:after="156"/>
      <w:ind w:firstLine="480" w:firstLineChars="200"/>
    </w:pPr>
  </w:style>
  <w:style w:type="paragraph" w:customStyle="1" w:styleId="10">
    <w:name w:val="Default"/>
    <w:qFormat/>
    <w:uiPriority w:val="0"/>
    <w:pPr>
      <w:widowControl w:val="0"/>
      <w:autoSpaceDE w:val="0"/>
      <w:autoSpaceDN w:val="0"/>
      <w:adjustRightInd w:val="0"/>
      <w:spacing w:line="400" w:lineRule="exact"/>
      <w:ind w:right="142"/>
    </w:pPr>
    <w:rPr>
      <w:rFonts w:ascii="黑体" w:hAnsi="Calibri" w:eastAsia="黑体" w:cs="黑体"/>
      <w:color w:val="000000"/>
      <w:sz w:val="24"/>
      <w:szCs w:val="24"/>
      <w:lang w:val="en-US" w:eastAsia="zh-CN" w:bidi="ar-SA"/>
    </w:rPr>
  </w:style>
  <w:style w:type="paragraph" w:customStyle="1" w:styleId="11">
    <w:name w:val="Table Paragraph"/>
    <w:basedOn w:val="1"/>
    <w:qFormat/>
    <w:uiPriority w:val="1"/>
    <w:rPr>
      <w:rFonts w:ascii="Calibri" w:hAnsi="Calibri" w:eastAsia="宋体"/>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2025-01-06T04:42:00Z</dcterms:created>
  <dc:creator>Administrator</dc:creator>
  <cp:lastModifiedBy>Administrator</cp:lastModifiedBy>
  <dcterms:modified xsi:type="dcterms:W3CDTF">2025-01-06T04:42:41Z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