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BCA" w:rsidRDefault="009E368D">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7E5BCA" w:rsidRDefault="009E368D">
      <w:pPr>
        <w:spacing w:beforeLines="50" w:before="156" w:afterLines="100" w:after="312" w:line="560" w:lineRule="exact"/>
        <w:jc w:val="center"/>
        <w:outlineLvl w:val="1"/>
        <w:rPr>
          <w:rFonts w:ascii="仿宋_GB2312" w:eastAsia="方正小标宋简体" w:hAnsi="仿宋_GB2312" w:cs="仿宋_GB2312"/>
          <w:sz w:val="32"/>
          <w:szCs w:val="32"/>
        </w:rPr>
      </w:pPr>
      <w:bookmarkStart w:id="0" w:name="_Toc3499"/>
      <w:bookmarkStart w:id="1" w:name="_Toc29138"/>
      <w:bookmarkStart w:id="2" w:name="_Toc14772"/>
      <w:bookmarkStart w:id="3" w:name="_Toc28104"/>
      <w:bookmarkStart w:id="4" w:name="_Toc27178"/>
      <w:bookmarkStart w:id="5" w:name="_Toc20455"/>
      <w:bookmarkStart w:id="6" w:name="_Toc7662"/>
      <w:bookmarkStart w:id="7" w:name="_Toc19911"/>
      <w:bookmarkStart w:id="8" w:name="_Toc31603"/>
      <w:bookmarkStart w:id="9" w:name="_Toc5500"/>
      <w:bookmarkStart w:id="10" w:name="_Toc12573"/>
      <w:bookmarkStart w:id="11" w:name="_Toc13823"/>
      <w:bookmarkStart w:id="12" w:name="_Toc1033"/>
      <w:bookmarkStart w:id="13" w:name="_Toc10312"/>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7E5BCA" w:rsidRDefault="009E368D">
      <w:pPr>
        <w:numPr>
          <w:ilvl w:val="255"/>
          <w:numId w:val="0"/>
        </w:numPr>
        <w:spacing w:line="560" w:lineRule="exact"/>
        <w:jc w:val="center"/>
        <w:outlineLvl w:val="0"/>
        <w:rPr>
          <w:rFonts w:ascii="黑体" w:eastAsia="黑体" w:hAnsi="黑体"/>
          <w:sz w:val="36"/>
          <w:szCs w:val="36"/>
        </w:rPr>
      </w:pPr>
      <w:bookmarkStart w:id="14" w:name="_Toc30408"/>
      <w:bookmarkStart w:id="15" w:name="_Toc13139"/>
      <w:bookmarkStart w:id="16" w:name="_Toc29775"/>
      <w:bookmarkStart w:id="17" w:name="_Toc8080"/>
      <w:bookmarkStart w:id="18" w:name="_Toc6854"/>
      <w:bookmarkStart w:id="19" w:name="_Toc13358"/>
      <w:bookmarkStart w:id="20" w:name="_Toc25235"/>
      <w:bookmarkStart w:id="21" w:name="_Toc10378"/>
      <w:bookmarkStart w:id="22" w:name="_Toc11637"/>
      <w:bookmarkStart w:id="23" w:name="_Toc2530"/>
      <w:bookmarkStart w:id="24" w:name="_Toc32693"/>
      <w:bookmarkStart w:id="25" w:name="_Toc32096"/>
      <w:bookmarkStart w:id="26" w:name="_Toc32397"/>
      <w:bookmarkStart w:id="27" w:name="_Toc10705"/>
      <w:r>
        <w:rPr>
          <w:rFonts w:ascii="黑体" w:eastAsia="黑体" w:hAnsi="黑体" w:hint="eastAsia"/>
          <w:sz w:val="36"/>
          <w:szCs w:val="36"/>
        </w:rPr>
        <w:t>第一章 注入器系统（回旋型、直线型）</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E5BCA" w:rsidRPr="002610E2" w:rsidRDefault="00033A89">
      <w:pPr>
        <w:numPr>
          <w:ilvl w:val="255"/>
          <w:numId w:val="0"/>
        </w:numPr>
        <w:spacing w:line="560" w:lineRule="exact"/>
        <w:jc w:val="center"/>
        <w:outlineLvl w:val="0"/>
        <w:rPr>
          <w:rFonts w:ascii="仿宋_GB2312" w:eastAsia="仿宋_GB2312" w:hAnsi="黑体"/>
          <w:sz w:val="36"/>
          <w:szCs w:val="36"/>
        </w:rPr>
      </w:pPr>
      <w:r w:rsidRPr="002610E2">
        <w:rPr>
          <w:rFonts w:ascii="仿宋_GB2312" w:eastAsia="仿宋_GB2312" w:hAnsi="黑体" w:hint="eastAsia"/>
          <w:sz w:val="36"/>
          <w:szCs w:val="36"/>
        </w:rPr>
        <w:t>（征求意见稿）</w:t>
      </w:r>
    </w:p>
    <w:p w:rsidR="007E5BCA" w:rsidRDefault="009E368D">
      <w:pPr>
        <w:spacing w:line="560" w:lineRule="exact"/>
        <w:outlineLvl w:val="1"/>
        <w:rPr>
          <w:rFonts w:ascii="黑体" w:eastAsia="黑体" w:hAnsi="黑体" w:cs="黑体"/>
          <w:sz w:val="32"/>
          <w:szCs w:val="32"/>
        </w:rPr>
      </w:pPr>
      <w:bookmarkStart w:id="28" w:name="_Toc12469"/>
      <w:bookmarkStart w:id="29" w:name="_Toc5334"/>
      <w:bookmarkStart w:id="30" w:name="_Toc23761"/>
      <w:bookmarkStart w:id="31" w:name="_Toc10000"/>
      <w:bookmarkStart w:id="32" w:name="_Toc16214"/>
      <w:bookmarkStart w:id="33" w:name="_Toc2861"/>
      <w:bookmarkStart w:id="34" w:name="_Toc3279"/>
      <w:bookmarkStart w:id="35" w:name="_Toc7276"/>
      <w:bookmarkStart w:id="36" w:name="_Toc5740"/>
      <w:bookmarkStart w:id="37" w:name="_Toc22090"/>
      <w:bookmarkStart w:id="38" w:name="_Toc28650"/>
      <w:bookmarkStart w:id="39" w:name="_Toc13498"/>
      <w:bookmarkStart w:id="40" w:name="_Toc9485"/>
      <w:bookmarkStart w:id="41" w:name="_Toc15565"/>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7E5BCA" w:rsidRDefault="009E368D">
      <w:pPr>
        <w:spacing w:line="560" w:lineRule="exact"/>
        <w:ind w:firstLineChars="200" w:firstLine="640"/>
        <w:outlineLvl w:val="2"/>
        <w:rPr>
          <w:rFonts w:ascii="楷体" w:eastAsia="楷体" w:hAnsi="楷体" w:cs="楷体"/>
          <w:sz w:val="32"/>
          <w:szCs w:val="32"/>
        </w:rPr>
      </w:pPr>
      <w:bookmarkStart w:id="42" w:name="_Toc2547"/>
      <w:bookmarkStart w:id="43" w:name="_Toc31443"/>
      <w:bookmarkStart w:id="44" w:name="_Toc16366"/>
      <w:bookmarkStart w:id="45" w:name="_Toc684"/>
      <w:bookmarkStart w:id="46" w:name="_Toc16837"/>
      <w:bookmarkStart w:id="47" w:name="_Toc17104"/>
      <w:bookmarkStart w:id="48" w:name="_Toc20850"/>
      <w:bookmarkStart w:id="49" w:name="_Toc3194"/>
      <w:bookmarkStart w:id="50" w:name="_Toc19946"/>
      <w:bookmarkStart w:id="51" w:name="_Toc28886"/>
      <w:bookmarkStart w:id="52" w:name="_Toc29663"/>
      <w:bookmarkStart w:id="53" w:name="_Toc1814"/>
      <w:bookmarkStart w:id="54" w:name="_Toc14991"/>
      <w:bookmarkStart w:id="55" w:name="_Toc24267"/>
      <w:r>
        <w:rPr>
          <w:rFonts w:ascii="楷体" w:eastAsia="楷体" w:hAnsi="楷体" w:cs="楷体"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7E5BCA" w:rsidRDefault="009E368D">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注入器系统用于给主加速器（同步加速器）提供经初级加速后性能指标达到要求的离子束，包含离子源系统、低能传输系统和初级加速器系统，离子源系统主要是产生所需离子的混合离子束，低能传输系统主要用于离子束的输运，并选择分析出类型和能量满足要求的离子束，注入到初级加速器（回旋加速器或直线加速器），初级加速器用于对离子束进行初级加速，从而得到满足后级注入要求的离子束。</w:t>
      </w:r>
    </w:p>
    <w:p w:rsidR="007E5BCA" w:rsidRDefault="009E368D">
      <w:pPr>
        <w:spacing w:line="560" w:lineRule="exact"/>
        <w:ind w:firstLineChars="200" w:firstLine="640"/>
        <w:outlineLvl w:val="2"/>
        <w:rPr>
          <w:rFonts w:ascii="楷体" w:eastAsia="楷体" w:hAnsi="楷体" w:cs="楷体"/>
          <w:sz w:val="32"/>
          <w:szCs w:val="32"/>
        </w:rPr>
      </w:pPr>
      <w:bookmarkStart w:id="56" w:name="_Toc293"/>
      <w:bookmarkStart w:id="57" w:name="_Toc31637"/>
      <w:bookmarkStart w:id="58" w:name="_Toc26187"/>
      <w:bookmarkStart w:id="59" w:name="_Toc14752"/>
      <w:bookmarkStart w:id="60" w:name="_Toc27056"/>
      <w:bookmarkStart w:id="61" w:name="_Toc1600"/>
      <w:bookmarkStart w:id="62" w:name="_Toc10938"/>
      <w:bookmarkStart w:id="63" w:name="_Toc19905"/>
      <w:bookmarkStart w:id="64" w:name="_Toc18485"/>
      <w:bookmarkStart w:id="65" w:name="_Toc19119"/>
      <w:bookmarkStart w:id="66" w:name="_Toc31656"/>
      <w:bookmarkStart w:id="67" w:name="_Toc29286"/>
      <w:bookmarkStart w:id="68" w:name="_Toc19984"/>
      <w:bookmarkStart w:id="69" w:name="_Toc21836"/>
      <w:r>
        <w:rPr>
          <w:rFonts w:ascii="楷体" w:eastAsia="楷体" w:hAnsi="楷体" w:cs="楷体"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7E5BCA" w:rsidRDefault="009E368D">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离子源系统通过离子束产生装置产生符合要求的离子束，以ECR离子源为例，离子源弧腔内的自由电子通过达到共振条件吸收微波馈入的能量而加速，高速运动的电子碰撞注入的气体分子而将气体分子电离成为不同电荷态的离子从而在弧腔内形成等离子体，离子源引出端通过高压电场将等离子体中带正电的离子束引出至低能传输系统。</w:t>
      </w:r>
    </w:p>
    <w:p w:rsidR="007E5BCA" w:rsidRDefault="009E368D">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低能传输系统</w:t>
      </w:r>
      <w:r>
        <w:rPr>
          <w:rFonts w:ascii="仿宋_GB2312" w:eastAsia="仿宋_GB2312" w:hAnsi="Arial" w:cs="Arial"/>
          <w:color w:val="000000"/>
          <w:kern w:val="0"/>
          <w:sz w:val="32"/>
          <w:szCs w:val="28"/>
        </w:rPr>
        <w:t>利用不同分布的磁场，通过</w:t>
      </w:r>
      <w:r>
        <w:rPr>
          <w:rFonts w:ascii="仿宋_GB2312" w:eastAsia="仿宋_GB2312" w:hAnsi="Arial" w:cs="Arial" w:hint="eastAsia"/>
          <w:color w:val="000000"/>
          <w:kern w:val="0"/>
          <w:sz w:val="32"/>
          <w:szCs w:val="28"/>
        </w:rPr>
        <w:t>离子源引出混合离子束</w:t>
      </w:r>
      <w:r>
        <w:rPr>
          <w:rFonts w:ascii="仿宋_GB2312" w:eastAsia="仿宋_GB2312" w:hAnsi="Arial" w:cs="Arial"/>
          <w:color w:val="000000"/>
          <w:kern w:val="0"/>
          <w:sz w:val="32"/>
          <w:szCs w:val="28"/>
        </w:rPr>
        <w:t>形成不同的作用来聚焦、输运，并从包含多种质荷比的混合离子束中分</w:t>
      </w:r>
      <w:r>
        <w:rPr>
          <w:rFonts w:ascii="仿宋_GB2312" w:eastAsia="仿宋_GB2312" w:hAnsi="Arial" w:cs="Arial" w:hint="eastAsia"/>
          <w:color w:val="000000"/>
          <w:kern w:val="0"/>
          <w:sz w:val="32"/>
          <w:szCs w:val="28"/>
        </w:rPr>
        <w:t>离</w:t>
      </w:r>
      <w:r>
        <w:rPr>
          <w:rFonts w:ascii="仿宋_GB2312" w:eastAsia="仿宋_GB2312" w:hAnsi="Arial" w:cs="Arial"/>
          <w:color w:val="000000"/>
          <w:kern w:val="0"/>
          <w:sz w:val="32"/>
          <w:szCs w:val="28"/>
        </w:rPr>
        <w:t>出所需要离子束，为</w:t>
      </w:r>
      <w:r>
        <w:rPr>
          <w:rFonts w:ascii="仿宋_GB2312" w:eastAsia="仿宋_GB2312" w:hAnsi="Arial" w:cs="Arial" w:hint="eastAsia"/>
          <w:color w:val="000000"/>
          <w:kern w:val="0"/>
          <w:sz w:val="32"/>
          <w:szCs w:val="28"/>
        </w:rPr>
        <w:t>初级加速器提供</w:t>
      </w:r>
      <w:r>
        <w:rPr>
          <w:rFonts w:ascii="仿宋_GB2312" w:eastAsia="仿宋_GB2312" w:hAnsi="Arial" w:cs="Arial" w:hint="eastAsia"/>
          <w:color w:val="000000"/>
          <w:kern w:val="0"/>
          <w:sz w:val="32"/>
          <w:szCs w:val="28"/>
        </w:rPr>
        <w:lastRenderedPageBreak/>
        <w:t>类型和能量合适的</w:t>
      </w:r>
      <w:r>
        <w:rPr>
          <w:rFonts w:ascii="仿宋_GB2312" w:eastAsia="仿宋_GB2312" w:hAnsi="Arial" w:cs="Arial"/>
          <w:color w:val="000000"/>
          <w:kern w:val="0"/>
          <w:sz w:val="32"/>
          <w:szCs w:val="28"/>
        </w:rPr>
        <w:t>离子束。</w:t>
      </w:r>
    </w:p>
    <w:p w:rsidR="007E5BCA" w:rsidRDefault="009E368D">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初级加速器将低能传输系统提供的离子束加速得到满足主加速器注入要求的离子束，其中回旋加速器通过主磁场让离子束在回旋腔体内做圆周运动，在运动的过程中通过高频电场在</w:t>
      </w:r>
      <w:r>
        <w:rPr>
          <w:rFonts w:asciiTheme="minorEastAsia" w:eastAsiaTheme="minorEastAsia" w:hAnsiTheme="minorEastAsia" w:cstheme="minorEastAsia" w:hint="eastAsia"/>
          <w:color w:val="000000"/>
          <w:kern w:val="0"/>
          <w:sz w:val="32"/>
          <w:szCs w:val="28"/>
        </w:rPr>
        <w:t>“</w:t>
      </w:r>
      <w:r>
        <w:rPr>
          <w:rFonts w:ascii="仿宋_GB2312" w:eastAsia="仿宋_GB2312" w:hAnsi="Arial" w:cs="Arial" w:hint="eastAsia"/>
          <w:color w:val="000000"/>
          <w:kern w:val="0"/>
          <w:sz w:val="32"/>
          <w:szCs w:val="28"/>
        </w:rPr>
        <w:t>D型盒</w:t>
      </w:r>
      <w:r>
        <w:rPr>
          <w:rFonts w:asciiTheme="minorEastAsia" w:eastAsiaTheme="minorEastAsia" w:hAnsiTheme="minorEastAsia" w:cstheme="minorEastAsia" w:hint="eastAsia"/>
          <w:color w:val="000000"/>
          <w:kern w:val="0"/>
          <w:sz w:val="32"/>
          <w:szCs w:val="28"/>
        </w:rPr>
        <w:t>”</w:t>
      </w:r>
      <w:r>
        <w:rPr>
          <w:rFonts w:ascii="仿宋_GB2312" w:eastAsia="仿宋_GB2312" w:hAnsi="Arial" w:cs="Arial" w:hint="eastAsia"/>
          <w:color w:val="000000"/>
          <w:kern w:val="0"/>
          <w:sz w:val="32"/>
          <w:szCs w:val="28"/>
        </w:rPr>
        <w:t>间隙对离子束进行加速从而增大离子束的回旋半径，直至达到引出条件。为保证高频电场的加速效率，离子束的圆周运动需满足等时性要求，即主磁场的设计需满足等时性要求。直线加速器通过交变电场来加速注入到直线腔体中的离子束。直线加速器的加速腔由一系列具有特定形状的导体组成，这些导体在交变电场的作用下产生一定频率和相位变化电场，粒子在通过这些腔室时受到电场的推动，从而获得动能。</w:t>
      </w:r>
    </w:p>
    <w:p w:rsidR="007E5BCA" w:rsidRDefault="009E368D">
      <w:pPr>
        <w:spacing w:line="560" w:lineRule="exact"/>
        <w:ind w:firstLineChars="200" w:firstLine="640"/>
        <w:outlineLvl w:val="2"/>
        <w:rPr>
          <w:rFonts w:ascii="楷体" w:eastAsia="楷体" w:hAnsi="楷体" w:cs="楷体"/>
          <w:sz w:val="32"/>
          <w:szCs w:val="32"/>
        </w:rPr>
      </w:pPr>
      <w:bookmarkStart w:id="70" w:name="_Toc6598"/>
      <w:bookmarkStart w:id="71" w:name="_Toc9608"/>
      <w:bookmarkStart w:id="72" w:name="_Toc26659"/>
      <w:bookmarkStart w:id="73" w:name="_Toc3759"/>
      <w:bookmarkStart w:id="74" w:name="_Toc4633"/>
      <w:bookmarkStart w:id="75" w:name="_Toc30053"/>
      <w:bookmarkStart w:id="76" w:name="_Toc20079"/>
      <w:bookmarkStart w:id="77" w:name="_Toc31821"/>
      <w:bookmarkStart w:id="78" w:name="_Toc5361"/>
      <w:bookmarkStart w:id="79" w:name="_Toc21887"/>
      <w:bookmarkStart w:id="80" w:name="_Toc23203"/>
      <w:bookmarkStart w:id="81" w:name="_Toc8303"/>
      <w:bookmarkStart w:id="82" w:name="_Toc29316"/>
      <w:bookmarkStart w:id="83" w:name="_Toc6136"/>
      <w:r>
        <w:rPr>
          <w:rFonts w:ascii="楷体" w:eastAsia="楷体" w:hAnsi="楷体" w:cs="楷体" w:hint="eastAsia"/>
          <w:sz w:val="32"/>
          <w:szCs w:val="32"/>
        </w:rPr>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7E5BCA" w:rsidRDefault="009E368D">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注入器系统包含离子源系统、低能传输系统和初级加速器系统（回旋加速器或直线加速器），见图1所示。</w:t>
      </w:r>
    </w:p>
    <w:p w:rsidR="007E5BCA" w:rsidRDefault="009E368D">
      <w:pPr>
        <w:spacing w:line="360" w:lineRule="auto"/>
      </w:pPr>
      <w:r>
        <w:rPr>
          <w:noProof/>
        </w:rPr>
        <mc:AlternateContent>
          <mc:Choice Requires="wps">
            <w:drawing>
              <wp:anchor distT="0" distB="0" distL="114300" distR="114300" simplePos="0" relativeHeight="251663360" behindDoc="0" locked="0" layoutInCell="1" allowOverlap="1">
                <wp:simplePos x="0" y="0"/>
                <wp:positionH relativeFrom="column">
                  <wp:posOffset>3319145</wp:posOffset>
                </wp:positionH>
                <wp:positionV relativeFrom="paragraph">
                  <wp:posOffset>2146935</wp:posOffset>
                </wp:positionV>
                <wp:extent cx="1014095" cy="275590"/>
                <wp:effectExtent l="0" t="0" r="6985" b="13970"/>
                <wp:wrapNone/>
                <wp:docPr id="13" name="文本框 13"/>
                <wp:cNvGraphicFramePr/>
                <a:graphic xmlns:a="http://schemas.openxmlformats.org/drawingml/2006/main">
                  <a:graphicData uri="http://schemas.microsoft.com/office/word/2010/wordprocessingShape">
                    <wps:wsp>
                      <wps:cNvSpPr txBox="1"/>
                      <wps:spPr>
                        <a:xfrm>
                          <a:off x="0" y="0"/>
                          <a:ext cx="1014095"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E5BCA" w:rsidRDefault="009E368D">
                            <w:pPr>
                              <w:rPr>
                                <w:color w:val="FF0000"/>
                              </w:rPr>
                            </w:pPr>
                            <w:r>
                              <w:rPr>
                                <w:rFonts w:hint="eastAsia"/>
                                <w:color w:val="FF0000"/>
                              </w:rPr>
                              <w:t>低能传输系统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261.35pt;margin-top:169.05pt;width:79.85pt;height:2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C7gQIAAEUFAAAOAAAAZHJzL2Uyb0RvYy54bWysVM1uEzEQviPxDpbvZDdp0tKomyqkCkKq&#10;aEVBnB2vnVjYHmM72Q0PUN6AExfuPFefg7E3SQv0UsRld+z5Zsbzzc/ZeWs02QgfFNiK9nslJcJy&#10;qJVdVvTD+/mLl5SEyGzNNFhR0a0I9Hzy/NlZ48ZiACvQtfAEndgwblxFVzG6cVEEvhKGhR44YVEp&#10;wRsW8eiXRe1Zg96NLgZleVw04GvngYsQ8PaiU9JJ9i+l4PFKyiAi0RXFt8X89fm7SN9icsbGS8/c&#10;SvHdM9g/vMIwZTHowdUFi4ysvfrLlVHcQwAZexxMAVIqLnIOmE2//CObmxVzIueC5AR3oCn8P7f8&#10;7ebaE1Vj7Y4oscxgje6+fb37/vPuxy3BOySocWGMuBuHyNi+ghbB+/uAlynvVnqT/pgRQT1SvT3Q&#10;K9pIeDIq+8PydEQJR93gZDQ6zfwX99bOh/hagCFJqKjH8mVW2eYyRHwJQveQFCyAVvVcaZ0PqWXE&#10;THuyYVhsHfMb0eI3lLakqejx0ajMji0k886zthgg5drllKW41SI51/adkEhTTu2RaIxzYQ8RMzqh&#10;JDp/iuEOn0xFbt6nGB8scmSw8WBslAWf881zdU9S/WlPkuzwewa6vBMFsV20ux5YQL3FFvDQTVFw&#10;fK6wTpcsxGvmcWyw6rgK4hV+pAbkGXYSJSvwXx67T3jsZtRS0uAYVjR8XjMvKNFvLPb5aX84THOb&#10;D8PRyQAP/qFm8VBj12YGWPw+Lh3Hs5jwUe9F6cF8xI0xTVFRxSzH2BWNe3EWu+WAG4eL6TSDcFId&#10;i5f2xvHkOtFrYbqOIFVuykRTx82OPpzV3Ku7vZKWwcNzRt1vv8kvAAAA//8DAFBLAwQUAAYACAAA&#10;ACEAouyOJeIAAAALAQAADwAAAGRycy9kb3ducmV2LnhtbEyPy07EMAxF90j8Q2QkNohJH8xMVZqO&#10;EOIhsWPKQ+wyjWkrGqdqMm35e8wKlraPrs8tdovtxYSj7xwpiFcRCKTamY4aBS/V/WUGwgdNRveO&#10;UME3etiVpyeFzo2b6RmnfWgEh5DPtYI2hCGX0tctWu1XbkDi26cbrQ48jo00o5453PYyiaKNtLoj&#10;/tDqAW9brL/2R6vg46J5f/LLw+ucrtPh7nGqtm+mUur8bLm5BhFwCX8w/OqzOpTsdHBHMl70CtZJ&#10;smVUQZpmMQgmNllyBeLAmyxegywL+b9D+QMAAP//AwBQSwECLQAUAAYACAAAACEAtoM4kv4AAADh&#10;AQAAEwAAAAAAAAAAAAAAAAAAAAAAW0NvbnRlbnRfVHlwZXNdLnhtbFBLAQItABQABgAIAAAAIQA4&#10;/SH/1gAAAJQBAAALAAAAAAAAAAAAAAAAAC8BAABfcmVscy8ucmVsc1BLAQItABQABgAIAAAAIQBE&#10;GWC7gQIAAEUFAAAOAAAAAAAAAAAAAAAAAC4CAABkcnMvZTJvRG9jLnhtbFBLAQItABQABgAIAAAA&#10;IQCi7I4l4gAAAAsBAAAPAAAAAAAAAAAAAAAAANsEAABkcnMvZG93bnJldi54bWxQSwUGAAAAAAQA&#10;BADzAAAA6gUAAAAA&#10;" fillcolor="white [3201]" stroked="f" strokeweight=".5pt">
                <v:textbox>
                  <w:txbxContent>
                    <w:p w:rsidR="007E5BCA" w:rsidRDefault="009E368D">
                      <w:pPr>
                        <w:rPr>
                          <w:color w:val="FF0000"/>
                        </w:rPr>
                      </w:pPr>
                      <w:r>
                        <w:rPr>
                          <w:rFonts w:hint="eastAsia"/>
                          <w:color w:val="FF0000"/>
                        </w:rPr>
                        <w:t>低能传输系统</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2809240</wp:posOffset>
                </wp:positionH>
                <wp:positionV relativeFrom="paragraph">
                  <wp:posOffset>2284730</wp:posOffset>
                </wp:positionV>
                <wp:extent cx="509905" cy="127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509905" cy="1270"/>
                        </a:xfrm>
                        <a:prstGeom prst="line">
                          <a:avLst/>
                        </a:prstGeom>
                        <a:ln w="952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2EBB272" id="直接连接符 14"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221.2pt,179.9pt" to="261.35pt,1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6OP/AEAABIEAAAOAAAAZHJzL2Uyb0RvYy54bWysU0uOEzEQ3SNxB8t70p0WAdJKZxYzajYI&#10;Ij6zd9zlxJJ/sk06uQQXQGIHK5bsuQ3DMSi7Oz3DZ4EQXli269VzvVf26uKoFTmAD9Kahs5nJSVg&#10;uO2k2TX0zev2wRNKQmSmY8oaaOgJAr1Y37+36l0Nld1b1YEnSGJC3buG7mN0dVEEvgfNwsw6MBgU&#10;1msWcet3RedZj+xaFVVZPip66zvnLYcQ8PRqCNJ15hcCeHwhRIBIVEOxtphnn+dtmov1itU7z9xe&#10;8rEM9g9VaCYNXjpRXbHIyFsvf6PSknsbrIgzbnVhhZAcsgZUMy9/UfNqzxxkLWhOcJNN4f/R8ueH&#10;jSeyw949pMQwjT26ef/l27uP379+wPnm8yeCEbSpd6FG9KXZ+HEX3MYnzUfhNRFKumtkyS6gLnLM&#10;Jp8mk+EYCcfDRblclgtKOIbm1ePcgmIgSWTOh/gUrCZp0VAlTXKA1ezwLES8GKFnSDpWhvQNXS6q&#10;RUYFq2TXSqVSLPjd9lJ5cmDY/LYtcSQhyHAHhjtl8DDJGwTlVTwpGPhfgkB/sPBquCG9TJhoGedg&#10;4nzkVQbRKU1gCVNiOST+XE2LY8wawSkP8pP968wJnu+0Jk6ZWhrr/1RwPJ6LFQP+rH1QnMRvbXfK&#10;Tc6m4MPLno2fJL3su/ucfvuV1z8AAAD//wMAUEsDBBQABgAIAAAAIQCLbRL13wAAAAsBAAAPAAAA&#10;ZHJzL2Rvd25yZXYueG1sTI/LTsMwEEX3SPyDNUjsqJ00TWmIUyGkIiF108cHOPGQRPgRxW4S/p5h&#10;BcuZObpzbrlfrGETjqH3TkKyEsDQNV73rpVwvRyenoGFqJxWxjuU8I0B9tX9XakK7Wd3wukcW0Yh&#10;LhRKQhfjUHAemg6tCis/oKPbpx+tijSOLdejmincGp4KkXOrekcfOjXgW4fN1/lmJXzouT1gcjrm&#10;ftrZY5+Y9XttpHx8WF5fgEVc4h8Mv/qkDhU51f7mdGBGQpalGaES1psddSBik6ZbYDVtciGAVyX/&#10;36H6AQAA//8DAFBLAQItABQABgAIAAAAIQC2gziS/gAAAOEBAAATAAAAAAAAAAAAAAAAAAAAAABb&#10;Q29udGVudF9UeXBlc10ueG1sUEsBAi0AFAAGAAgAAAAhADj9If/WAAAAlAEAAAsAAAAAAAAAAAAA&#10;AAAALwEAAF9yZWxzLy5yZWxzUEsBAi0AFAAGAAgAAAAhACEDo4/8AQAAEgQAAA4AAAAAAAAAAAAA&#10;AAAALgIAAGRycy9lMm9Eb2MueG1sUEsBAi0AFAAGAAgAAAAhAIttEvXfAAAACwEAAA8AAAAAAAAA&#10;AAAAAAAAVgQAAGRycy9kb3ducmV2LnhtbFBLBQYAAAAABAAEAPMAAABiBQAAAAA=&#10;" strokecolor="red">
                <v:stroke joinstyle="miter"/>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4164330</wp:posOffset>
                </wp:positionH>
                <wp:positionV relativeFrom="paragraph">
                  <wp:posOffset>39370</wp:posOffset>
                </wp:positionV>
                <wp:extent cx="855980" cy="275590"/>
                <wp:effectExtent l="0" t="0" r="12700" b="13970"/>
                <wp:wrapNone/>
                <wp:docPr id="11" name="文本框 11"/>
                <wp:cNvGraphicFramePr/>
                <a:graphic xmlns:a="http://schemas.openxmlformats.org/drawingml/2006/main">
                  <a:graphicData uri="http://schemas.microsoft.com/office/word/2010/wordprocessingShape">
                    <wps:wsp>
                      <wps:cNvSpPr txBox="1"/>
                      <wps:spPr>
                        <a:xfrm>
                          <a:off x="0" y="0"/>
                          <a:ext cx="85598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E5BCA" w:rsidRDefault="009E368D">
                            <w:pPr>
                              <w:rPr>
                                <w:color w:val="FF0000"/>
                              </w:rPr>
                            </w:pPr>
                            <w:r>
                              <w:rPr>
                                <w:rFonts w:hint="eastAsia"/>
                                <w:color w:val="FF0000"/>
                              </w:rPr>
                              <w:t>离子源系统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1" o:spid="_x0000_s1027" type="#_x0000_t202" style="position:absolute;left:0;text-align:left;margin-left:327.9pt;margin-top:3.1pt;width:67.4pt;height:21.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9CgAIAAEsFAAAOAAAAZHJzL2Uyb0RvYy54bWysVM1uEzEQviPxDpbvdJPQ9CfqpgqtipAq&#10;WlEQZ8drNyu8HmM72YQHgDfgxIU7z9Xn4LM3m5afSxGXXY/nmxnPNz8np+vGsJXyoSZb8uHegDNl&#10;JVW1vS35u7cXz444C1HYShiyquQbFfjp9OmTk9ZN1IgWZCrlGZzYMGldyRcxuklRBLlQjQh75JSF&#10;UpNvRITob4vKixbeG1OMBoODoiVfOU9ShYDb807Jp9m/1krGK62DisyUHG+L+evzd56+xfRETG69&#10;cItabp8h/uEVjagtgu5cnYso2NLXf7hqaukpkI57kpqCtK6lyjkgm+Hgt2xuFsKpnAvICW5HU/h/&#10;buXr1bVndYXaDTmzokGN7r5+ufv24+77Z4Y7ENS6MAHuxgEZ1y9oDXB/H3CZ8l5r36Q/MmLQg+rN&#10;jl61jkzi8mg8Pj6CRkI1OoSQ6S/ujZ0P8aWihqVDyT2ql0kVq8sQ8RBAe0iKFcjU1UVtTBZSx6gz&#10;49lKoNYm5ifC4heUsawt+cHz8SA7tpTMO8/GIkBKtUspn+LGqOTc2DdKg6Wc2V+iCSmV3UXM6ITS&#10;cP4Ywy0+marcu48x3lnkyGTjzripLfmcbx6re5KqDz1JusP3DHR5Jwrier7u2qOv+JyqDRrBUzdL&#10;wcmLGuW6FCFeC4/hQYWxEOIVPtoQ6KbtibMF+U9/u0949DS0nLUYxpKHj0vhFWfmlUW3Hw/399P0&#10;ZmF/fDiC4B9q5g81dtmcEXoADY3X5WPCR9MftafmPfbGLEWFSliJ2CWP/fEsdisCe0eq2SyDMK9O&#10;xEt742RynVi2NFtG0nXuzcRWx82WRUxsbtntdkkr4aGcUfc7cPoTAAD//wMAUEsDBBQABgAIAAAA&#10;IQCmEVoO4QAAAAgBAAAPAAAAZHJzL2Rvd25yZXYueG1sTI9LT8MwEITvSP0P1lbigqhDS1Ia4lQI&#10;8ZB6o+Ehbm68JBHxOordJPx7lhO97WhGM99m28m2YsDeN44UXC0iEEilMw1VCl6Lx8sbED5oMrp1&#10;hAp+0MM2n51lOjVupBcc9qESXEI+1QrqELpUSl/WaLVfuA6JvS/XWx1Y9pU0vR653LZyGUWJtLoh&#10;Xqh1h/c1lt/7o1XweVF97Pz09Dau4lX38DwU63dTKHU+n+5uQQScwn8Y/vAZHXJmOrgjGS9aBUkc&#10;M3rgYwmC/fUmSkAcFFxvEpB5Jk8fyH8BAAD//wMAUEsBAi0AFAAGAAgAAAAhALaDOJL+AAAA4QEA&#10;ABMAAAAAAAAAAAAAAAAAAAAAAFtDb250ZW50X1R5cGVzXS54bWxQSwECLQAUAAYACAAAACEAOP0h&#10;/9YAAACUAQAACwAAAAAAAAAAAAAAAAAvAQAAX3JlbHMvLnJlbHNQSwECLQAUAAYACAAAACEApmQ/&#10;QoACAABLBQAADgAAAAAAAAAAAAAAAAAuAgAAZHJzL2Uyb0RvYy54bWxQSwECLQAUAAYACAAAACEA&#10;phFaDuEAAAAIAQAADwAAAAAAAAAAAAAAAADaBAAAZHJzL2Rvd25yZXYueG1sUEsFBgAAAAAEAAQA&#10;8wAAAOgFAAAAAA==&#10;" fillcolor="white [3201]" stroked="f" strokeweight=".5pt">
                <v:textbox>
                  <w:txbxContent>
                    <w:p w:rsidR="007E5BCA" w:rsidRDefault="009E368D">
                      <w:pPr>
                        <w:rPr>
                          <w:color w:val="FF0000"/>
                        </w:rPr>
                      </w:pPr>
                      <w:r>
                        <w:rPr>
                          <w:rFonts w:hint="eastAsia"/>
                          <w:color w:val="FF0000"/>
                        </w:rPr>
                        <w:t>离子源系统</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4117340</wp:posOffset>
                </wp:positionH>
                <wp:positionV relativeFrom="paragraph">
                  <wp:posOffset>314960</wp:posOffset>
                </wp:positionV>
                <wp:extent cx="474980" cy="236855"/>
                <wp:effectExtent l="1905" t="4445" r="10795" b="17780"/>
                <wp:wrapNone/>
                <wp:docPr id="12" name="直接连接符 12"/>
                <wp:cNvGraphicFramePr/>
                <a:graphic xmlns:a="http://schemas.openxmlformats.org/drawingml/2006/main">
                  <a:graphicData uri="http://schemas.microsoft.com/office/word/2010/wordprocessingShape">
                    <wps:wsp>
                      <wps:cNvCnPr/>
                      <wps:spPr>
                        <a:xfrm flipV="1">
                          <a:off x="0" y="0"/>
                          <a:ext cx="474980" cy="236855"/>
                        </a:xfrm>
                        <a:prstGeom prst="line">
                          <a:avLst/>
                        </a:prstGeom>
                        <a:ln w="952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1BA490C2" id="直接连接符 12"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324.2pt,24.8pt" to="361.6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g6r/QEAABQEAAAOAAAAZHJzL2Uyb0RvYy54bWysU82O0zAQviPxDpbvNGnYLt2o6R52VS4I&#10;KmC5u864teQ/2aZpX4IXQOIGJ47ceRuWx9ixk4bl54AQOVix55tv5vvGXlwetCJ78EFa09DppKQE&#10;DLetNNuG3rxePZpTEiIzLVPWQEOPEOjl8uGDRedqqOzOqhY8QRIT6s41dBejq4si8B1oFibWgcGg&#10;sF6ziFu/LVrPOmTXqqjK8rzorG+dtxxCwNPrPkiXmV8I4PGFEAEiUQ3F3mJefV43aS2WC1ZvPXM7&#10;yYc22D90oZk0WHSkumaRkbde/kalJfc2WBEn3OrCCiE5ZA2oZlr+oubVjjnIWtCc4Eabwv+j5c/3&#10;a09ki7OrKDFM44xu33/59u7j968fcL39/IlgBG3qXKgRfWXWftgFt/ZJ80F4TYSS7g2yZBdQFzlk&#10;k4+jyXCIhOPh2ZOzizmOgmOoenw+n80Se9HTJDrnQ3wKVpP001AlTfKA1Wz/LMQeeoKkY2VI19CL&#10;WTXLqGCVbFdSqRQLfru5Up7sGY5/tSrxG4rdg2FpZbCDJLCXlP/iUUHP/xIEOoStV32FdDdhpGWc&#10;g4nTgVcZRKc0gS2MiWWf+HM3K/yGrAGc8iBf2r/OHOG5pjVxzNTSWP+nhuPh1Kzo8SftveIkfmPb&#10;Yx5zNgWvXh7Q8EzS3b6/z+k/HvPyDgAA//8DAFBLAwQUAAYACAAAACEAJrM88N0AAAAJAQAADwAA&#10;AGRycy9kb3ducmV2LnhtbEyP3U6EMBCF7018h2ZMvHMLLKmADBtjsiYme7OrD1DoCMT+ENoFfHvr&#10;lV5OzpdzvqkPm9FsodmPziKkuwQY2c6p0fYIH+/HhwKYD9IqqZ0lhG/ycGhub2pZKbfaMy2X0LNY&#10;Yn0lEYYQpopz3w1kpN+5iWzMPt1sZIjn3HM1yzWWG82zJBHcyNHGhUFO9DJQ93W5GoQ3tfZHSs8n&#10;4ZbSnMZU719bjXh/tz0/AQu0hT8YfvWjOjTRqXVXqzzTCCIv8ogi5KUAFoHHbJ8BaxEKUQJvav7/&#10;g+YHAAD//wMAUEsBAi0AFAAGAAgAAAAhALaDOJL+AAAA4QEAABMAAAAAAAAAAAAAAAAAAAAAAFtD&#10;b250ZW50X1R5cGVzXS54bWxQSwECLQAUAAYACAAAACEAOP0h/9YAAACUAQAACwAAAAAAAAAAAAAA&#10;AAAvAQAAX3JlbHMvLnJlbHNQSwECLQAUAAYACAAAACEAZB4Oq/0BAAAUBAAADgAAAAAAAAAAAAAA&#10;AAAuAgAAZHJzL2Uyb0RvYy54bWxQSwECLQAUAAYACAAAACEAJrM88N0AAAAJAQAADwAAAAAAAAAA&#10;AAAAAABXBAAAZHJzL2Rvd25yZXYueG1sUEsFBgAAAAAEAAQA8wAAAGEFAAAAAA==&#10;" strokecolor="red">
                <v:stroke joinstyle="miter"/>
              </v:line>
            </w:pict>
          </mc:Fallback>
        </mc:AlternateContent>
      </w:r>
      <w:r>
        <w:rPr>
          <w:noProof/>
        </w:rPr>
        <w:drawing>
          <wp:inline distT="0" distB="0" distL="0" distR="0">
            <wp:extent cx="5313680" cy="2987675"/>
            <wp:effectExtent l="0" t="0" r="5080"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381532" cy="3026343"/>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simplePos x="0" y="0"/>
                <wp:positionH relativeFrom="column">
                  <wp:posOffset>288925</wp:posOffset>
                </wp:positionH>
                <wp:positionV relativeFrom="paragraph">
                  <wp:posOffset>86995</wp:posOffset>
                </wp:positionV>
                <wp:extent cx="855980" cy="275590"/>
                <wp:effectExtent l="0" t="0" r="12700" b="13970"/>
                <wp:wrapNone/>
                <wp:docPr id="9" name="文本框 9"/>
                <wp:cNvGraphicFramePr/>
                <a:graphic xmlns:a="http://schemas.openxmlformats.org/drawingml/2006/main">
                  <a:graphicData uri="http://schemas.microsoft.com/office/word/2010/wordprocessingShape">
                    <wps:wsp>
                      <wps:cNvSpPr txBox="1"/>
                      <wps:spPr>
                        <a:xfrm>
                          <a:off x="1138555" y="6091555"/>
                          <a:ext cx="855980" cy="275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7E5BCA" w:rsidRDefault="009E368D">
                            <w:pPr>
                              <w:rPr>
                                <w:color w:val="FF0000"/>
                              </w:rPr>
                            </w:pPr>
                            <w:r>
                              <w:rPr>
                                <w:rFonts w:hint="eastAsia"/>
                                <w:color w:val="FF0000"/>
                              </w:rPr>
                              <w:t>离子源系统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9" o:spid="_x0000_s1028" type="#_x0000_t202" style="position:absolute;left:0;text-align:left;margin-left:22.75pt;margin-top:6.85pt;width:67.4pt;height:2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PAjQIAAFUFAAAOAAAAZHJzL2Uyb0RvYy54bWysVM1uEzEQviPxDpbvZJO0aZOomyq0CkKq&#10;aEVAnB2v3VjYHmM72Q0PAG/AiQt3nqvPwdibTUvhUsRld+z5Zsbzzc/ZeWM02QofFNiSDnp9SoTl&#10;UCl7W9L37xYvxpSEyGzFNFhR0p0I9Hz2/NlZ7aZiCGvQlfAEndgwrV1J1zG6aVEEvhaGhR44YVEp&#10;wRsW8ehvi8qzGr0bXQz7/ZOiBl85D1yEgLeXrZLOsn8pBY/XUgYRiS4pvi3mr8/fVfoWszM2vfXM&#10;rRXfP4P9wysMUxaDHlxdssjIxqs/XBnFPQSQscfBFCCl4iLngNkM+o+yWa6ZEzkXJCe4A03h/7nl&#10;b7Y3nqiqpBNKLDNYortvX+++/7z78YVMEj21C1NELR3iYvMSGixzdx/wMmXdSG/SH/MhST84Go9G&#10;I0p2JT3pTwZJzkSLJhKOANROxlgOjoDhKR5yIYp7R86H+EqAIUkoqcc6ZnrZ9ipEdIXQDpLiBtCq&#10;Wiit8yH1jrjQnmwZVl3H/Fy0+A2lLanxdUejfnZsIZm3nrXFACntNr0sxZ0Wybm2b4VEvjCJ1jB3&#10;6n00xrmwh4gZncwkOn+K4R6fTEXu4qcYHyxyZLDxYGyUBZ/zffTs6mNHkmzxHQNt3omC2Kya3CjD&#10;rvorqHbYFB7aqQqOLxSW64qFeMM8jhFWGFdDvMaP1IB0w16iZA3+89/uEx67G7WU1DiWJQ2fNswL&#10;SvRri30/GRwfpznOh+PR6RAP/qFm9VBjN+YCsAcGuIQcz2LCR92J0oP5gBtknqKiilmOsUsaO/Ei&#10;tssCNxAX83kG4eQ6Fq/s0vHkOrFsYb6JIFXuzcRWy82eRZzd3LL7PZOWw8NzRt1vw9kvAAAA//8D&#10;AFBLAwQUAAYACAAAACEAstGm3+AAAAAIAQAADwAAAGRycy9kb3ducmV2LnhtbEyPzU7DMBCE70i8&#10;g7VIXFDrlBBShTgVQvxIvdEUEDc3XpKIeB3FbhLenu0JjrMzmvk238y2EyMOvnWkYLWMQCBVzrRU&#10;K9iXT4s1CB80Gd05QgU/6GFTnJ/lOjNuolccd6EWXEI+0wqaEPpMSl81aLVfuh6JvS83WB1YDrU0&#10;g5643HbyOopupdUt8UKje3xosPreHa2Cz6v6Y+vn57cpTuL+8WUs03dTKnV5Md/fgQg4h78wnPAZ&#10;HQpmOrgjGS86BTdJwkm+xymIk7+OYhAHBUm6Alnk8v8DxS8AAAD//wMAUEsBAi0AFAAGAAgAAAAh&#10;ALaDOJL+AAAA4QEAABMAAAAAAAAAAAAAAAAAAAAAAFtDb250ZW50X1R5cGVzXS54bWxQSwECLQAU&#10;AAYACAAAACEAOP0h/9YAAACUAQAACwAAAAAAAAAAAAAAAAAvAQAAX3JlbHMvLnJlbHNQSwECLQAU&#10;AAYACAAAACEAHeqjwI0CAABVBQAADgAAAAAAAAAAAAAAAAAuAgAAZHJzL2Uyb0RvYy54bWxQSwEC&#10;LQAUAAYACAAAACEAstGm3+AAAAAIAQAADwAAAAAAAAAAAAAAAADnBAAAZHJzL2Rvd25yZXYueG1s&#10;UEsFBgAAAAAEAAQA8wAAAPQFAAAAAA==&#10;" fillcolor="white [3201]" stroked="f" strokeweight=".5pt">
                <v:textbox>
                  <w:txbxContent>
                    <w:p w:rsidR="007E5BCA" w:rsidRDefault="009E368D">
                      <w:pPr>
                        <w:rPr>
                          <w:color w:val="FF0000"/>
                        </w:rPr>
                      </w:pPr>
                      <w:r>
                        <w:rPr>
                          <w:rFonts w:hint="eastAsia"/>
                          <w:color w:val="FF0000"/>
                        </w:rPr>
                        <w:t>离子源系统</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716915</wp:posOffset>
                </wp:positionH>
                <wp:positionV relativeFrom="paragraph">
                  <wp:posOffset>362585</wp:posOffset>
                </wp:positionV>
                <wp:extent cx="491490" cy="153670"/>
                <wp:effectExtent l="1270" t="4445" r="10160" b="9525"/>
                <wp:wrapNone/>
                <wp:docPr id="4" name="直接连接符 4"/>
                <wp:cNvGraphicFramePr/>
                <a:graphic xmlns:a="http://schemas.openxmlformats.org/drawingml/2006/main">
                  <a:graphicData uri="http://schemas.microsoft.com/office/word/2010/wordprocessingShape">
                    <wps:wsp>
                      <wps:cNvCnPr/>
                      <wps:spPr>
                        <a:xfrm flipH="1" flipV="1">
                          <a:off x="1742440" y="6163310"/>
                          <a:ext cx="491490" cy="153670"/>
                        </a:xfrm>
                        <a:prstGeom prst="line">
                          <a:avLst/>
                        </a:prstGeom>
                        <a:ln w="9525">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DB4765B" id="直接连接符 4" o:spid="_x0000_s1026" style="position:absolute;left:0;text-align:left;flip:x y;z-index:251659264;visibility:visible;mso-wrap-style:square;mso-wrap-distance-left:9pt;mso-wrap-distance-top:0;mso-wrap-distance-right:9pt;mso-wrap-distance-bottom:0;mso-position-horizontal:absolute;mso-position-horizontal-relative:text;mso-position-vertical:absolute;mso-position-vertical-relative:text" from="56.45pt,28.55pt" to="95.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WRDgIAACgEAAAOAAAAZHJzL2Uyb0RvYy54bWysU8uO0zAU3SPxD5b3NEmbdqZR01nMqLBA&#10;UPHau47dWPJLtmnan+AHkNjBiiV7/oaZz+DaScPwWCBEFpav77nH51zfrK6OSqIDc14YXeNikmPE&#10;NDWN0Psav361eXSJkQ9EN0QazWp8Yh5frR8+WHW2YlPTGtkwh4BE+6qzNW5DsFWWedoyRfzEWKYh&#10;yY1TJEDo9lnjSAfsSmbTPF9knXGNdYYy7+H0pk/ideLnnNHwnHPPApI1Bm0hrS6tu7hm6xWp9o7Y&#10;VtBBBvkHFYoIDZeOVDckEPTWid+olKDOeMPDhBqVGc4FZckDuCnyX9y8bIllyQs0x9uxTf7/0dJn&#10;h61DoqlxiZEmCp7o9v2Xb+8+3n39AOvt50+ojE3qrK8Ae623boi83bro+MidQlwK+wTeH6fdm7iL&#10;OfCHjhBclNOyhPafarwoFrNZMTSeHQOiACiXRbmEPAVAMZ8tLlI+68kjkXU+PGZGobipsRQ69oVU&#10;5PDUBxAE0DMkHkuNuhov59N5QnkjRbMRUsacd/vdtXToQGAkNpscvmgQGO7BIJIaDqPt3mjahZNk&#10;Pf8LxqFrIH3a3xDnlY20hFKmQzHwSg3oWMZBwliY94U/q9nAN1QN4FjH0iD/deUIT3caHcZKJbRx&#10;fxIcjmexvMefvfeOo/mdaU7p8VNTYBxTz4ZfJ877/TiV//jB198BAAD//wMAUEsDBBQABgAIAAAA&#10;IQB3/wBg3QAAAAkBAAAPAAAAZHJzL2Rvd25yZXYueG1sTI/BbsIwEETvlfoP1iJxK45DCyGNgyhS&#10;Ua+kPXA08TaJiNfBNpD+fc2pPY72aeZtsR5Nz67ofGdJgpglwJBqqztqJHx9vj9lwHxQpFVvCSX8&#10;oId1+fhQqFzbG+3xWoWGxRLyuZLQhjDknPu6RaP8zA5I8fZtnVEhRtdw7dQtlpuep0my4EZ1FBda&#10;NeC2xfpUXYyEimcuXZ7DRuwOb/sddx/nxeFZyulk3LwCCziGPxju+lEdyuh0tBfSnvUxi3QVUQkv&#10;SwHsDqySObCjhEzMgZcF//9B+QsAAP//AwBQSwECLQAUAAYACAAAACEAtoM4kv4AAADhAQAAEwAA&#10;AAAAAAAAAAAAAAAAAAAAW0NvbnRlbnRfVHlwZXNdLnhtbFBLAQItABQABgAIAAAAIQA4/SH/1gAA&#10;AJQBAAALAAAAAAAAAAAAAAAAAC8BAABfcmVscy8ucmVsc1BLAQItABQABgAIAAAAIQCaRSWRDgIA&#10;ACgEAAAOAAAAAAAAAAAAAAAAAC4CAABkcnMvZTJvRG9jLnhtbFBLAQItABQABgAIAAAAIQB3/wBg&#10;3QAAAAkBAAAPAAAAAAAAAAAAAAAAAGgEAABkcnMvZG93bnJldi54bWxQSwUGAAAAAAQABADzAAAA&#10;cgUAAAAA&#10;" strokecolor="red">
                <v:stroke joinstyle="miter"/>
              </v:line>
            </w:pict>
          </mc:Fallback>
        </mc:AlternateContent>
      </w:r>
    </w:p>
    <w:p w:rsidR="007E5BCA" w:rsidRDefault="009E368D">
      <w:pPr>
        <w:pStyle w:val="11"/>
        <w:rPr>
          <w:rFonts w:ascii="仿宋_GB2312" w:eastAsia="仿宋_GB2312" w:hAnsi="仿宋_GB2312" w:cs="仿宋_GB2312"/>
          <w:sz w:val="30"/>
          <w:szCs w:val="30"/>
        </w:rPr>
      </w:pPr>
      <w:r>
        <w:rPr>
          <w:rFonts w:ascii="仿宋_GB2312" w:eastAsia="仿宋_GB2312" w:hAnsi="仿宋_GB2312" w:cs="仿宋_GB2312" w:hint="eastAsia"/>
          <w:sz w:val="30"/>
          <w:szCs w:val="30"/>
        </w:rPr>
        <w:t>图1 离子源系统示意图</w:t>
      </w:r>
    </w:p>
    <w:p w:rsidR="007E5BCA" w:rsidRDefault="009E368D">
      <w:pPr>
        <w:pStyle w:val="11"/>
        <w:rPr>
          <w:rFonts w:ascii="仿宋_GB2312" w:eastAsia="仿宋_GB2312" w:hAnsi="仿宋_GB2312" w:cs="仿宋_GB2312"/>
          <w:sz w:val="30"/>
          <w:szCs w:val="30"/>
        </w:rPr>
      </w:pPr>
      <w:r>
        <w:rPr>
          <w:noProof/>
        </w:rPr>
        <w:lastRenderedPageBreak/>
        <w:drawing>
          <wp:inline distT="0" distB="0" distL="114300" distR="114300">
            <wp:extent cx="5273040" cy="3338830"/>
            <wp:effectExtent l="0" t="0" r="0" b="1397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9"/>
                    <a:stretch>
                      <a:fillRect/>
                    </a:stretch>
                  </pic:blipFill>
                  <pic:spPr>
                    <a:xfrm>
                      <a:off x="0" y="0"/>
                      <a:ext cx="5273040" cy="3338830"/>
                    </a:xfrm>
                    <a:prstGeom prst="rect">
                      <a:avLst/>
                    </a:prstGeom>
                    <a:noFill/>
                    <a:ln>
                      <a:noFill/>
                    </a:ln>
                  </pic:spPr>
                </pic:pic>
              </a:graphicData>
            </a:graphic>
          </wp:inline>
        </w:drawing>
      </w:r>
      <w:r>
        <w:rPr>
          <w:rFonts w:ascii="仿宋_GB2312" w:eastAsia="仿宋_GB2312" w:hAnsi="仿宋_GB2312" w:cs="仿宋_GB2312" w:hint="eastAsia"/>
          <w:sz w:val="30"/>
          <w:szCs w:val="30"/>
        </w:rPr>
        <w:t>图2 回旋加速器示意图</w:t>
      </w:r>
    </w:p>
    <w:p w:rsidR="007E5BCA" w:rsidRDefault="009E368D">
      <w:pPr>
        <w:spacing w:line="360" w:lineRule="auto"/>
      </w:pPr>
      <w:r>
        <w:rPr>
          <w:noProof/>
        </w:rPr>
        <w:drawing>
          <wp:inline distT="0" distB="0" distL="114300" distR="114300">
            <wp:extent cx="5271135" cy="2046605"/>
            <wp:effectExtent l="0" t="0" r="1905" b="1079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0"/>
                    <a:stretch>
                      <a:fillRect/>
                    </a:stretch>
                  </pic:blipFill>
                  <pic:spPr>
                    <a:xfrm>
                      <a:off x="0" y="0"/>
                      <a:ext cx="5271135" cy="2046605"/>
                    </a:xfrm>
                    <a:prstGeom prst="rect">
                      <a:avLst/>
                    </a:prstGeom>
                    <a:noFill/>
                    <a:ln>
                      <a:noFill/>
                    </a:ln>
                  </pic:spPr>
                </pic:pic>
              </a:graphicData>
            </a:graphic>
          </wp:inline>
        </w:drawing>
      </w:r>
    </w:p>
    <w:p w:rsidR="007E5BCA" w:rsidRDefault="009E368D">
      <w:pPr>
        <w:pStyle w:val="11"/>
        <w:rPr>
          <w:rFonts w:ascii="仿宋_GB2312" w:eastAsia="仿宋_GB2312" w:hAnsi="仿宋_GB2312" w:cs="仿宋_GB2312"/>
          <w:sz w:val="30"/>
          <w:szCs w:val="30"/>
        </w:rPr>
      </w:pPr>
      <w:r>
        <w:rPr>
          <w:rFonts w:ascii="仿宋_GB2312" w:eastAsia="仿宋_GB2312" w:hAnsi="仿宋_GB2312" w:cs="仿宋_GB2312" w:hint="eastAsia"/>
          <w:sz w:val="30"/>
          <w:szCs w:val="30"/>
        </w:rPr>
        <w:t>图3 直线加速器示意图</w:t>
      </w:r>
    </w:p>
    <w:p w:rsidR="007E5BCA" w:rsidRDefault="009E368D">
      <w:pPr>
        <w:numPr>
          <w:ilvl w:val="0"/>
          <w:numId w:val="1"/>
        </w:numPr>
        <w:spacing w:line="560" w:lineRule="exact"/>
        <w:outlineLvl w:val="1"/>
        <w:rPr>
          <w:rFonts w:ascii="黑体" w:eastAsia="黑体" w:hAnsi="黑体" w:cs="黑体"/>
          <w:sz w:val="32"/>
          <w:szCs w:val="32"/>
        </w:rPr>
      </w:pPr>
      <w:r>
        <w:rPr>
          <w:rFonts w:ascii="黑体" w:eastAsia="黑体" w:hAnsi="黑体" w:cs="黑体" w:hint="eastAsia"/>
          <w:sz w:val="32"/>
          <w:szCs w:val="32"/>
        </w:rPr>
        <w:t>主要技术指标</w:t>
      </w:r>
    </w:p>
    <w:p w:rsidR="007E5BCA" w:rsidRDefault="009E368D">
      <w:pPr>
        <w:pStyle w:val="11"/>
        <w:rPr>
          <w:rFonts w:ascii="仿宋_GB2312" w:eastAsia="仿宋_GB2312" w:hAnsi="仿宋_GB2312" w:cs="仿宋_GB2312"/>
          <w:sz w:val="30"/>
          <w:szCs w:val="30"/>
        </w:rPr>
      </w:pPr>
      <w:r>
        <w:rPr>
          <w:rFonts w:ascii="仿宋_GB2312" w:eastAsia="仿宋_GB2312" w:hAnsi="仿宋_GB2312" w:cs="仿宋_GB2312" w:hint="eastAsia"/>
          <w:sz w:val="30"/>
          <w:szCs w:val="30"/>
        </w:rPr>
        <w:t>表1 回旋加速器主要技术指标</w:t>
      </w:r>
    </w:p>
    <w:tbl>
      <w:tblPr>
        <w:tblStyle w:val="a3"/>
        <w:tblW w:w="9029" w:type="dxa"/>
        <w:jc w:val="center"/>
        <w:tblLayout w:type="fixed"/>
        <w:tblLook w:val="04A0" w:firstRow="1" w:lastRow="0" w:firstColumn="1" w:lastColumn="0" w:noHBand="0" w:noVBand="1"/>
      </w:tblPr>
      <w:tblGrid>
        <w:gridCol w:w="844"/>
        <w:gridCol w:w="1944"/>
        <w:gridCol w:w="3625"/>
        <w:gridCol w:w="2616"/>
      </w:tblGrid>
      <w:tr w:rsidR="007E5BCA">
        <w:trPr>
          <w:tblHeader/>
          <w:jc w:val="center"/>
        </w:trPr>
        <w:tc>
          <w:tcPr>
            <w:tcW w:w="844"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944"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625"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616"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bookmarkStart w:id="84" w:name="_Toc16292"/>
            <w:bookmarkStart w:id="85" w:name="_Toc2311"/>
            <w:bookmarkStart w:id="86" w:name="_Toc25682"/>
            <w:bookmarkStart w:id="87" w:name="_Toc3123"/>
            <w:bookmarkStart w:id="88" w:name="_Toc24864"/>
            <w:bookmarkStart w:id="89" w:name="_Toc26908"/>
            <w:bookmarkStart w:id="90" w:name="_Toc27287"/>
            <w:bookmarkStart w:id="91" w:name="_Toc8240"/>
            <w:bookmarkStart w:id="92" w:name="_Toc6062"/>
            <w:bookmarkStart w:id="93" w:name="_Toc27194"/>
            <w:bookmarkStart w:id="94" w:name="_Toc131"/>
            <w:bookmarkStart w:id="95" w:name="_Toc1143"/>
            <w:bookmarkStart w:id="96" w:name="_Toc14732"/>
            <w:bookmarkStart w:id="97" w:name="_Toc3160"/>
            <w:r>
              <w:rPr>
                <w:rFonts w:ascii="仿宋_GB2312" w:eastAsia="仿宋_GB2312" w:hAnsi="仿宋" w:cs="仿宋" w:hint="eastAsia"/>
                <w:sz w:val="24"/>
              </w:rPr>
              <w:t>1</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腔体频率、Q值</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技术文件中应提供腔体频率、Q值</w:t>
            </w:r>
          </w:p>
        </w:tc>
        <w:tc>
          <w:tcPr>
            <w:tcW w:w="2616"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2</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磁场性能</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技术文件中应提供磁场性能指标</w:t>
            </w:r>
          </w:p>
        </w:tc>
        <w:tc>
          <w:tcPr>
            <w:tcW w:w="2616"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3</w:t>
            </w:r>
          </w:p>
        </w:tc>
        <w:tc>
          <w:tcPr>
            <w:tcW w:w="1944" w:type="dxa"/>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真空漏率</w:t>
            </w:r>
          </w:p>
        </w:tc>
        <w:tc>
          <w:tcPr>
            <w:tcW w:w="3625" w:type="dxa"/>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616" w:type="dxa"/>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4</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安装精度</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技术文件中应提供回旋注入器安装准直精度</w:t>
            </w:r>
          </w:p>
        </w:tc>
        <w:tc>
          <w:tcPr>
            <w:tcW w:w="2616"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5</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束流能量</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技术文件中应提供束流能量</w:t>
            </w:r>
          </w:p>
        </w:tc>
        <w:tc>
          <w:tcPr>
            <w:tcW w:w="2616"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6</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束流强度</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技术文件中应提供束流强度</w:t>
            </w:r>
          </w:p>
        </w:tc>
        <w:tc>
          <w:tcPr>
            <w:tcW w:w="2616"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bl>
    <w:p w:rsidR="007E5BCA" w:rsidRDefault="009E368D">
      <w:pPr>
        <w:pStyle w:val="11"/>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表2 直线加速器主要技术指标</w:t>
      </w:r>
    </w:p>
    <w:tbl>
      <w:tblPr>
        <w:tblStyle w:val="a3"/>
        <w:tblW w:w="8997" w:type="dxa"/>
        <w:jc w:val="center"/>
        <w:tblLayout w:type="fixed"/>
        <w:tblLook w:val="04A0" w:firstRow="1" w:lastRow="0" w:firstColumn="1" w:lastColumn="0" w:noHBand="0" w:noVBand="1"/>
      </w:tblPr>
      <w:tblGrid>
        <w:gridCol w:w="844"/>
        <w:gridCol w:w="1944"/>
        <w:gridCol w:w="3625"/>
        <w:gridCol w:w="2584"/>
      </w:tblGrid>
      <w:tr w:rsidR="007E5BCA">
        <w:trPr>
          <w:tblHeader/>
          <w:jc w:val="center"/>
        </w:trPr>
        <w:tc>
          <w:tcPr>
            <w:tcW w:w="844"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944"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625"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584" w:type="dxa"/>
            <w:vAlign w:val="center"/>
          </w:tcPr>
          <w:p w:rsidR="007E5BCA" w:rsidRDefault="009E368D">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1</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腔体频率、Q值</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技术文件中应提供腔体频率、Q值</w:t>
            </w:r>
          </w:p>
        </w:tc>
        <w:tc>
          <w:tcPr>
            <w:tcW w:w="2584"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2</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真空漏率</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584"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3</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安装精度</w:t>
            </w:r>
          </w:p>
        </w:tc>
        <w:tc>
          <w:tcPr>
            <w:tcW w:w="3625"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技术文件中应提供直线注入器安装准直精度</w:t>
            </w:r>
          </w:p>
        </w:tc>
        <w:tc>
          <w:tcPr>
            <w:tcW w:w="2584" w:type="dxa"/>
            <w:shd w:val="clear" w:color="auto" w:fill="auto"/>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4</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束流能量</w:t>
            </w:r>
          </w:p>
        </w:tc>
        <w:tc>
          <w:tcPr>
            <w:tcW w:w="3625" w:type="dxa"/>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技术文件中应提供束流能量</w:t>
            </w:r>
          </w:p>
        </w:tc>
        <w:tc>
          <w:tcPr>
            <w:tcW w:w="2584" w:type="dxa"/>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7E5BCA">
        <w:trPr>
          <w:jc w:val="center"/>
        </w:trPr>
        <w:tc>
          <w:tcPr>
            <w:tcW w:w="844" w:type="dxa"/>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5</w:t>
            </w:r>
          </w:p>
        </w:tc>
        <w:tc>
          <w:tcPr>
            <w:tcW w:w="1944" w:type="dxa"/>
            <w:shd w:val="clear" w:color="auto" w:fill="auto"/>
            <w:vAlign w:val="center"/>
          </w:tcPr>
          <w:p w:rsidR="007E5BCA" w:rsidRDefault="009E368D">
            <w:pPr>
              <w:spacing w:line="360" w:lineRule="exact"/>
              <w:jc w:val="center"/>
              <w:rPr>
                <w:rFonts w:ascii="仿宋_GB2312" w:eastAsia="仿宋_GB2312" w:hAnsi="仿宋" w:cs="仿宋"/>
                <w:sz w:val="24"/>
              </w:rPr>
            </w:pPr>
            <w:r>
              <w:rPr>
                <w:rFonts w:ascii="仿宋_GB2312" w:eastAsia="仿宋_GB2312" w:hAnsi="仿宋" w:cs="仿宋" w:hint="eastAsia"/>
                <w:sz w:val="24"/>
              </w:rPr>
              <w:t>束流强度</w:t>
            </w:r>
          </w:p>
        </w:tc>
        <w:tc>
          <w:tcPr>
            <w:tcW w:w="3625" w:type="dxa"/>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技术文件中应提供束流强度</w:t>
            </w:r>
          </w:p>
        </w:tc>
        <w:tc>
          <w:tcPr>
            <w:tcW w:w="2584" w:type="dxa"/>
            <w:vAlign w:val="center"/>
          </w:tcPr>
          <w:p w:rsidR="007E5BCA" w:rsidRDefault="009E368D">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bl>
    <w:p w:rsidR="007E5BCA" w:rsidRDefault="009E368D">
      <w:pPr>
        <w:spacing w:line="560" w:lineRule="exact"/>
        <w:outlineLvl w:val="1"/>
      </w:pPr>
      <w:r>
        <w:rPr>
          <w:rFonts w:ascii="黑体" w:eastAsia="黑体" w:hAnsi="黑体" w:cs="黑体" w:hint="eastAsia"/>
          <w:sz w:val="32"/>
          <w:szCs w:val="32"/>
        </w:rPr>
        <w:t>三、生产工艺和质量关键控制点</w:t>
      </w:r>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7E5BCA" w:rsidRDefault="009E368D">
      <w:pPr>
        <w:spacing w:line="360" w:lineRule="auto"/>
        <w:ind w:left="420"/>
        <w:outlineLvl w:val="2"/>
        <w:rPr>
          <w:rFonts w:ascii="楷体" w:eastAsia="楷体" w:hAnsi="楷体" w:cs="楷体"/>
          <w:sz w:val="32"/>
          <w:szCs w:val="32"/>
        </w:rPr>
      </w:pPr>
      <w:bookmarkStart w:id="98" w:name="_Toc28418"/>
      <w:bookmarkStart w:id="99" w:name="_Toc32204"/>
      <w:bookmarkStart w:id="100" w:name="_Toc24026"/>
      <w:bookmarkStart w:id="101" w:name="_Toc19735"/>
      <w:bookmarkStart w:id="102" w:name="_Toc24868"/>
      <w:bookmarkStart w:id="103" w:name="_Toc30090"/>
      <w:bookmarkStart w:id="104" w:name="_Toc8364"/>
      <w:bookmarkStart w:id="105" w:name="_Toc333"/>
      <w:bookmarkStart w:id="106" w:name="_Toc30781"/>
      <w:bookmarkStart w:id="107" w:name="_Toc6246"/>
      <w:bookmarkStart w:id="108" w:name="_Toc22123"/>
      <w:bookmarkStart w:id="109" w:name="_Toc10426"/>
      <w:bookmarkStart w:id="110" w:name="_Toc8243"/>
      <w:bookmarkStart w:id="111" w:name="_Toc15323"/>
      <w:r>
        <w:rPr>
          <w:rFonts w:ascii="楷体" w:eastAsia="楷体" w:hAnsi="楷体" w:cs="楷体" w:hint="eastAsia"/>
          <w:sz w:val="32"/>
          <w:szCs w:val="32"/>
        </w:rPr>
        <w:t>（一）生产工艺流程图</w:t>
      </w:r>
    </w:p>
    <w:p w:rsidR="007E5BCA" w:rsidRDefault="009E368D">
      <w:pPr>
        <w:jc w:val="center"/>
        <w:rPr>
          <w:rFonts w:ascii="楷体" w:eastAsia="楷体" w:hAnsi="楷体" w:cs="楷体"/>
          <w:sz w:val="32"/>
          <w:szCs w:val="32"/>
        </w:rPr>
      </w:pPr>
      <w:r>
        <w:rPr>
          <w:rFonts w:ascii="楷体" w:eastAsia="楷体" w:hAnsi="楷体" w:cs="楷体" w:hint="eastAsia"/>
          <w:noProof/>
          <w:sz w:val="32"/>
          <w:szCs w:val="32"/>
        </w:rPr>
        <w:drawing>
          <wp:inline distT="0" distB="0" distL="114300" distR="114300">
            <wp:extent cx="5271135" cy="4592955"/>
            <wp:effectExtent l="0" t="0" r="1905" b="952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11"/>
                    <a:stretch>
                      <a:fillRect/>
                    </a:stretch>
                  </pic:blipFill>
                  <pic:spPr>
                    <a:xfrm>
                      <a:off x="0" y="0"/>
                      <a:ext cx="5271135" cy="4592955"/>
                    </a:xfrm>
                    <a:prstGeom prst="rect">
                      <a:avLst/>
                    </a:prstGeom>
                  </pic:spPr>
                </pic:pic>
              </a:graphicData>
            </a:graphic>
          </wp:inline>
        </w:drawing>
      </w:r>
    </w:p>
    <w:p w:rsidR="007E5BCA" w:rsidRDefault="009E368D">
      <w:pPr>
        <w:pStyle w:val="11"/>
        <w:rPr>
          <w:rFonts w:ascii="仿宋_GB2312" w:eastAsia="仿宋_GB2312" w:hAnsi="仿宋_GB2312" w:cs="仿宋_GB2312"/>
          <w:sz w:val="30"/>
          <w:szCs w:val="30"/>
        </w:rPr>
      </w:pPr>
      <w:r>
        <w:rPr>
          <w:rFonts w:ascii="仿宋_GB2312" w:eastAsia="仿宋_GB2312" w:hAnsi="仿宋_GB2312" w:cs="仿宋_GB2312" w:hint="eastAsia"/>
          <w:sz w:val="30"/>
          <w:szCs w:val="30"/>
        </w:rPr>
        <w:t>图4 注入器系统生产工艺流程图</w:t>
      </w:r>
    </w:p>
    <w:p w:rsidR="007E5BCA" w:rsidRDefault="009E368D">
      <w:pPr>
        <w:spacing w:line="360" w:lineRule="auto"/>
        <w:ind w:left="420"/>
        <w:outlineLvl w:val="2"/>
        <w:rPr>
          <w:rFonts w:ascii="楷体" w:eastAsia="楷体" w:hAnsi="楷体" w:cs="楷体"/>
          <w:sz w:val="32"/>
          <w:szCs w:val="32"/>
        </w:rPr>
      </w:pPr>
      <w:r>
        <w:rPr>
          <w:rFonts w:ascii="楷体" w:eastAsia="楷体" w:hAnsi="楷体" w:cs="楷体" w:hint="eastAsia"/>
          <w:sz w:val="32"/>
          <w:szCs w:val="32"/>
        </w:rPr>
        <w:t>（二）生产环节风险点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7E5BCA" w:rsidRDefault="009E368D">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注入器系统生产环节风险点主要包括磁场测量、真空检</w:t>
      </w:r>
      <w:r>
        <w:rPr>
          <w:rFonts w:ascii="仿宋_GB2312" w:eastAsia="仿宋_GB2312" w:hAnsi="仿宋_GB2312" w:cs="仿宋_GB2312" w:hint="eastAsia"/>
          <w:color w:val="000000"/>
          <w:kern w:val="0"/>
          <w:sz w:val="32"/>
          <w:szCs w:val="28"/>
        </w:rPr>
        <w:lastRenderedPageBreak/>
        <w:t>漏、腔体频率、Q值测试、设备安装、设备联调、束流调试等。</w:t>
      </w:r>
    </w:p>
    <w:p w:rsidR="007E5BCA" w:rsidRDefault="009E368D">
      <w:pPr>
        <w:spacing w:line="360" w:lineRule="auto"/>
        <w:ind w:left="420"/>
        <w:outlineLvl w:val="2"/>
        <w:rPr>
          <w:rFonts w:ascii="楷体" w:eastAsia="楷体" w:hAnsi="楷体" w:cs="楷体"/>
          <w:sz w:val="32"/>
          <w:szCs w:val="32"/>
        </w:rPr>
      </w:pPr>
      <w:bookmarkStart w:id="112" w:name="_Toc18507"/>
      <w:bookmarkStart w:id="113" w:name="_Toc26153"/>
      <w:bookmarkStart w:id="114" w:name="_Toc29420"/>
      <w:bookmarkStart w:id="115" w:name="_Toc10446"/>
      <w:bookmarkStart w:id="116" w:name="_Toc22784"/>
      <w:bookmarkStart w:id="117" w:name="_Toc21671"/>
      <w:bookmarkStart w:id="118" w:name="_Toc22177"/>
      <w:bookmarkStart w:id="119" w:name="_Toc31072"/>
      <w:bookmarkStart w:id="120" w:name="_Toc22153"/>
      <w:bookmarkStart w:id="121" w:name="_Toc31869"/>
      <w:bookmarkStart w:id="122" w:name="_Toc30658"/>
      <w:bookmarkStart w:id="123" w:name="_Toc15799"/>
      <w:bookmarkStart w:id="124" w:name="_Toc5255"/>
      <w:bookmarkStart w:id="125" w:name="_Toc1245"/>
      <w:r>
        <w:rPr>
          <w:rFonts w:ascii="楷体" w:eastAsia="楷体" w:hAnsi="楷体" w:cs="楷体" w:hint="eastAsia"/>
          <w:sz w:val="32"/>
          <w:szCs w:val="32"/>
        </w:rPr>
        <w:t>（三）生产质量管理关键控制措施</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tbl>
      <w:tblPr>
        <w:tblStyle w:val="a3"/>
        <w:tblW w:w="8638" w:type="dxa"/>
        <w:jc w:val="center"/>
        <w:tblLook w:val="04A0" w:firstRow="1" w:lastRow="0" w:firstColumn="1" w:lastColumn="0" w:noHBand="0" w:noVBand="1"/>
      </w:tblPr>
      <w:tblGrid>
        <w:gridCol w:w="792"/>
        <w:gridCol w:w="1716"/>
        <w:gridCol w:w="6130"/>
      </w:tblGrid>
      <w:tr w:rsidR="007E5BCA">
        <w:trPr>
          <w:trHeight w:val="218"/>
          <w:tblHeader/>
          <w:jc w:val="center"/>
        </w:trPr>
        <w:tc>
          <w:tcPr>
            <w:tcW w:w="792" w:type="dxa"/>
          </w:tcPr>
          <w:p w:rsidR="007E5BCA" w:rsidRDefault="009E368D">
            <w:pPr>
              <w:autoSpaceDE w:val="0"/>
              <w:autoSpaceDN w:val="0"/>
              <w:spacing w:line="360" w:lineRule="exact"/>
              <w:ind w:right="64"/>
              <w:jc w:val="center"/>
              <w:rPr>
                <w:rFonts w:ascii="仿宋_GB2312" w:eastAsia="仿宋_GB2312" w:hAnsi="仿宋_GB2312" w:cs="仿宋_GB2312"/>
                <w:b/>
                <w:bCs/>
                <w:sz w:val="24"/>
                <w:szCs w:val="28"/>
              </w:rPr>
            </w:pPr>
            <w:bookmarkStart w:id="126" w:name="_Toc29617"/>
            <w:bookmarkStart w:id="127" w:name="_Toc31327"/>
            <w:bookmarkStart w:id="128" w:name="_Toc13298"/>
            <w:bookmarkStart w:id="129" w:name="_Toc19409"/>
            <w:bookmarkStart w:id="130" w:name="_Toc842"/>
            <w:bookmarkStart w:id="131" w:name="_Toc7237"/>
            <w:bookmarkStart w:id="132" w:name="_Toc6221"/>
            <w:bookmarkStart w:id="133" w:name="_Toc21518"/>
            <w:bookmarkStart w:id="134" w:name="_Toc2273"/>
            <w:bookmarkStart w:id="135" w:name="_Toc9520"/>
            <w:bookmarkStart w:id="136" w:name="_Toc12911"/>
            <w:bookmarkStart w:id="137" w:name="_Toc19567"/>
            <w:bookmarkStart w:id="138" w:name="_Toc4986"/>
            <w:bookmarkStart w:id="139" w:name="_Toc9058"/>
            <w:r>
              <w:rPr>
                <w:rFonts w:ascii="仿宋_GB2312" w:eastAsia="仿宋_GB2312" w:hAnsi="仿宋_GB2312" w:cs="仿宋_GB2312" w:hint="eastAsia"/>
                <w:b/>
                <w:bCs/>
                <w:sz w:val="24"/>
                <w:szCs w:val="28"/>
              </w:rPr>
              <w:t>序号</w:t>
            </w:r>
          </w:p>
        </w:tc>
        <w:tc>
          <w:tcPr>
            <w:tcW w:w="1716" w:type="dxa"/>
          </w:tcPr>
          <w:p w:rsidR="007E5BCA" w:rsidRDefault="009E368D">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6130" w:type="dxa"/>
          </w:tcPr>
          <w:p w:rsidR="007E5BCA" w:rsidRDefault="009E368D">
            <w:pPr>
              <w:autoSpaceDE w:val="0"/>
              <w:autoSpaceDN w:val="0"/>
              <w:spacing w:line="360" w:lineRule="exact"/>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控制措施</w:t>
            </w:r>
          </w:p>
        </w:tc>
      </w:tr>
      <w:tr w:rsidR="007E5BCA">
        <w:trPr>
          <w:trHeight w:val="406"/>
          <w:jc w:val="center"/>
        </w:trPr>
        <w:tc>
          <w:tcPr>
            <w:tcW w:w="792" w:type="dxa"/>
            <w:vAlign w:val="center"/>
          </w:tcPr>
          <w:p w:rsidR="007E5BCA" w:rsidRDefault="009E368D">
            <w:pPr>
              <w:autoSpaceDE w:val="0"/>
              <w:autoSpaceDN w:val="0"/>
              <w:spacing w:line="360" w:lineRule="exact"/>
              <w:jc w:val="center"/>
              <w:rPr>
                <w:rFonts w:ascii="仿宋_GB2312" w:eastAsia="仿宋_GB2312" w:hAnsi="仿宋_GB2312" w:cs="仿宋_GB2312"/>
                <w:sz w:val="24"/>
                <w:szCs w:val="28"/>
              </w:rPr>
            </w:pPr>
            <w:bookmarkStart w:id="140" w:name="_Toc26216"/>
            <w:bookmarkStart w:id="141" w:name="_Toc6410"/>
            <w:bookmarkStart w:id="142" w:name="_Toc30871"/>
            <w:bookmarkStart w:id="143" w:name="_Toc13994"/>
            <w:bookmarkStart w:id="144" w:name="_Toc144741205"/>
            <w:bookmarkStart w:id="145" w:name="_Toc32708"/>
            <w:bookmarkStart w:id="146" w:name="_Toc32016"/>
            <w:bookmarkStart w:id="147" w:name="_Toc28746"/>
            <w:bookmarkStart w:id="148" w:name="_Toc2214"/>
            <w:bookmarkStart w:id="149" w:name="_Toc19611"/>
            <w:bookmarkStart w:id="150" w:name="_Toc16397"/>
            <w:bookmarkStart w:id="151" w:name="_Toc10749"/>
            <w:bookmarkStart w:id="152" w:name="_Toc26912"/>
            <w:bookmarkStart w:id="153" w:name="_Toc29370"/>
            <w:bookmarkStart w:id="154" w:name="_Toc2325"/>
            <w:r>
              <w:rPr>
                <w:rFonts w:ascii="仿宋_GB2312" w:eastAsia="仿宋_GB2312" w:hAnsi="仿宋_GB2312" w:cs="仿宋_GB2312" w:hint="eastAsia"/>
                <w:sz w:val="24"/>
                <w:szCs w:val="28"/>
              </w:rPr>
              <w:t>1</w:t>
            </w:r>
          </w:p>
        </w:tc>
        <w:tc>
          <w:tcPr>
            <w:tcW w:w="1716" w:type="dxa"/>
            <w:vAlign w:val="center"/>
          </w:tcPr>
          <w:p w:rsidR="007E5BCA" w:rsidRDefault="009E368D">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磁场测量</w:t>
            </w:r>
          </w:p>
        </w:tc>
        <w:tc>
          <w:tcPr>
            <w:tcW w:w="6130" w:type="dxa"/>
            <w:vAlign w:val="center"/>
          </w:tcPr>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bookmarkStart w:id="155" w:name="OLE_LINK3"/>
            <w:r>
              <w:rPr>
                <w:rFonts w:ascii="仿宋_GB2312" w:eastAsia="仿宋_GB2312" w:hAnsi="仿宋_GB2312" w:cs="仿宋_GB2312" w:hint="eastAsia"/>
                <w:sz w:val="24"/>
                <w:szCs w:val="28"/>
              </w:rPr>
              <w:t>磁场测量技术规范、测磁作业文件</w:t>
            </w:r>
            <w:bookmarkEnd w:id="155"/>
            <w:r>
              <w:rPr>
                <w:rFonts w:ascii="仿宋_GB2312" w:eastAsia="仿宋_GB2312" w:hAnsi="仿宋_GB2312" w:cs="仿宋_GB2312" w:hint="eastAsia"/>
                <w:sz w:val="24"/>
                <w:szCs w:val="28"/>
              </w:rPr>
              <w:t>；</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企业应按照磁场测量技术规范、测磁作业文件对注入器系统直线/回旋加速器、引出偏转板等磁场或电场性能进行测量，磁场或电场性能应满足设计要求，并保留测磁记录。</w:t>
            </w:r>
          </w:p>
        </w:tc>
      </w:tr>
      <w:tr w:rsidR="007E5BCA">
        <w:trPr>
          <w:trHeight w:val="406"/>
          <w:jc w:val="center"/>
        </w:trPr>
        <w:tc>
          <w:tcPr>
            <w:tcW w:w="792" w:type="dxa"/>
            <w:vAlign w:val="center"/>
          </w:tcPr>
          <w:p w:rsidR="007E5BCA" w:rsidRDefault="009E368D">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2</w:t>
            </w:r>
          </w:p>
        </w:tc>
        <w:tc>
          <w:tcPr>
            <w:tcW w:w="1716" w:type="dxa"/>
            <w:vAlign w:val="center"/>
          </w:tcPr>
          <w:p w:rsidR="007E5BCA" w:rsidRDefault="009E368D">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6130" w:type="dxa"/>
            <w:vAlign w:val="center"/>
          </w:tcPr>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_GB2312" w:cs="仿宋_GB2312"/>
                <w:sz w:val="24"/>
                <w:szCs w:val="28"/>
              </w:rPr>
              <w:t>真空检漏作业文件</w:t>
            </w:r>
            <w:r>
              <w:rPr>
                <w:rFonts w:ascii="仿宋_GB2312" w:eastAsia="仿宋_GB2312" w:hAnsi="仿宋_GB2312" w:cs="仿宋_GB2312" w:hint="eastAsia"/>
                <w:sz w:val="24"/>
                <w:szCs w:val="28"/>
              </w:rPr>
              <w:t>；</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w:t>
            </w:r>
            <w:r>
              <w:rPr>
                <w:rFonts w:ascii="仿宋_GB2312" w:eastAsia="仿宋_GB2312" w:hAnsi="仿宋_GB2312" w:cs="仿宋_GB2312"/>
                <w:sz w:val="24"/>
                <w:szCs w:val="28"/>
              </w:rPr>
              <w:t>真空</w:t>
            </w:r>
            <w:r>
              <w:rPr>
                <w:rFonts w:ascii="仿宋_GB2312" w:eastAsia="仿宋_GB2312" w:hAnsi="仿宋_GB2312" w:cs="仿宋_GB2312" w:hint="eastAsia"/>
                <w:sz w:val="24"/>
                <w:szCs w:val="28"/>
              </w:rPr>
              <w:t>设备</w:t>
            </w:r>
            <w:r>
              <w:rPr>
                <w:rFonts w:ascii="仿宋_GB2312" w:eastAsia="仿宋_GB2312" w:hAnsi="仿宋_GB2312" w:cs="仿宋_GB2312"/>
                <w:sz w:val="24"/>
                <w:szCs w:val="28"/>
              </w:rPr>
              <w:t>漏率</w:t>
            </w:r>
            <w:r>
              <w:rPr>
                <w:rFonts w:ascii="仿宋_GB2312" w:eastAsia="仿宋_GB2312" w:hAnsi="仿宋_GB2312" w:cs="仿宋_GB2312" w:hint="eastAsia"/>
                <w:sz w:val="24"/>
                <w:szCs w:val="28"/>
              </w:rPr>
              <w:t>进行</w:t>
            </w:r>
            <w:r>
              <w:rPr>
                <w:rFonts w:ascii="仿宋_GB2312" w:eastAsia="仿宋_GB2312" w:hAnsi="仿宋_GB2312" w:cs="仿宋_GB2312"/>
                <w:sz w:val="24"/>
                <w:szCs w:val="28"/>
              </w:rPr>
              <w:t>检测。</w:t>
            </w:r>
          </w:p>
        </w:tc>
      </w:tr>
      <w:tr w:rsidR="007E5BCA">
        <w:trPr>
          <w:trHeight w:val="406"/>
          <w:jc w:val="center"/>
        </w:trPr>
        <w:tc>
          <w:tcPr>
            <w:tcW w:w="792" w:type="dxa"/>
            <w:vAlign w:val="center"/>
          </w:tcPr>
          <w:p w:rsidR="007E5BCA" w:rsidRDefault="009E368D">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3</w:t>
            </w:r>
          </w:p>
        </w:tc>
        <w:tc>
          <w:tcPr>
            <w:tcW w:w="1716" w:type="dxa"/>
            <w:vAlign w:val="center"/>
          </w:tcPr>
          <w:p w:rsidR="007E5BCA" w:rsidRDefault="009E368D">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腔体频率、Q值测试</w:t>
            </w:r>
          </w:p>
        </w:tc>
        <w:tc>
          <w:tcPr>
            <w:tcW w:w="6130" w:type="dxa"/>
            <w:vAlign w:val="center"/>
          </w:tcPr>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_GB2312" w:cs="仿宋_GB2312"/>
                <w:sz w:val="24"/>
                <w:szCs w:val="28"/>
              </w:rPr>
              <w:t>高频腔体频率、Q值调试作业文件</w:t>
            </w:r>
            <w:r>
              <w:rPr>
                <w:rFonts w:ascii="仿宋_GB2312" w:eastAsia="仿宋_GB2312" w:hAnsi="仿宋_GB2312" w:cs="仿宋_GB2312" w:hint="eastAsia"/>
                <w:sz w:val="24"/>
                <w:szCs w:val="28"/>
              </w:rPr>
              <w:t>；</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企业应按照作业文件对高</w:t>
            </w:r>
            <w:r>
              <w:rPr>
                <w:rFonts w:ascii="仿宋_GB2312" w:eastAsia="仿宋_GB2312" w:hAnsi="仿宋_GB2312" w:cs="仿宋_GB2312"/>
                <w:sz w:val="24"/>
                <w:szCs w:val="28"/>
              </w:rPr>
              <w:t>频腔体频率、Q值</w:t>
            </w:r>
            <w:r>
              <w:rPr>
                <w:rFonts w:ascii="仿宋_GB2312" w:eastAsia="仿宋_GB2312" w:hAnsi="仿宋_GB2312" w:cs="仿宋_GB2312" w:hint="eastAsia"/>
                <w:sz w:val="24"/>
                <w:szCs w:val="28"/>
              </w:rPr>
              <w:t>进行</w:t>
            </w:r>
            <w:r>
              <w:rPr>
                <w:rFonts w:ascii="仿宋_GB2312" w:eastAsia="仿宋_GB2312" w:hAnsi="仿宋_GB2312" w:cs="仿宋_GB2312"/>
                <w:sz w:val="24"/>
                <w:szCs w:val="28"/>
              </w:rPr>
              <w:t>测试。</w:t>
            </w:r>
          </w:p>
        </w:tc>
      </w:tr>
      <w:tr w:rsidR="007E5BCA">
        <w:trPr>
          <w:trHeight w:val="406"/>
          <w:jc w:val="center"/>
        </w:trPr>
        <w:tc>
          <w:tcPr>
            <w:tcW w:w="792" w:type="dxa"/>
            <w:vAlign w:val="center"/>
          </w:tcPr>
          <w:p w:rsidR="007E5BCA" w:rsidRDefault="009E368D">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4</w:t>
            </w:r>
          </w:p>
        </w:tc>
        <w:tc>
          <w:tcPr>
            <w:tcW w:w="1716" w:type="dxa"/>
            <w:vAlign w:val="center"/>
          </w:tcPr>
          <w:p w:rsidR="007E5BCA" w:rsidRDefault="009E368D">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6130" w:type="dxa"/>
            <w:vAlign w:val="center"/>
          </w:tcPr>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企业应按照安装作业文件建立准直控制网；</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企业应按照安装作业文件、布局图的要求将注入器系统对应的磁铁、真空、束流探测器、RFQ（射频四极场加速器）、DTL（漂移管直线加速器）腔体等设备安装在相应位置上，安装精度在允许的误差范围内；</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将注入器系统设备固定在支架上，并固定牢固；</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5 \* GB3 \* MERGEFORMAT </w:instrText>
            </w:r>
            <w:r>
              <w:rPr>
                <w:rFonts w:ascii="仿宋_GB2312" w:eastAsia="仿宋_GB2312" w:hAnsi="仿宋_GB2312" w:cs="仿宋_GB2312"/>
                <w:sz w:val="24"/>
                <w:szCs w:val="28"/>
              </w:rPr>
              <w:fldChar w:fldCharType="separate"/>
            </w:r>
            <w:r>
              <w:t>⑤</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安装完成后保留安装记录。</w:t>
            </w:r>
          </w:p>
        </w:tc>
      </w:tr>
      <w:tr w:rsidR="007E5BCA">
        <w:trPr>
          <w:trHeight w:val="406"/>
          <w:jc w:val="center"/>
        </w:trPr>
        <w:tc>
          <w:tcPr>
            <w:tcW w:w="792" w:type="dxa"/>
            <w:vAlign w:val="center"/>
          </w:tcPr>
          <w:p w:rsidR="007E5BCA" w:rsidRDefault="009E368D">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5</w:t>
            </w:r>
          </w:p>
        </w:tc>
        <w:tc>
          <w:tcPr>
            <w:tcW w:w="1716" w:type="dxa"/>
            <w:vAlign w:val="center"/>
          </w:tcPr>
          <w:p w:rsidR="007E5BCA" w:rsidRDefault="009E368D">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6130" w:type="dxa"/>
            <w:vAlign w:val="center"/>
          </w:tcPr>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企业应按照调试作业文件对各系统设备进行联调，如真空系统真空漏率、高频系统腔体频率和Q值等指标应满足设计要求，并保留调试记录。</w:t>
            </w:r>
          </w:p>
        </w:tc>
      </w:tr>
      <w:tr w:rsidR="007E5BCA">
        <w:trPr>
          <w:trHeight w:val="406"/>
          <w:jc w:val="center"/>
        </w:trPr>
        <w:tc>
          <w:tcPr>
            <w:tcW w:w="792" w:type="dxa"/>
            <w:vAlign w:val="center"/>
          </w:tcPr>
          <w:p w:rsidR="007E5BCA" w:rsidRDefault="009E368D">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6</w:t>
            </w:r>
          </w:p>
        </w:tc>
        <w:tc>
          <w:tcPr>
            <w:tcW w:w="1716" w:type="dxa"/>
            <w:vAlign w:val="center"/>
          </w:tcPr>
          <w:p w:rsidR="007E5BCA" w:rsidRDefault="009E368D">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束流调试</w:t>
            </w:r>
          </w:p>
        </w:tc>
        <w:tc>
          <w:tcPr>
            <w:tcW w:w="6130" w:type="dxa"/>
            <w:vAlign w:val="center"/>
          </w:tcPr>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企业应建立束流调试作业文件；</w:t>
            </w:r>
          </w:p>
          <w:p w:rsidR="007E5BCA" w:rsidRDefault="009E368D">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企业应按照束流调试作业文件对注入器系统束流能量、束流强度进行调试，束流性能应满足设计要求，并保留束流调试记录。</w:t>
            </w:r>
          </w:p>
        </w:tc>
      </w:tr>
    </w:tbl>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rsidR="007E5BCA" w:rsidRDefault="009E368D">
      <w:pPr>
        <w:spacing w:line="560" w:lineRule="exact"/>
        <w:outlineLvl w:val="1"/>
        <w:rPr>
          <w:rFonts w:ascii="黑体" w:eastAsia="黑体" w:hAnsi="黑体" w:cs="黑体"/>
          <w:sz w:val="32"/>
          <w:szCs w:val="32"/>
        </w:rPr>
      </w:pPr>
      <w:r>
        <w:rPr>
          <w:rFonts w:ascii="黑体" w:eastAsia="黑体" w:hAnsi="黑体" w:cs="黑体" w:hint="eastAsia"/>
          <w:sz w:val="32"/>
          <w:szCs w:val="32"/>
        </w:rPr>
        <w:t>四、检查要点</w:t>
      </w:r>
    </w:p>
    <w:p w:rsidR="007E5BCA" w:rsidRDefault="009E368D">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（一）机构和人员</w:t>
      </w:r>
    </w:p>
    <w:p w:rsidR="007E5BCA" w:rsidRDefault="009E368D">
      <w:pPr>
        <w:spacing w:line="560" w:lineRule="exact"/>
        <w:ind w:firstLineChars="200" w:firstLine="636"/>
        <w:rPr>
          <w:rFonts w:ascii="仿宋_GB2312" w:eastAsia="仿宋_GB2312" w:hAnsi="仿宋_GB2312" w:cs="仿宋_GB2312"/>
          <w:color w:val="000000"/>
          <w:spacing w:val="-1"/>
          <w:sz w:val="32"/>
          <w:szCs w:val="28"/>
        </w:rPr>
      </w:pPr>
      <w:r>
        <w:rPr>
          <w:rFonts w:ascii="仿宋_GB2312" w:eastAsia="仿宋_GB2312" w:hAnsi="Arial" w:cs="Arial" w:hint="eastAsia"/>
          <w:color w:val="000000"/>
          <w:spacing w:val="-1"/>
          <w:sz w:val="32"/>
          <w:szCs w:val="28"/>
        </w:rPr>
        <w:t>企业应当建立与其生产相适应的组织机构</w:t>
      </w:r>
      <w:r>
        <w:rPr>
          <w:rFonts w:ascii="仿宋_GB2312" w:eastAsia="仿宋_GB2312" w:hAnsi="仿宋_GB2312" w:cs="仿宋_GB2312" w:hint="eastAsia"/>
          <w:color w:val="000000"/>
          <w:spacing w:val="-1"/>
          <w:sz w:val="32"/>
          <w:szCs w:val="28"/>
        </w:rPr>
        <w:t>，以保证设计和生产符合质量管理体系相关法规要求，配备足够数量且能</w:t>
      </w:r>
      <w:r>
        <w:rPr>
          <w:rFonts w:ascii="仿宋_GB2312" w:eastAsia="仿宋_GB2312" w:hAnsi="仿宋_GB2312" w:cs="仿宋_GB2312" w:hint="eastAsia"/>
          <w:color w:val="000000"/>
          <w:spacing w:val="-1"/>
          <w:sz w:val="32"/>
          <w:szCs w:val="28"/>
        </w:rPr>
        <w:lastRenderedPageBreak/>
        <w:t>力满足的人员。</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1.组织机构</w:t>
      </w:r>
    </w:p>
    <w:p w:rsidR="007E5BCA" w:rsidRDefault="009E368D">
      <w:pPr>
        <w:spacing w:line="560" w:lineRule="exact"/>
        <w:ind w:firstLineChars="200" w:firstLine="636"/>
        <w:rPr>
          <w:rFonts w:ascii="仿宋_GB2312" w:eastAsia="仿宋_GB2312" w:hAnsi="仿宋_GB2312" w:cs="仿宋_GB2312"/>
          <w:color w:val="000000"/>
          <w:spacing w:val="-1"/>
          <w:sz w:val="32"/>
          <w:szCs w:val="28"/>
        </w:rPr>
      </w:pPr>
      <w:r>
        <w:rPr>
          <w:rFonts w:ascii="仿宋_GB2312" w:eastAsia="仿宋_GB2312" w:hAnsi="仿宋_GB2312" w:cs="仿宋_GB2312" w:hint="eastAsia"/>
          <w:color w:val="000000"/>
          <w:spacing w:val="-1"/>
          <w:sz w:val="32"/>
          <w:szCs w:val="28"/>
        </w:rPr>
        <w:t>企业应建立与生产产品相适应的组织机构，至少应设置技术、采购、生产、质量、运维等职能部门，岗位职责中应明确各部门的职责和权限，明确质量管理职能以及相互沟通的关系。</w:t>
      </w:r>
    </w:p>
    <w:p w:rsidR="007E5BCA" w:rsidRDefault="009E368D">
      <w:pPr>
        <w:pStyle w:val="4"/>
        <w:ind w:firstLine="640"/>
        <w:rPr>
          <w:rFonts w:ascii="仿宋_GB2312" w:hAnsi="仿宋_GB2312" w:cs="仿宋_GB2312"/>
        </w:rPr>
      </w:pPr>
      <w:r>
        <w:rPr>
          <w:rFonts w:ascii="仿宋_GB2312" w:hAnsi="仿宋_GB2312" w:cs="仿宋_GB2312" w:hint="eastAsia"/>
        </w:rPr>
        <w:t>2.关键岗位人员</w:t>
      </w:r>
    </w:p>
    <w:p w:rsidR="007E5BCA" w:rsidRDefault="007D0147">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1）企业负责人、管理者代表及生产、技术、采购、运维和质量管理部门负责人应具备相应的专业知识水平、工作技能和实践经验，满足任职资格要求。企业应制定关键岗位人员考核、评价的制度，并按规定进行考核评价并保留相应记录。</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7E5BCA" w:rsidRDefault="009E368D">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3.人员能力</w:t>
      </w:r>
    </w:p>
    <w:p w:rsidR="007E5BCA" w:rsidRDefault="009E368D">
      <w:pPr>
        <w:numPr>
          <w:ilvl w:val="0"/>
          <w:numId w:val="2"/>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技术人员：</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设计人员应具备加速器物理、高真空、磁铁设计与磁场测量、控制系统、束流探测器、电源、高频、离子源、直线注入器等专业知识。</w:t>
      </w:r>
    </w:p>
    <w:p w:rsidR="007E5BCA" w:rsidRDefault="009E368D">
      <w:pPr>
        <w:numPr>
          <w:ilvl w:val="0"/>
          <w:numId w:val="2"/>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生产人员：</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企业应配备磁铁、束流探测器、真空腔体、真空管道与泵室、RFQ（射频四极场加速器）、DTL（漂移管直线加速</w:t>
      </w:r>
      <w:r>
        <w:rPr>
          <w:rFonts w:ascii="仿宋_GB2312" w:eastAsia="仿宋_GB2312" w:hAnsi="仿宋_GB2312" w:cs="仿宋_GB2312" w:hint="eastAsia"/>
          <w:color w:val="000000"/>
          <w:sz w:val="32"/>
          <w:szCs w:val="28"/>
        </w:rPr>
        <w:lastRenderedPageBreak/>
        <w:t>器）腔体等核心部件的工艺设计、加工和装配人员。</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w:t>
      </w:r>
      <w:r>
        <w:rPr>
          <w:rFonts w:ascii="仿宋_GB2312" w:eastAsia="仿宋_GB2312" w:hAnsi="Arial" w:cs="Arial" w:hint="eastAsia"/>
          <w:color w:val="000000"/>
          <w:kern w:val="0"/>
          <w:sz w:val="32"/>
          <w:szCs w:val="28"/>
        </w:rPr>
        <w:t>配备离子源、高频、电源、束诊、真空、控制等各系统的调试人员</w:t>
      </w:r>
      <w:r>
        <w:rPr>
          <w:rFonts w:ascii="仿宋_GB2312" w:eastAsia="仿宋_GB2312" w:hAnsi="仿宋_GB2312" w:cs="仿宋_GB2312" w:hint="eastAsia"/>
          <w:color w:val="000000"/>
          <w:kern w:val="0"/>
          <w:sz w:val="32"/>
          <w:szCs w:val="28"/>
        </w:rPr>
        <w:t>。</w:t>
      </w:r>
    </w:p>
    <w:p w:rsidR="007E5BCA" w:rsidRDefault="009E368D">
      <w:pPr>
        <w:numPr>
          <w:ilvl w:val="0"/>
          <w:numId w:val="2"/>
        </w:numPr>
        <w:spacing w:line="560" w:lineRule="exact"/>
        <w:ind w:firstLineChars="200" w:firstLine="640"/>
        <w:rPr>
          <w:rFonts w:ascii="仿宋_GB2312" w:eastAsia="仿宋_GB2312" w:hAnsi="仿宋_GB2312" w:cs="仿宋_GB2312"/>
          <w:color w:val="000000"/>
          <w:spacing w:val="-1"/>
        </w:rPr>
      </w:pPr>
      <w:r>
        <w:rPr>
          <w:rFonts w:ascii="仿宋_GB2312" w:eastAsia="仿宋_GB2312" w:hAnsi="仿宋_GB2312" w:cs="仿宋_GB2312" w:hint="eastAsia"/>
          <w:color w:val="000000"/>
          <w:sz w:val="32"/>
          <w:szCs w:val="28"/>
        </w:rPr>
        <w:t>安装人员：</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磁铁、真空、RFQ（射频四极场加速器）、DTL（漂移管直线加速器）腔体、高频、束诊、离子源等各系统设备的安装人员，安装人员应具备相应的工作技能及安装经验，符合岗位任职要求，具有特种设备如天车、叉车等的资格证书。</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企业应配备设备的准直人员，准直人员应具备相应的工作技能及准直经验，符合岗位任职要求</w:t>
      </w:r>
      <w:r>
        <w:rPr>
          <w:rFonts w:ascii="仿宋_GB2312" w:eastAsia="仿宋_GB2312" w:hAnsi="仿宋_GB2312" w:cs="仿宋_GB2312" w:hint="eastAsia"/>
          <w:b/>
          <w:bCs/>
          <w:color w:val="000000"/>
          <w:sz w:val="32"/>
          <w:szCs w:val="28"/>
        </w:rPr>
        <w:t>，</w:t>
      </w:r>
      <w:r>
        <w:rPr>
          <w:rFonts w:ascii="仿宋_GB2312" w:eastAsia="仿宋_GB2312" w:hAnsi="仿宋_GB2312" w:cs="仿宋_GB2312" w:hint="eastAsia"/>
          <w:color w:val="000000"/>
          <w:sz w:val="32"/>
          <w:szCs w:val="28"/>
        </w:rPr>
        <w:t>能够按设计要求建立准直控制网并进行复验。</w:t>
      </w:r>
    </w:p>
    <w:p w:rsidR="007E5BCA" w:rsidRDefault="009E368D">
      <w:pPr>
        <w:numPr>
          <w:ilvl w:val="0"/>
          <w:numId w:val="2"/>
        </w:num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pacing w:val="-1"/>
          <w:sz w:val="32"/>
          <w:szCs w:val="32"/>
        </w:rPr>
        <w:t>检验人员：</w:t>
      </w:r>
    </w:p>
    <w:p w:rsidR="007E5BCA" w:rsidRDefault="009E368D">
      <w:pPr>
        <w:numPr>
          <w:ilvl w:val="255"/>
          <w:numId w:val="0"/>
        </w:num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企业应配备来料、机械尺寸、磁铁性能、电磁兼容、电气安全、设备性能、束流性能等专职检验人员。</w:t>
      </w:r>
    </w:p>
    <w:p w:rsidR="007E5BCA" w:rsidRDefault="009E368D">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企业配备的专职检测人员岗位职责应覆盖注入器系统来料、过程检验等。</w:t>
      </w:r>
    </w:p>
    <w:p w:rsidR="007E5BCA" w:rsidRDefault="009E368D">
      <w:pPr>
        <w:numPr>
          <w:ilvl w:val="255"/>
          <w:numId w:val="0"/>
        </w:num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③企业从事检测、出具报告、审核和批准检测结果的人员应具备相应专业的检测基础理论和专业知识，且应熟悉医疗器械相关法律法规、标准、技术要求、检验方法及仪器操作方法。</w:t>
      </w:r>
    </w:p>
    <w:p w:rsidR="007E5BCA" w:rsidRDefault="009E368D">
      <w:pPr>
        <w:numPr>
          <w:ilvl w:val="255"/>
          <w:numId w:val="0"/>
        </w:num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4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④</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7E5BCA" w:rsidRDefault="009E368D">
      <w:pPr>
        <w:numPr>
          <w:ilvl w:val="255"/>
          <w:numId w:val="0"/>
        </w:num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w:t>
      </w:r>
      <w:r>
        <w:rPr>
          <w:rFonts w:ascii="仿宋_GB2312" w:eastAsia="仿宋_GB2312" w:hAnsi="仿宋_GB2312" w:cs="仿宋_GB2312" w:hint="eastAsia"/>
          <w:color w:val="000000"/>
          <w:kern w:val="0"/>
          <w:sz w:val="32"/>
          <w:szCs w:val="32"/>
        </w:rPr>
        <w:lastRenderedPageBreak/>
        <w:t>确认和授权，且满足岗位要求，具备检验检测能力。</w:t>
      </w:r>
    </w:p>
    <w:p w:rsidR="007E5BCA" w:rsidRDefault="009E368D">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企业配备的专职检验人员中报告审核人员、批准人员应具有相关专业本科及以上学历，具有3年以上相关专业的技术工作经历。</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w:t>
      </w:r>
      <w:r>
        <w:rPr>
          <w:rFonts w:ascii="仿宋_GB2312" w:eastAsia="仿宋_GB2312" w:hAnsi="Arial" w:cs="Arial" w:hint="eastAsia"/>
          <w:color w:val="000000"/>
          <w:kern w:val="0"/>
          <w:sz w:val="32"/>
          <w:szCs w:val="32"/>
        </w:rPr>
        <w:t>从事与辐射防护相关的检测人员</w:t>
      </w:r>
      <w:r>
        <w:rPr>
          <w:rFonts w:ascii="仿宋_GB2312" w:eastAsia="仿宋_GB2312" w:hAnsi="Arial" w:cs="Arial" w:hint="eastAsia"/>
          <w:color w:val="000000"/>
          <w:kern w:val="0"/>
          <w:sz w:val="32"/>
          <w:szCs w:val="28"/>
        </w:rPr>
        <w:t>应通过核技术利用辐射安全与防护考核并取得证书</w:t>
      </w:r>
      <w:r>
        <w:rPr>
          <w:rFonts w:ascii="仿宋_GB2312" w:eastAsia="仿宋_GB2312" w:hAnsi="Arial" w:cs="Arial" w:hint="eastAsia"/>
          <w:color w:val="000000"/>
          <w:sz w:val="32"/>
          <w:szCs w:val="28"/>
        </w:rPr>
        <w:t>。</w:t>
      </w:r>
    </w:p>
    <w:p w:rsidR="007E5BCA" w:rsidRDefault="009E368D">
      <w:pPr>
        <w:numPr>
          <w:ilvl w:val="0"/>
          <w:numId w:val="2"/>
        </w:num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调试、运维人员：</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束流调试、运维人员应具备相应的专业知识、工作技能及实践经验，满足岗位任职要求，</w:t>
      </w:r>
      <w:r>
        <w:rPr>
          <w:rFonts w:ascii="仿宋_GB2312" w:eastAsia="仿宋_GB2312" w:hAnsi="仿宋_GB2312" w:cs="仿宋_GB2312" w:hint="eastAsia"/>
          <w:color w:val="000000"/>
          <w:kern w:val="0"/>
          <w:sz w:val="32"/>
          <w:szCs w:val="32"/>
        </w:rPr>
        <w:t>通过</w:t>
      </w:r>
      <w:r>
        <w:rPr>
          <w:rFonts w:ascii="仿宋_GB2312" w:eastAsia="仿宋_GB2312" w:hAnsi="仿宋_GB2312" w:cs="仿宋_GB2312" w:hint="eastAsia"/>
          <w:color w:val="000000"/>
          <w:sz w:val="32"/>
          <w:szCs w:val="28"/>
        </w:rPr>
        <w:t>核技术利用辐射安全与防护考核并取得证书。</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束流调试、运维人员应具备对注入器系统设备检修维护、设备准直及束流调试</w:t>
      </w:r>
      <w:r>
        <w:rPr>
          <w:rFonts w:ascii="仿宋_GB2312" w:eastAsia="仿宋_GB2312" w:hAnsi="Arial" w:cs="Arial" w:hint="eastAsia"/>
          <w:color w:val="000000"/>
          <w:sz w:val="32"/>
          <w:szCs w:val="28"/>
        </w:rPr>
        <w:t>的能力以及具有</w:t>
      </w:r>
      <w:r>
        <w:rPr>
          <w:rFonts w:ascii="仿宋_GB2312" w:eastAsia="仿宋_GB2312" w:hAnsi="Arial" w:cs="Arial"/>
          <w:color w:val="000000"/>
          <w:sz w:val="32"/>
          <w:szCs w:val="28"/>
        </w:rPr>
        <w:t>编制</w:t>
      </w:r>
      <w:r>
        <w:rPr>
          <w:rFonts w:ascii="仿宋_GB2312" w:eastAsia="仿宋_GB2312" w:hAnsi="Arial" w:cs="Arial" w:hint="eastAsia"/>
          <w:color w:val="000000"/>
          <w:sz w:val="32"/>
          <w:szCs w:val="28"/>
        </w:rPr>
        <w:t>、改进</w:t>
      </w:r>
      <w:r>
        <w:rPr>
          <w:rFonts w:ascii="仿宋_GB2312" w:eastAsia="仿宋_GB2312" w:hAnsi="Arial" w:cs="Arial"/>
          <w:color w:val="000000"/>
          <w:sz w:val="32"/>
          <w:szCs w:val="28"/>
        </w:rPr>
        <w:t>运行维护</w:t>
      </w:r>
      <w:r>
        <w:rPr>
          <w:rFonts w:ascii="仿宋_GB2312" w:eastAsia="仿宋_GB2312" w:hAnsi="Arial" w:cs="Arial" w:hint="eastAsia"/>
          <w:color w:val="000000"/>
          <w:sz w:val="32"/>
          <w:szCs w:val="28"/>
        </w:rPr>
        <w:t>作业文件的能力</w:t>
      </w:r>
      <w:r>
        <w:rPr>
          <w:rFonts w:ascii="仿宋_GB2312" w:eastAsia="仿宋_GB2312" w:hAnsi="仿宋_GB2312" w:cs="仿宋_GB2312" w:hint="eastAsia"/>
          <w:color w:val="000000"/>
          <w:sz w:val="32"/>
          <w:szCs w:val="28"/>
        </w:rPr>
        <w:t>。</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4.人员培训</w:t>
      </w:r>
    </w:p>
    <w:p w:rsidR="007E5BCA" w:rsidRDefault="009E368D">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企业应对从事影响产品质量的特别是从事特殊生产过程、安装调试、检验检测、运行维护等关键岗位人员制定考核评价制度，包含但不限于</w:t>
      </w:r>
      <w:r>
        <w:rPr>
          <w:rFonts w:ascii="仿宋_GB2312" w:eastAsia="仿宋_GB2312" w:hAnsi="仿宋_GB2312" w:cs="仿宋_GB2312" w:hint="eastAsia"/>
          <w:color w:val="000000"/>
          <w:sz w:val="32"/>
          <w:szCs w:val="28"/>
        </w:rPr>
        <w:t>磁铁、真空、高频、束诊、</w:t>
      </w:r>
      <w:r>
        <w:rPr>
          <w:rFonts w:ascii="仿宋_GB2312" w:eastAsia="仿宋_GB2312" w:hAnsi="仿宋_GB2312" w:cs="仿宋_GB2312" w:hint="eastAsia"/>
          <w:color w:val="000000"/>
          <w:kern w:val="0"/>
          <w:sz w:val="32"/>
          <w:szCs w:val="28"/>
        </w:rPr>
        <w:t>离子</w:t>
      </w:r>
      <w:r>
        <w:rPr>
          <w:rFonts w:ascii="仿宋_GB2312" w:eastAsia="仿宋_GB2312" w:hAnsi="仿宋_GB2312" w:cs="仿宋_GB2312" w:hint="eastAsia"/>
          <w:color w:val="000000"/>
          <w:sz w:val="32"/>
          <w:szCs w:val="28"/>
        </w:rPr>
        <w:t>源等各系统设备安装人员，准直人员，专职检验人员等，</w:t>
      </w:r>
      <w:r>
        <w:rPr>
          <w:rFonts w:ascii="仿宋_GB2312" w:eastAsia="仿宋_GB2312" w:hAnsi="Arial" w:cs="Arial" w:hint="eastAsia"/>
          <w:color w:val="000000"/>
          <w:sz w:val="32"/>
          <w:szCs w:val="28"/>
        </w:rPr>
        <w:t>培训内容应包括相关法律法规、基础理论知识、专业操作技能、过程质量控制及质量检验等，并保留相关培训记录。</w:t>
      </w:r>
    </w:p>
    <w:p w:rsidR="007E5BCA" w:rsidRDefault="009E368D">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（二）厂房与设施</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企业应配备与所生产注入器系统相适应的工作环境和基础设施，根据生产制造工艺流程合理划分区域，各区域应合理布局，方便生产操作和管理。</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lastRenderedPageBreak/>
        <w:t>1.</w:t>
      </w:r>
      <w:r>
        <w:rPr>
          <w:rFonts w:ascii="仿宋_GB2312" w:eastAsia="仿宋_GB2312" w:hAnsi="仿宋_GB2312" w:cs="仿宋_GB2312" w:hint="eastAsia"/>
          <w:kern w:val="0"/>
          <w:sz w:val="32"/>
          <w:szCs w:val="32"/>
        </w:rPr>
        <w:t>生产制造</w:t>
      </w:r>
    </w:p>
    <w:p w:rsidR="007E5BCA" w:rsidRDefault="007D0147">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kern w:val="0"/>
          <w:sz w:val="32"/>
          <w:szCs w:val="32"/>
        </w:rPr>
        <w:t>1）企业应配置生产制造所需的能源、通风、温度、湿度、给排水、压缩空气等设施。</w:t>
      </w:r>
    </w:p>
    <w:p w:rsidR="007E5BCA" w:rsidRDefault="007D0147">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kern w:val="0"/>
          <w:sz w:val="32"/>
          <w:szCs w:val="32"/>
        </w:rPr>
        <w:t>2）企业应结合注入器系统生产制造工艺流程将生产场所划分为加工区、装配区、仓储区、待检区、不合格品区等不同的区域，各区域应合理布局，</w:t>
      </w:r>
      <w:r w:rsidR="009E368D">
        <w:rPr>
          <w:rFonts w:ascii="仿宋_GB2312" w:eastAsia="仿宋_GB2312" w:hAnsi="Arial" w:cs="Arial" w:hint="eastAsia"/>
          <w:kern w:val="0"/>
          <w:sz w:val="32"/>
          <w:szCs w:val="32"/>
        </w:rPr>
        <w:t>不得相互妨碍或干涉</w:t>
      </w:r>
      <w:r w:rsidR="009E368D">
        <w:rPr>
          <w:rFonts w:ascii="仿宋_GB2312" w:eastAsia="仿宋_GB2312" w:hAnsi="仿宋_GB2312" w:cs="仿宋_GB2312" w:hint="eastAsia"/>
          <w:kern w:val="0"/>
          <w:sz w:val="32"/>
          <w:szCs w:val="32"/>
        </w:rPr>
        <w:t>。</w:t>
      </w:r>
    </w:p>
    <w:p w:rsidR="007E5BCA" w:rsidRDefault="007D0147">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kern w:val="0"/>
          <w:sz w:val="32"/>
          <w:szCs w:val="32"/>
        </w:rPr>
        <w:t>3）原则上，企业应配置直线注入器焊接、除气的厂房，如氢气炉、真空炉专用厂房。</w:t>
      </w:r>
    </w:p>
    <w:p w:rsidR="007E5BCA" w:rsidRDefault="007D0147">
      <w:pPr>
        <w:widowControl/>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kern w:val="0"/>
          <w:sz w:val="32"/>
          <w:szCs w:val="28"/>
        </w:rPr>
        <w:t>4）原则上，</w:t>
      </w:r>
      <w:r w:rsidR="009E368D">
        <w:rPr>
          <w:rFonts w:ascii="仿宋_GB2312" w:eastAsia="仿宋_GB2312" w:hAnsi="Arial" w:cs="Arial" w:hint="eastAsia"/>
          <w:kern w:val="0"/>
          <w:sz w:val="32"/>
          <w:szCs w:val="32"/>
        </w:rPr>
        <w:t>企业应配置离子源、注入器等系统调试的辐射屏蔽厂房。</w:t>
      </w:r>
    </w:p>
    <w:p w:rsidR="007E5BCA" w:rsidRDefault="007D0147">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kern w:val="0"/>
          <w:sz w:val="32"/>
          <w:szCs w:val="32"/>
        </w:rPr>
        <w:t>5）企业应配置Ⅱ类射线装置辐射安全防护设施，如防护门、安全联锁装置、剂量监测装置等，并应取得Ⅱ类射线装置辐射安全许可证。</w:t>
      </w:r>
    </w:p>
    <w:p w:rsidR="007E5BCA" w:rsidRDefault="009E368D">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2.安装调试</w:t>
      </w:r>
    </w:p>
    <w:p w:rsidR="007E5BCA" w:rsidRDefault="007D0147">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1）注入器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7E5BCA" w:rsidRDefault="007D0147">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2）企业应在进场前完成土建验收，确保公共设施设备进场安装的条件，并对院方设备安装区域、治疗区域整体土建施工及机电安装工程验收情况进行核查。</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3.检测环境</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kern w:val="0"/>
          <w:sz w:val="32"/>
          <w:szCs w:val="32"/>
        </w:rPr>
        <w:t>1）</w:t>
      </w:r>
      <w:r w:rsidR="009E368D">
        <w:rPr>
          <w:rFonts w:ascii="仿宋_GB2312" w:eastAsia="仿宋_GB2312" w:hAnsi="仿宋_GB2312" w:cs="仿宋_GB2312" w:hint="eastAsia"/>
          <w:color w:val="000000"/>
          <w:sz w:val="32"/>
          <w:szCs w:val="28"/>
        </w:rPr>
        <w:t>企业应配备与注入器系统相适宜的检验</w:t>
      </w:r>
      <w:r w:rsidR="009E368D">
        <w:rPr>
          <w:rFonts w:ascii="仿宋_GB2312" w:eastAsia="仿宋_GB2312" w:hAnsi="仿宋_GB2312" w:cs="仿宋_GB2312" w:hint="eastAsia"/>
          <w:kern w:val="0"/>
          <w:sz w:val="32"/>
          <w:szCs w:val="32"/>
        </w:rPr>
        <w:t>场地</w:t>
      </w:r>
      <w:r w:rsidR="009E368D">
        <w:rPr>
          <w:rFonts w:ascii="仿宋_GB2312" w:eastAsia="仿宋_GB2312" w:hAnsi="仿宋_GB2312" w:cs="仿宋_GB2312" w:hint="eastAsia"/>
          <w:color w:val="000000"/>
          <w:sz w:val="32"/>
          <w:szCs w:val="28"/>
        </w:rPr>
        <w:t>。</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2）企业应将影响检测结果的环境条件（如温度、湿度、大气压力等）的要求形成文件。</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3）束流性能（束流能量、束流强度）、腔体频率、Q值等的检验通常在安装现场进行，还应预留足够的操作空间。</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kern w:val="0"/>
          <w:sz w:val="32"/>
          <w:szCs w:val="32"/>
        </w:rPr>
        <w:t>4）</w:t>
      </w:r>
      <w:r w:rsidR="009E368D">
        <w:rPr>
          <w:rFonts w:ascii="仿宋_GB2312" w:eastAsia="仿宋_GB2312" w:hAnsi="仿宋_GB2312" w:cs="仿宋_GB2312" w:hint="eastAsia"/>
          <w:color w:val="000000"/>
          <w:sz w:val="32"/>
          <w:szCs w:val="28"/>
        </w:rPr>
        <w:t>当环境条件（如温度、湿度、大气压力等）影响检验结果的有效性时，企业应定期监测、控制和记录环境条件。特别是在安装现场进行注入器系统腔体频率、Q值、束流性能等调试时，也应对安装现场环境条件进行监测、控制和记录，以确保检验结果的准确性和可靠性。</w:t>
      </w:r>
    </w:p>
    <w:p w:rsidR="007E5BCA" w:rsidRDefault="009E368D">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（三）设备</w:t>
      </w:r>
    </w:p>
    <w:p w:rsidR="007E5BCA" w:rsidRDefault="009E368D">
      <w:p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企业应当结合注入器系统生产工艺要求配备相应的生产设备、工艺装备、检验仪器和设备及计量器具，并加强其验证、确认、维护保养和检定/校准，确保有效运行。</w:t>
      </w:r>
    </w:p>
    <w:p w:rsidR="007E5BCA" w:rsidRDefault="009E368D">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1.生产</w:t>
      </w:r>
      <w:r>
        <w:rPr>
          <w:rFonts w:ascii="仿宋_GB2312" w:hAnsi="仿宋_GB2312" w:cs="仿宋_GB2312" w:hint="eastAsia"/>
          <w:color w:val="000000"/>
          <w:spacing w:val="-1"/>
        </w:rPr>
        <w:t>设备</w:t>
      </w:r>
    </w:p>
    <w:p w:rsidR="007E5BCA" w:rsidRDefault="007D0147" w:rsidP="007D0147">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w:t>
      </w:r>
      <w:r w:rsidR="009E368D">
        <w:rPr>
          <w:rFonts w:ascii="仿宋_GB2312" w:eastAsia="仿宋_GB2312" w:hAnsi="仿宋_GB2312" w:cs="仿宋_GB2312" w:hint="eastAsia"/>
          <w:color w:val="000000"/>
          <w:sz w:val="32"/>
          <w:szCs w:val="28"/>
        </w:rPr>
        <w:t>企业应配备用于注入器系统生产的设备，如氢气炉、真空炉、叠压机、烘箱、高精度加工中心等。</w:t>
      </w:r>
    </w:p>
    <w:p w:rsidR="007E5BCA" w:rsidRDefault="007D0147">
      <w:pPr>
        <w:numPr>
          <w:ilvl w:val="255"/>
          <w:numId w:val="0"/>
        </w:numPr>
        <w:spacing w:line="560" w:lineRule="exact"/>
        <w:ind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2）企业应配备</w:t>
      </w:r>
      <w:r w:rsidR="009E368D">
        <w:rPr>
          <w:rFonts w:ascii="仿宋_GB2312" w:eastAsia="仿宋_GB2312" w:hAnsi="仿宋_GB2312" w:cs="仿宋_GB2312" w:hint="eastAsia"/>
          <w:color w:val="000000"/>
          <w:kern w:val="0"/>
          <w:sz w:val="32"/>
          <w:szCs w:val="28"/>
        </w:rPr>
        <w:t>用于转运设备的无轨胶轮平车、牵引坦克车、托盘搬运车、液压车、叉车等设备。</w:t>
      </w:r>
    </w:p>
    <w:p w:rsidR="007E5BCA" w:rsidRDefault="007D0147">
      <w:pPr>
        <w:numPr>
          <w:ilvl w:val="255"/>
          <w:numId w:val="0"/>
        </w:numPr>
        <w:spacing w:line="560" w:lineRule="exact"/>
        <w:ind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kern w:val="0"/>
          <w:sz w:val="32"/>
          <w:szCs w:val="28"/>
        </w:rPr>
        <w:t>3）</w:t>
      </w:r>
      <w:r w:rsidR="009E368D">
        <w:rPr>
          <w:rFonts w:ascii="仿宋_GB2312" w:eastAsia="仿宋_GB2312" w:hAnsi="仿宋_GB2312" w:cs="仿宋_GB2312" w:hint="eastAsia"/>
          <w:color w:val="000000"/>
          <w:sz w:val="32"/>
          <w:szCs w:val="28"/>
        </w:rPr>
        <w:t>企业应配备</w:t>
      </w:r>
      <w:r w:rsidR="009E368D">
        <w:rPr>
          <w:rFonts w:ascii="仿宋_GB2312" w:eastAsia="仿宋_GB2312" w:hAnsi="仿宋_GB2312" w:cs="仿宋_GB2312" w:hint="eastAsia"/>
          <w:color w:val="000000"/>
          <w:kern w:val="0"/>
          <w:sz w:val="32"/>
          <w:szCs w:val="28"/>
        </w:rPr>
        <w:t>用于磁铁安装的专用工装。</w:t>
      </w:r>
    </w:p>
    <w:p w:rsidR="007E5BCA" w:rsidRDefault="007D0147">
      <w:pPr>
        <w:numPr>
          <w:ilvl w:val="255"/>
          <w:numId w:val="0"/>
        </w:numPr>
        <w:spacing w:line="560" w:lineRule="exact"/>
        <w:ind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kern w:val="0"/>
          <w:sz w:val="32"/>
          <w:szCs w:val="28"/>
        </w:rPr>
        <w:t>4）</w:t>
      </w:r>
      <w:r w:rsidR="009E368D">
        <w:rPr>
          <w:rFonts w:ascii="仿宋_GB2312" w:eastAsia="仿宋_GB2312" w:hAnsi="仿宋_GB2312" w:cs="仿宋_GB2312" w:hint="eastAsia"/>
          <w:color w:val="000000"/>
          <w:sz w:val="32"/>
          <w:szCs w:val="28"/>
        </w:rPr>
        <w:t>企业应配备</w:t>
      </w:r>
      <w:r w:rsidR="009E368D">
        <w:rPr>
          <w:rFonts w:ascii="仿宋_GB2312" w:eastAsia="仿宋_GB2312" w:hAnsi="仿宋_GB2312" w:cs="仿宋_GB2312" w:hint="eastAsia"/>
          <w:color w:val="000000"/>
          <w:kern w:val="0"/>
          <w:sz w:val="32"/>
          <w:szCs w:val="28"/>
        </w:rPr>
        <w:t>用于标定和准直的激光跟踪仪、准直望远镜、光学平台等设备。</w:t>
      </w:r>
    </w:p>
    <w:p w:rsidR="007E5BCA" w:rsidRDefault="007D0147">
      <w:pPr>
        <w:numPr>
          <w:ilvl w:val="255"/>
          <w:numId w:val="0"/>
        </w:numPr>
        <w:spacing w:line="560" w:lineRule="exact"/>
        <w:ind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kern w:val="0"/>
          <w:sz w:val="32"/>
          <w:szCs w:val="28"/>
        </w:rPr>
        <w:t>5）</w:t>
      </w:r>
      <w:r w:rsidR="009E368D">
        <w:rPr>
          <w:rFonts w:ascii="仿宋_GB2312" w:eastAsia="仿宋_GB2312" w:hAnsi="仿宋_GB2312" w:cs="仿宋_GB2312" w:hint="eastAsia"/>
          <w:color w:val="000000"/>
          <w:sz w:val="32"/>
          <w:szCs w:val="28"/>
        </w:rPr>
        <w:t>企业应配备</w:t>
      </w:r>
      <w:r w:rsidR="009E368D">
        <w:rPr>
          <w:rFonts w:ascii="仿宋_GB2312" w:eastAsia="仿宋_GB2312" w:hAnsi="仿宋_GB2312" w:cs="仿宋_GB2312" w:hint="eastAsia"/>
          <w:color w:val="000000"/>
          <w:kern w:val="0"/>
          <w:sz w:val="32"/>
          <w:szCs w:val="28"/>
        </w:rPr>
        <w:t>用于真空管道、腔体与泵室等部件检漏的检漏工装和氦质谱检漏仪。</w:t>
      </w:r>
    </w:p>
    <w:p w:rsidR="007E5BCA" w:rsidRDefault="009E368D">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2.检验</w:t>
      </w:r>
      <w:r>
        <w:rPr>
          <w:rFonts w:ascii="仿宋_GB2312" w:hAnsi="仿宋_GB2312" w:cs="仿宋_GB2312" w:hint="eastAsia"/>
          <w:color w:val="000000"/>
          <w:spacing w:val="-1"/>
        </w:rPr>
        <w:t>设备</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1）常用的检验检测设备包括：</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①常规监视测量设备：</w:t>
      </w:r>
      <w:r>
        <w:rPr>
          <w:rFonts w:ascii="仿宋_GB2312" w:eastAsia="仿宋_GB2312" w:hAnsi="仿宋_GB2312" w:cs="仿宋_GB2312" w:hint="eastAsia"/>
          <w:color w:val="000000"/>
          <w:sz w:val="32"/>
          <w:szCs w:val="28"/>
        </w:rPr>
        <w:t>高精度长度测量设备（如：</w:t>
      </w:r>
      <w:r>
        <w:rPr>
          <w:rFonts w:ascii="仿宋_GB2312" w:eastAsia="仿宋_GB2312" w:hAnsi="仿宋_GB2312" w:cs="仿宋_GB2312" w:hint="eastAsia"/>
          <w:color w:val="000000"/>
          <w:kern w:val="0"/>
          <w:sz w:val="32"/>
          <w:szCs w:val="28"/>
        </w:rPr>
        <w:t>三坐标测量仪、激光跟踪仪</w:t>
      </w:r>
      <w:r>
        <w:rPr>
          <w:rFonts w:ascii="仿宋_GB2312" w:eastAsia="仿宋_GB2312" w:hAnsi="仿宋_GB2312" w:cs="仿宋_GB2312" w:hint="eastAsia"/>
          <w:color w:val="000000"/>
          <w:sz w:val="32"/>
          <w:szCs w:val="28"/>
        </w:rPr>
        <w:t>）、电压电流测量设备（如：万用表、绝缘电阻测试仪）、温湿度监测设备（如：温湿度计、红外测量仪、电子温度传感器）、其他测量设备（如：绝对测量臂、中子巡测仪、数字示波器、差分探头）等。</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电气安全、电磁兼容、辐射测量设备：绝缘耐压测试仪、泄漏电流测试仪、辐射发射测试设备、传导发射测试设备、浪涌（冲击）抗扰度测试仪、电快速瞬变脉冲群抗扰度测试仪、静电抗扰度测试仪、辐射防护用剂量测量设备（中子周围剂量当量仪、伽马剂量仪、手持式γ剂量仪）等。</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3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③</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磁场性能测量设备：点测系统、长测系统、旋测系统等。</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2）企业应建立监视测量设备相关管理程序文件，应对设备的采购、检定/校准、使用、维护保养等方面进行规定，并按照规定执行。</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3）企业应配备满足注入器系统检测活动所需的监视测量设备，主要仪器和设备应建立操作规程和使用记录。</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4）企业应建立监视测量设备台账，应规定监视测量设备检定/校准周期和年度检定/校准计划；对于项目现场上线用于监控的特殊仪器设备，企业应建立抽样检定/校准规定并按规定执行。</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5）企业应对</w:t>
      </w:r>
      <w:r w:rsidR="009E368D">
        <w:rPr>
          <w:rFonts w:ascii="仿宋_GB2312" w:eastAsia="仿宋_GB2312" w:hAnsi="Arial" w:cs="Arial" w:hint="eastAsia"/>
          <w:color w:val="000000"/>
          <w:kern w:val="0"/>
          <w:sz w:val="32"/>
          <w:szCs w:val="28"/>
        </w:rPr>
        <w:t>用于束流性能、关键工序、特殊过程的关键</w:t>
      </w:r>
      <w:r w:rsidR="009E368D">
        <w:rPr>
          <w:rFonts w:ascii="仿宋_GB2312" w:eastAsia="仿宋_GB2312" w:hAnsi="仿宋_GB2312" w:cs="仿宋_GB2312" w:hint="eastAsia"/>
          <w:color w:val="000000"/>
          <w:sz w:val="32"/>
          <w:szCs w:val="28"/>
        </w:rPr>
        <w:t>监视测量设备属性、量程、精度进行确认，且满足使用</w:t>
      </w:r>
      <w:r w:rsidR="009E368D">
        <w:rPr>
          <w:rFonts w:ascii="仿宋_GB2312" w:eastAsia="仿宋_GB2312" w:hAnsi="仿宋_GB2312" w:cs="仿宋_GB2312" w:hint="eastAsia"/>
          <w:color w:val="000000"/>
          <w:sz w:val="32"/>
          <w:szCs w:val="28"/>
        </w:rPr>
        <w:lastRenderedPageBreak/>
        <w:t>要求。</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6）企业应对</w:t>
      </w:r>
      <w:r w:rsidR="009E368D">
        <w:rPr>
          <w:rFonts w:ascii="仿宋_GB2312" w:eastAsia="仿宋_GB2312" w:hAnsi="Arial" w:cs="Arial" w:hint="eastAsia"/>
          <w:color w:val="000000"/>
          <w:kern w:val="0"/>
          <w:sz w:val="32"/>
          <w:szCs w:val="28"/>
        </w:rPr>
        <w:t>用于束流性能、关键工序、特殊过程的</w:t>
      </w:r>
      <w:r w:rsidR="009E368D">
        <w:rPr>
          <w:rFonts w:ascii="仿宋_GB2312" w:eastAsia="仿宋_GB2312" w:hAnsi="仿宋_GB2312" w:cs="仿宋_GB2312" w:hint="eastAsia"/>
          <w:color w:val="000000"/>
          <w:sz w:val="32"/>
          <w:szCs w:val="28"/>
        </w:rPr>
        <w:t>关键监视测量设备在长距离搬运、送校前、送校后进行功能核查，且满足使用要求。</w:t>
      </w:r>
    </w:p>
    <w:p w:rsidR="007E5BCA" w:rsidRDefault="007D0147">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7）对不满足使用要求的检验仪器和设备，应对以往检验和试验结果进行有效性评价，并保存评价记录。</w:t>
      </w:r>
    </w:p>
    <w:p w:rsidR="007E5BCA" w:rsidRDefault="009E368D">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（四）文件管理</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企业应根据实际情况及产品特点采用信息化管理手段，实现文件和记录电子化，便于管理、使用与知识共享。</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其相适应的质量管理体系文件，包括质量手册、程序文件、规范制度、技术文件和记录等。技术文件应当包括技术要求及相关标准、生产工艺规程、作业指导书、检验作业规程和运维操作规程等相关文件。记录应当确保产品设计开发、物料采购、生产、质量控制、运维管理等活动可追溯。</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4.注入器系统设计开发、采购、生产、安装、调试、检</w:t>
      </w:r>
      <w:r>
        <w:rPr>
          <w:rFonts w:ascii="仿宋_GB2312" w:eastAsia="仿宋_GB2312" w:hAnsi="Arial" w:cs="Arial" w:hint="eastAsia"/>
          <w:color w:val="000000"/>
          <w:sz w:val="32"/>
          <w:szCs w:val="28"/>
        </w:rPr>
        <w:lastRenderedPageBreak/>
        <w:t>验、运维等过程相关的记录应永久保存；对于受控文件/记录应根据企业的规定处置。</w:t>
      </w:r>
    </w:p>
    <w:p w:rsidR="007E5BCA" w:rsidRDefault="009E368D">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（五）设计开发</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企业应当建立设计和开发控制程序并形成文件，对产品设计和开发过程实施策划和控制，应当确定设计和开发的阶段及对各阶段的评审、验证、确认等活动。</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1.设计开发策划阶段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1）企业应根据立项书和计划书对产品进行策划，策划内容至少包括：</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①法规、标准的识别；</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②确定设计和开发目标；</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③确定设计和开发各阶段及各阶段时间安排，以及适合于每个设计和开发阶段的评审、验证、确认和设计转换活动；</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④识别和确定各个部门设计和开发的需求、活动和接口，明确各阶段的人员或组织的职责、评审人员的组成，以及各阶段预期的资源需求和输出结果；</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⑤特别关注外包设计的任务、接口；</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⑥主要任务和阶段性任务的策划安排与整个项目计划的一致性；</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⑦确定产品技术要求的制定以及实验过程的设定，所需要的测量手段和测量装置；</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⑧确定产品验证的方式和方法；</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9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⑨</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确定产品确认的方式和方法；</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10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⑩</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确定产品风险管理活动的要求和计划安排。</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3）评审通过后，应按照策划书中的安排实施设计和开发。当策划书中的计划偏离而需要修改时，应对计划重新评审和批准。</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2.设计开发输入阶段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按照风险管理计划要求进行初始风险分析、风险评价，包括：用于识别医疗器械与安全有关特征的问题、危险和危险情况的识别及初始风险控制措施方案分析，同时将相应的风险控制措施落实在具体的设计和开发过程中。风险分析的结果应形成记录，作为风险管理文档保存。</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2）企业应收集与产品相关的标准和法律法规文件，并对相关条款适用性进行识别、分析，形成法律法规/标准适用性分析文件。</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4）产品方案至少包括：产品预期用途规定的功能、性能和安全要求，预期的结构构成、规格型号、关键结构要素，工作原理、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5）企业对产品预期用途规定的功能、性能和安全要求，工作原理，技术及性能指标，功能交互，物理连接等完成设计后，应形成产品设计方案、参数集（如有），并对产品设计方案内容的充分性、适宜性、完整性进行评审，形成评审记录。</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6）设计和开发输入阶段完成后，企业应对输入内容的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3.设计开发输出阶段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1）企业设计和开发输出应满足：</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①设计和开发输入的要求（经评审无法满足的，按照变更控制的要求修改输入并重新评审）；</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②给出有关采购、物料分类、生产和服务的适当信息、</w:t>
      </w:r>
      <w:r>
        <w:rPr>
          <w:rFonts w:ascii="仿宋_GB2312" w:eastAsia="仿宋_GB2312" w:hAnsi="仿宋_GB2312" w:cs="仿宋_GB2312" w:hint="eastAsia"/>
          <w:color w:val="000000"/>
          <w:sz w:val="32"/>
          <w:szCs w:val="28"/>
        </w:rPr>
        <w:lastRenderedPageBreak/>
        <w:t>产品技术要求和技术标准或规范；</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③包含产品接收准则（产品接收要求的检验、试验项目及方法）；</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④规定对产品安全和正常使用至关重要的产品特性（如操作、贮存、搬运、防护、安全、维修和处置等的要求）；</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⑤标识和可追溯性要求；</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⑥设计开发输出应得到批准；</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⑦其他相关资料。</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2）设计开发输出文件包括：结构组成、技术要求、物料清单、说明书、物理总图、位置图、布局图、安装技术要求等内容。</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设计和开发输出阶段完成后，企业应对输出内容的充分性、完整性、准确性进行阶段评审，形成设计开发输出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4.设计开发转换阶段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1）企业设计和开发的转换应满足以下要求：</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①可生产性，例如：生产作业指导文件；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②可采购性，例如：采购要求；</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③可检验性，例如：检验作业文件；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④可使用性，例如：说明书。</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2）设计转换活动应将产品的每一项技术要求正确转化成与产品实现相关的具体过程或程序。</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5）除非对所有制定的纠正或改进措施都有明确安排并能有效控制，否则不准许带入开发的下一阶段。</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5.设计开发验证阶段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根据产品设计开发策划书中的安排，在相应的阶段进行设计和开发验证，确保设计和开发输出满足输入的要求，验证的一般内容包括：各系统的调试测试、束流性能调试、电磁兼容、电气安全检测，完成后应形成调试测试记录、检测报告、风险管理报告和设计开发验证报告。</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2）企业应在产品确认前对其进行设计和开发的最终评审，包括法规、标准的符合性，客户合同要求的符合性和满足程度，类似的设计经验（成功的、失败的），产品的适宜性等。</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3）当评审未获得通过时，应根据评审的内容分析原</w:t>
      </w:r>
      <w:r w:rsidR="009E368D">
        <w:rPr>
          <w:rFonts w:ascii="仿宋_GB2312" w:eastAsia="仿宋_GB2312" w:hAnsi="仿宋_GB2312" w:cs="仿宋_GB2312" w:hint="eastAsia"/>
          <w:color w:val="000000"/>
          <w:sz w:val="32"/>
          <w:szCs w:val="28"/>
        </w:rPr>
        <w:lastRenderedPageBreak/>
        <w:t>因，重新编制、补充、完善开发的设计文件，重新提交测试及评审，直至通过。除非对评审提出的所有问题都有明确安排并能有效控制，否则不准许带入开发的下一阶段。</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6.设计开发确认阶段</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7D0147">
        <w:rPr>
          <w:rFonts w:ascii="仿宋_GB2312" w:eastAsia="仿宋_GB2312" w:hAnsi="Arial" w:cs="Arial" w:hint="eastAsia"/>
          <w:color w:val="000000"/>
          <w:sz w:val="32"/>
          <w:szCs w:val="28"/>
        </w:rPr>
        <w:t>（</w:t>
      </w:r>
      <w:r w:rsidR="009E368D" w:rsidRPr="007D0147">
        <w:rPr>
          <w:rFonts w:ascii="仿宋_GB2312" w:eastAsia="仿宋_GB2312" w:hAnsi="仿宋_GB2312" w:cs="仿宋_GB2312" w:hint="eastAsia"/>
          <w:color w:val="000000"/>
          <w:sz w:val="32"/>
          <w:szCs w:val="28"/>
        </w:rPr>
        <w:t>1）企</w:t>
      </w:r>
      <w:r w:rsidR="009E368D">
        <w:rPr>
          <w:rFonts w:ascii="仿宋_GB2312" w:eastAsia="仿宋_GB2312" w:hAnsi="仿宋_GB2312" w:cs="仿宋_GB2312" w:hint="eastAsia"/>
          <w:color w:val="000000"/>
          <w:sz w:val="32"/>
          <w:szCs w:val="28"/>
        </w:rPr>
        <w:t>业应在产品完成后对其进行设计和开发确认，确保产品满足规定的设计需求。</w:t>
      </w:r>
    </w:p>
    <w:p w:rsidR="007E5BCA" w:rsidRDefault="007D0147">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2）确认完成后应输出产品确认文件并进行评审，当确认未获得通过时，应根据确认结果分析原因，重新编制、补充、完善开发的设计文件，必要时重新进行优化、改进，重新提交检测，直至通过。</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7.设计和开发更改</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1）在设计开发过程中，任何与原有规定或要求不一致或存在缺陷、不合理等原因，以及其他原因需要变更的，均应进行变更申请，变更申请原因包括但不限于：</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①设计开发输出不满足输入要求时；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②后续识别出的在设计阶段产生的错误或无法满足要求时；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③在设计和开发后期发现的制造、安装和服务等环节中存在问题时;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④顾客或供方的要求更改时;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⑤安全性、法律法规、标准或其他要求所需改进时;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⑥在设计和开发评审、验证和确认阶段所要求更改时;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⑦工程所要求的更改时;</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⑧风险分析所要求的更改时。</w:t>
      </w:r>
    </w:p>
    <w:p w:rsidR="007E5BCA" w:rsidRDefault="007D0147">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2）在需要设计变更时，应当提出变更申请，经内部评审、审批通过后，按照变更要求实施变更，变更结束后应进行验证；当对产品的设计需求有影响时，应进行确认</w:t>
      </w:r>
      <w:r w:rsidR="009E368D">
        <w:rPr>
          <w:rFonts w:ascii="仿宋_GB2312" w:eastAsia="仿宋_GB2312" w:hAnsi="Arial" w:cs="Arial" w:hint="eastAsia"/>
          <w:color w:val="000000"/>
          <w:sz w:val="32"/>
          <w:szCs w:val="28"/>
        </w:rPr>
        <w:t>。</w:t>
      </w:r>
    </w:p>
    <w:p w:rsidR="007E5BCA" w:rsidRDefault="009E368D">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（六）采购</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对于外购部件，应在质量协议或采购合同中明确主要技术参数、规格型号、质量要求及验收标准等内容，必要时提供供方出厂检验报告。对于外协部件，应在质量协议中明确功能要求、技术参数、技术图纸、质量要求及验收标准等内容。对于关键部件，应确保采购过程的可追溯。</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1.采购流程</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企业应建立采购程序文件，包括采购流程，应满足以下要求：</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1）对不同的采购部件或原材料应规定不同的控制方式，并对采购文件的制定、评审、批准作出明确的规定；</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2）对合格供方的选择、评价和再评价应予以明确规定；</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3）对采购产品符合性的验证方法进行规定；</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4）对采购过程的记录应进行保持的规定；</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5）实施采购和采购管理应进行规定。</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2.物料分类</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1）企业应根据采购物料对整个产品的影响程度将物料进行分类，通常分为A、B、C三类，包括：</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A类物料（关键物料）：对最终产品的主要功能或构成产品关键性能指标和重要安全性指标起决定性作用的材料、器</w:t>
      </w:r>
      <w:r>
        <w:rPr>
          <w:rFonts w:ascii="仿宋_GB2312" w:eastAsia="仿宋_GB2312" w:hAnsi="仿宋_GB2312" w:cs="仿宋_GB2312" w:hint="eastAsia"/>
          <w:color w:val="000000"/>
          <w:sz w:val="32"/>
          <w:szCs w:val="28"/>
        </w:rPr>
        <w:lastRenderedPageBreak/>
        <w:t>件等。</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B类物料（重要物料）：对实现产品功能、性能和安全指标起重要作用的材料、器件等。例如回旋注入器主磁铁、直线注入器腔体等。</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C类物料（一般物料）：对产品的功能、性能和安全性指标有轻微影响，或生产过程所用的辅助性物料，主要指除A、B类之外的采购物料或服务。</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2）物料具体分类应在物料明细表或物料清单（BOM）中明确，至少包含产品名称、规格型号、技术指标或质量要求、分类等级等内容。应根据产品分类情况，对供方提出相应的控制要求。</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3）企业采购的原材料应满足设计输出的要求，采购部件应遵守相应的采购合同规定、合同附件技术要求、质量协议等，采购产品的要求应不低于国家/行业标准规定的最低要求。</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3.供应商管理</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9E368D">
        <w:rPr>
          <w:rFonts w:ascii="仿宋_GB2312" w:eastAsia="仿宋_GB2312" w:hAnsi="仿宋_GB2312" w:cs="仿宋_GB2312" w:hint="eastAsia"/>
          <w:color w:val="000000"/>
          <w:sz w:val="32"/>
          <w:szCs w:val="28"/>
        </w:rPr>
        <w:t>2）企业应与合格供方签订较为固定的供需合同或技术协议，以确保物料的质量和稳定性。对于涉及最终产品安全、性能的采购物料，应保存对供方实施控制的记录。采购文件中的表述应符合采购信息的要求，确保采购信息的可追溯。</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4.采购记录</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1）企业应保存所有采购过程记录，如采购合同、入库单等信息，应保证关键物料的可追溯。</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2）在采购方面：</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企业关键物料如回旋注入器主磁铁、直线注入器腔体的供应商的资质、质量协议及采购合同应完整，应满足可追溯性要求，应明确物料名称、规格型号、主要技术指标、验收规范等内容。</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企业关键物料的随机资料如说明书、认证证书、检验报告、安装记录、调试测试记录、图纸等应满足要求。</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rsidR="007E5BCA" w:rsidRDefault="009E368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w:t>
      </w:r>
      <w:r>
        <w:rPr>
          <w:rFonts w:ascii="仿宋_GB2312" w:eastAsia="仿宋_GB2312" w:hAnsi="仿宋_GB2312" w:cs="仿宋_GB2312" w:hint="eastAsia"/>
          <w:color w:val="000000"/>
          <w:sz w:val="32"/>
          <w:szCs w:val="28"/>
        </w:rPr>
        <w:t>关键物料的来料检验规范、检验记录应完整，应满足技术要求及可追溯性要求</w:t>
      </w:r>
      <w:r>
        <w:rPr>
          <w:rFonts w:ascii="仿宋_GB2312" w:eastAsia="仿宋_GB2312" w:hAnsi="仿宋_GB2312" w:cs="仿宋_GB2312" w:hint="eastAsia"/>
          <w:color w:val="000000"/>
          <w:sz w:val="32"/>
          <w:szCs w:val="32"/>
        </w:rPr>
        <w:t>。</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5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w:t>
      </w:r>
      <w:r>
        <w:rPr>
          <w:rFonts w:ascii="仿宋_GB2312" w:eastAsia="仿宋_GB2312" w:hAnsi="仿宋_GB2312" w:cs="仿宋_GB2312" w:hint="eastAsia"/>
          <w:color w:val="000000"/>
          <w:sz w:val="32"/>
          <w:szCs w:val="28"/>
        </w:rPr>
        <w:t>关键物料供应商定期评价或再评价记录应完整、充分，应按照供应商管理制度进行筛选。</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lastRenderedPageBreak/>
        <w:fldChar w:fldCharType="begin"/>
      </w:r>
      <w:r>
        <w:rPr>
          <w:rFonts w:ascii="仿宋_GB2312" w:eastAsia="仿宋_GB2312" w:hAnsi="仿宋_GB2312" w:cs="仿宋_GB2312" w:hint="eastAsia"/>
          <w:color w:val="000000"/>
          <w:sz w:val="32"/>
          <w:szCs w:val="32"/>
        </w:rPr>
        <w:instrText xml:space="preserve"> = 6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当采购的关键物料不合格时，企业应按照不合格品控制要求进行评审、处置，若发生严重不合格时，应进行退换货等处理。</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5.采购物料的验证</w:t>
      </w:r>
    </w:p>
    <w:p w:rsidR="007E5BCA" w:rsidRDefault="009E368D">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color w:val="000000"/>
          <w:sz w:val="32"/>
          <w:szCs w:val="28"/>
        </w:rPr>
        <w:t>企业应按规定的采购控制程序和供应商审核指南等要求实施采购验证。应具有采购产品的进货检验规范，明确检验项目、检验方法（包括检验设备）、抽样方法、判定准则等。</w:t>
      </w:r>
    </w:p>
    <w:p w:rsidR="007E5BCA" w:rsidRDefault="009E368D">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（七）生产管理</w:t>
      </w:r>
    </w:p>
    <w:p w:rsidR="007E5BCA" w:rsidRDefault="009E368D">
      <w:pPr>
        <w:spacing w:line="560" w:lineRule="exact"/>
        <w:ind w:firstLineChars="200" w:firstLine="640"/>
        <w:rPr>
          <w:rFonts w:ascii="仿宋_GB2312" w:eastAsia="仿宋_GB2312" w:hAnsi="仿宋_GB2312" w:cs="仿宋_GB2312"/>
          <w:sz w:val="32"/>
          <w:szCs w:val="32"/>
        </w:rPr>
      </w:pPr>
      <w:bookmarkStart w:id="156" w:name="_Toc3826"/>
      <w:bookmarkStart w:id="157" w:name="_Toc17850"/>
      <w:bookmarkStart w:id="158" w:name="_Toc2382"/>
      <w:bookmarkStart w:id="159" w:name="_Toc29321"/>
      <w:bookmarkStart w:id="160" w:name="_Toc31208"/>
      <w:bookmarkStart w:id="161" w:name="_Toc14950"/>
      <w:bookmarkStart w:id="162" w:name="_Toc14633"/>
      <w:bookmarkStart w:id="163" w:name="_Toc27728"/>
      <w:bookmarkStart w:id="164" w:name="_Toc2271"/>
      <w:bookmarkStart w:id="165" w:name="_Toc24108"/>
      <w:bookmarkStart w:id="166" w:name="_Toc17984"/>
      <w:bookmarkStart w:id="167" w:name="_Toc3668"/>
      <w:r>
        <w:rPr>
          <w:rFonts w:ascii="仿宋_GB2312" w:eastAsia="仿宋_GB2312" w:hAnsi="仿宋_GB2312" w:cs="仿宋_GB2312" w:hint="eastAsia"/>
          <w:color w:val="000000"/>
          <w:sz w:val="32"/>
          <w:szCs w:val="32"/>
        </w:rPr>
        <w:t>生产过程是产品质量形成的关键保障，企业通过对人、机、料、法、环的控制，确保生产的产品符合强制性标准和经注册或备案的产品技术要求。</w:t>
      </w:r>
    </w:p>
    <w:p w:rsidR="007E5BCA" w:rsidRDefault="009E368D">
      <w:pPr>
        <w:pStyle w:val="4"/>
        <w:keepNext w:val="0"/>
        <w:keepLines w:val="0"/>
        <w:ind w:firstLine="640"/>
        <w:rPr>
          <w:rFonts w:ascii="仿宋_GB2312" w:hAnsi="仿宋_GB2312" w:cs="仿宋_GB2312"/>
          <w:szCs w:val="32"/>
        </w:rPr>
      </w:pPr>
      <w:r>
        <w:rPr>
          <w:rFonts w:ascii="仿宋_GB2312" w:hAnsi="仿宋_GB2312" w:cs="仿宋_GB2312" w:hint="eastAsia"/>
          <w:szCs w:val="32"/>
        </w:rPr>
        <w:t>1.生产工艺识别</w:t>
      </w:r>
      <w:bookmarkEnd w:id="156"/>
      <w:bookmarkEnd w:id="157"/>
      <w:bookmarkEnd w:id="158"/>
      <w:bookmarkEnd w:id="159"/>
      <w:bookmarkEnd w:id="160"/>
      <w:bookmarkEnd w:id="161"/>
      <w:bookmarkEnd w:id="162"/>
      <w:bookmarkEnd w:id="163"/>
      <w:bookmarkEnd w:id="164"/>
      <w:bookmarkEnd w:id="165"/>
      <w:bookmarkEnd w:id="166"/>
      <w:bookmarkEnd w:id="167"/>
    </w:p>
    <w:p w:rsidR="007E5BCA" w:rsidRDefault="009E368D">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企业应对各生产工序过程进行分析评估，识别并评价产品实现过程的质量因素及对产品质量有重大影响的过程，确定关键工序和特殊过程。并在工艺流程或工艺规程中加以明确,以便在生产过程中给予重点控制。</w:t>
      </w:r>
    </w:p>
    <w:p w:rsidR="007E5BCA" w:rsidRDefault="009E368D">
      <w:pPr>
        <w:pStyle w:val="4"/>
        <w:keepNext w:val="0"/>
        <w:keepLines w:val="0"/>
        <w:ind w:firstLine="640"/>
        <w:rPr>
          <w:rFonts w:ascii="仿宋_GB2312" w:hAnsi="仿宋_GB2312" w:cs="仿宋_GB2312"/>
          <w:szCs w:val="32"/>
        </w:rPr>
      </w:pPr>
      <w:r>
        <w:rPr>
          <w:rFonts w:ascii="仿宋_GB2312" w:hAnsi="仿宋_GB2312" w:cs="仿宋_GB2312" w:hint="eastAsia"/>
          <w:szCs w:val="32"/>
        </w:rPr>
        <w:t>2.特殊过程的确认和关键工序的验证</w:t>
      </w:r>
    </w:p>
    <w:p w:rsidR="007E5BCA" w:rsidRDefault="009E36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企业应对关键工序和特殊过程进行验证/确认，</w:t>
      </w:r>
      <w:r>
        <w:rPr>
          <w:rFonts w:ascii="仿宋_GB2312" w:eastAsia="仿宋_GB2312" w:hAnsi="仿宋_GB2312" w:cs="仿宋_GB2312" w:hint="eastAsia"/>
          <w:color w:val="000000"/>
          <w:sz w:val="32"/>
          <w:szCs w:val="32"/>
        </w:rPr>
        <w:t>明确主要工艺参数、验证/确认方案、接受标准、验证/确认结果等内容，并保留验证/确认记录。</w:t>
      </w:r>
    </w:p>
    <w:p w:rsidR="007E5BCA" w:rsidRDefault="009E368D">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3.特殊过程、关键工序的控制</w:t>
      </w:r>
    </w:p>
    <w:p w:rsidR="007E5BCA" w:rsidRDefault="007D0147">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32"/>
        </w:rPr>
        <w:t>1）特殊过程和关键工序岗位人员均应进行专业知识培训、教育，并经考核合格，确保人员的能力满足过程控制</w:t>
      </w:r>
      <w:r w:rsidR="009E368D">
        <w:rPr>
          <w:rFonts w:ascii="仿宋_GB2312" w:eastAsia="仿宋_GB2312" w:hAnsi="仿宋_GB2312" w:cs="仿宋_GB2312" w:hint="eastAsia"/>
          <w:color w:val="000000"/>
          <w:sz w:val="32"/>
          <w:szCs w:val="32"/>
        </w:rPr>
        <w:lastRenderedPageBreak/>
        <w:t>要求。</w:t>
      </w:r>
    </w:p>
    <w:p w:rsidR="007E5BCA" w:rsidRDefault="007D0147">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32"/>
        </w:rPr>
        <w:t>2）企业应对使用的生产设备的加工精度、可靠性等进行确认，并做好设备的维护保养，确保生产设备的加工能力满足过程控制要求。</w:t>
      </w:r>
    </w:p>
    <w:p w:rsidR="007E5BCA" w:rsidRDefault="007D0147">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32"/>
        </w:rPr>
        <w:t>3）企业应对使用的监视和测量设备的精度、量程和准确度等进行确认，包括对监视和测量设备的检定/校准；应定期对监视和测量设备进行维护保养，确保监视和测量设备处于正常运行状态，满足过程控制要求。</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sz w:val="32"/>
          <w:szCs w:val="32"/>
        </w:rPr>
        <w:t>4</w:t>
      </w:r>
      <w:r w:rsidR="009E368D">
        <w:rPr>
          <w:rFonts w:ascii="仿宋_GB2312" w:eastAsia="仿宋_GB2312" w:hAnsi="仿宋_GB2312" w:cs="仿宋_GB2312" w:hint="eastAsia"/>
          <w:color w:val="000000"/>
          <w:sz w:val="32"/>
          <w:szCs w:val="32"/>
        </w:rPr>
        <w:t>）当关键工序及特殊过程所使用的主要设备、关键材料更换，工艺发生变更等对过程特性和产品质量产生重大影响时，应对关键工序和特殊过程进行重新评估或再确认。</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4.生产记录</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1）注入器系统一般每生产批为1台，企业应建立从部件/原料投入到产品生产过程的批生产记录，归档并长期保存。</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2）生产管理：</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企业应对关键工序工艺参数进行验证，并形成验证报告及作业指导文件，关键工艺参数应与验证结果一致。</w:t>
      </w:r>
    </w:p>
    <w:p w:rsidR="007E5BCA" w:rsidRDefault="009E368D">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企业应对特殊过程工艺参数进行确认，并形成确认报告及作业指导文件，关键工艺参数应与确认结果一致。</w:t>
      </w:r>
    </w:p>
    <w:p w:rsidR="007E5BCA" w:rsidRDefault="009E368D">
      <w:pPr>
        <w:spacing w:line="560" w:lineRule="exact"/>
        <w:ind w:firstLineChars="200" w:firstLine="640"/>
        <w:rPr>
          <w:rFonts w:ascii="仿宋_GB2312" w:eastAsia="仿宋_GB2312" w:hAnsi="仿宋_GB2312" w:cs="仿宋_GB2312"/>
          <w:color w:val="FF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生产记录中工艺参数应与生产作业文件、图纸等要求一致，且应满足可追溯性要求。</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5.安装、调试</w:t>
      </w:r>
    </w:p>
    <w:p w:rsidR="007E5BCA" w:rsidRDefault="009E36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28"/>
        </w:rPr>
        <w:t>安装、调试工作应当符合相关法律、法规、标准及质量</w:t>
      </w:r>
      <w:r>
        <w:rPr>
          <w:rFonts w:ascii="仿宋_GB2312" w:eastAsia="仿宋_GB2312" w:hAnsi="仿宋_GB2312" w:cs="仿宋_GB2312" w:hint="eastAsia"/>
          <w:color w:val="000000"/>
          <w:sz w:val="32"/>
          <w:szCs w:val="28"/>
        </w:rPr>
        <w:lastRenderedPageBreak/>
        <w:t>管理体系要求。</w:t>
      </w:r>
    </w:p>
    <w:p w:rsidR="007E5BCA" w:rsidRDefault="009E368D">
      <w:pPr>
        <w:numPr>
          <w:ilvl w:val="0"/>
          <w:numId w:val="4"/>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安装：</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企业应对安装和安装验收过程进行规定，并形成安装及验收作业文件。</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sym w:font="Wingdings" w:char="F082"/>
      </w:r>
      <w:r>
        <w:rPr>
          <w:rFonts w:ascii="仿宋_GB2312" w:eastAsia="仿宋_GB2312" w:hAnsi="仿宋_GB2312" w:cs="仿宋_GB2312" w:hint="eastAsia"/>
          <w:color w:val="000000"/>
          <w:sz w:val="32"/>
          <w:szCs w:val="28"/>
        </w:rPr>
        <w:t>电气设备及线路应合理、整齐、无老化、无电气故障，接地应正常且接触良好。</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企业应具有完善的辐射剂量监测和防护措施。</w:t>
      </w:r>
    </w:p>
    <w:p w:rsidR="007E5BCA" w:rsidRDefault="009E368D">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4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④</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企业应对安装结果进行符合性验证，确认安装符合相关要求，确保注入器系统运行的可靠性和稳定性。</w:t>
      </w:r>
    </w:p>
    <w:p w:rsidR="007E5BCA" w:rsidRDefault="009E368D">
      <w:pPr>
        <w:numPr>
          <w:ilvl w:val="0"/>
          <w:numId w:val="4"/>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调试：</w:t>
      </w:r>
    </w:p>
    <w:p w:rsidR="007E5BCA" w:rsidRDefault="009E368D">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配备满足束流调试要求的人员和仪器设备。</w:t>
      </w:r>
    </w:p>
    <w:p w:rsidR="007E5BCA" w:rsidRDefault="009E368D">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sym w:font="Wingdings" w:char="F082"/>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制定束流调试作业指导文件，按照作业指导文件及设计指标的要求进行注入器系统束流调试，确认粒子种类、束流能量、束流强度等指标满足要求，并形成相应的记录。</w:t>
      </w:r>
    </w:p>
    <w:p w:rsidR="007E5BCA" w:rsidRDefault="009E368D">
      <w:pPr>
        <w:numPr>
          <w:ilvl w:val="255"/>
          <w:numId w:val="0"/>
        </w:numPr>
        <w:spacing w:line="560" w:lineRule="exact"/>
        <w:ind w:firstLineChars="200" w:firstLine="640"/>
        <w:rPr>
          <w:rFonts w:ascii="仿宋_GB2312" w:eastAsia="仿宋_GB2312" w:hAnsi="仿宋_GB2312" w:cs="仿宋_GB2312"/>
          <w:color w:val="FF0000"/>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在进行束流调试前，</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对上线设备进行确认，并形成记录，确认束流调试前上线设备满足正常使用的条件。</w:t>
      </w:r>
    </w:p>
    <w:p w:rsidR="007E5BCA" w:rsidRDefault="009E368D">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（八）质量控制</w:t>
      </w:r>
    </w:p>
    <w:p w:rsidR="007E5BCA" w:rsidRDefault="009E368D">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28"/>
        </w:rPr>
        <w:t>企业应建立质量控制程序，规定检验部门、人员、操作等要求，并规定检验仪器设备的使用、校准等要求。</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1.控制程序</w:t>
      </w:r>
    </w:p>
    <w:p w:rsidR="007E5BCA" w:rsidRDefault="007D0147">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sz w:val="32"/>
          <w:szCs w:val="32"/>
        </w:rPr>
        <w:t>1）企业应建立相应质量控制程序文件，如：检验控制程序、不合格品控制程序、监视测量设备管理控制程序等。</w:t>
      </w:r>
    </w:p>
    <w:p w:rsidR="007E5BCA" w:rsidRDefault="007D0147">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sz w:val="32"/>
          <w:szCs w:val="32"/>
        </w:rPr>
        <w:t>2）企业建立的质量控制文件应包含：来料检验、过</w:t>
      </w:r>
      <w:r w:rsidR="009E368D">
        <w:rPr>
          <w:rFonts w:ascii="仿宋_GB2312" w:eastAsia="仿宋_GB2312" w:hAnsi="仿宋_GB2312" w:cs="仿宋_GB2312" w:hint="eastAsia"/>
          <w:sz w:val="32"/>
          <w:szCs w:val="32"/>
        </w:rPr>
        <w:lastRenderedPageBreak/>
        <w:t>程检验、委托检验、不合格品的来源、分类、处置流程及方式，监视测量设备的检定/校准、使用和维护等。</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rPr>
        <w:t>2.来料、过程控制</w:t>
      </w:r>
    </w:p>
    <w:p w:rsidR="007E5BCA"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w:t>
      </w:r>
      <w:r w:rsidR="009E368D">
        <w:rPr>
          <w:rFonts w:ascii="仿宋_GB2312" w:eastAsia="仿宋_GB2312" w:hAnsi="仿宋_GB2312" w:cs="仿宋_GB2312" w:hint="eastAsia"/>
          <w:sz w:val="32"/>
          <w:szCs w:val="32"/>
        </w:rPr>
        <w:t>企业应根据物料的管理类别建立相应的来料、过程检验规程。</w:t>
      </w:r>
    </w:p>
    <w:p w:rsidR="007E5BCA" w:rsidRDefault="007D0147">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w:t>
      </w:r>
      <w:r w:rsidR="009E368D">
        <w:rPr>
          <w:rFonts w:ascii="仿宋_GB2312" w:eastAsia="仿宋_GB2312" w:hAnsi="仿宋_GB2312" w:cs="仿宋_GB2312" w:hint="eastAsia"/>
          <w:sz w:val="32"/>
          <w:szCs w:val="32"/>
        </w:rPr>
        <w:t>来料检验规程一般包含通用物料检验规程和专用物料检验规程。</w:t>
      </w:r>
      <w:r w:rsidR="009E368D">
        <w:rPr>
          <w:rFonts w:ascii="仿宋_GB2312" w:eastAsia="仿宋_GB2312" w:hAnsi="仿宋_GB2312" w:cs="仿宋_GB2312" w:hint="eastAsia"/>
          <w:sz w:val="32"/>
          <w:szCs w:val="28"/>
        </w:rPr>
        <w:t>外购设备验收应包含出厂合格资料和现场验收报告。</w:t>
      </w:r>
    </w:p>
    <w:p w:rsidR="007E5BCA" w:rsidRDefault="007D0147">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sz w:val="32"/>
          <w:szCs w:val="28"/>
        </w:rPr>
        <w:t>3）</w:t>
      </w:r>
      <w:r w:rsidR="009E368D">
        <w:rPr>
          <w:rFonts w:ascii="仿宋_GB2312" w:eastAsia="仿宋_GB2312" w:hAnsi="仿宋_GB2312" w:cs="仿宋_GB2312" w:hint="eastAsia"/>
          <w:sz w:val="32"/>
          <w:szCs w:val="32"/>
        </w:rPr>
        <w:t>过程检验规程一般应包含磁铁的磁场性能、真空腔体和管道漏率、高频系统性能、束诊探测器性能等。</w:t>
      </w:r>
    </w:p>
    <w:p w:rsidR="007E5BCA" w:rsidRDefault="009E368D">
      <w:pPr>
        <w:pStyle w:val="4"/>
        <w:keepNext w:val="0"/>
        <w:keepLines w:val="0"/>
        <w:ind w:firstLine="640"/>
        <w:rPr>
          <w:rFonts w:cs="Times New Roman"/>
        </w:rPr>
      </w:pPr>
      <w:r>
        <w:rPr>
          <w:rFonts w:cs="Times New Roman" w:hint="eastAsia"/>
        </w:rPr>
        <w:t>3.</w:t>
      </w:r>
      <w:r>
        <w:rPr>
          <w:rFonts w:cs="Times New Roman" w:hint="eastAsia"/>
        </w:rPr>
        <w:t>检验过程</w:t>
      </w:r>
    </w:p>
    <w:p w:rsidR="007E5BCA" w:rsidRDefault="007D0147">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sz w:val="32"/>
          <w:szCs w:val="28"/>
        </w:rPr>
        <w:t>1）企业应根据产品的特性建立检验相关程序文件，包含来料检验、过程检验规范，并出具相应的检验报告或证书。</w:t>
      </w:r>
    </w:p>
    <w:p w:rsidR="00241E15" w:rsidRDefault="007D0147">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sz w:val="32"/>
          <w:szCs w:val="28"/>
        </w:rPr>
        <w:t>2）</w:t>
      </w:r>
      <w:r w:rsidR="009E368D">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7E5BCA" w:rsidRDefault="007D0147">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3）企业应根据物料的风险程度对关键部件的外协加工采取必要的控制措施，外协供应商应具备关键部件的生产、总装、测试及售后维保等能力，企业应定期对关键部件的外协供应商进行评价，评价其生产、质保等能力是否满足要求。企业应与关键部件外协供应商签订采购合同和质量协议，采</w:t>
      </w:r>
      <w:r w:rsidR="009E368D">
        <w:rPr>
          <w:rFonts w:ascii="仿宋_GB2312" w:eastAsia="仿宋_GB2312" w:hAnsi="Arial" w:cs="Arial" w:hint="eastAsia"/>
          <w:color w:val="000000"/>
          <w:sz w:val="32"/>
          <w:szCs w:val="28"/>
        </w:rPr>
        <w:lastRenderedPageBreak/>
        <w:t>购合同和质量协议中应明确主要技术指标、验收要求及质保要求等。</w:t>
      </w:r>
    </w:p>
    <w:p w:rsidR="007E5BCA" w:rsidRDefault="00241E15">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Arial" w:cs="Arial" w:hint="eastAsia"/>
          <w:color w:val="000000"/>
          <w:sz w:val="32"/>
          <w:szCs w:val="28"/>
        </w:rPr>
        <w:t>4）企业对注入器系统来料检验、过程检验部分内容应按照相关检验规程要求在项目现场开展，并对合格品、不合格品进行标识，便于检查和监控。</w:t>
      </w:r>
    </w:p>
    <w:p w:rsidR="007E5BCA" w:rsidRDefault="009E368D">
      <w:pPr>
        <w:pStyle w:val="4"/>
        <w:keepNext w:val="0"/>
        <w:keepLines w:val="0"/>
        <w:ind w:firstLine="640"/>
        <w:rPr>
          <w:rFonts w:ascii="仿宋_GB2312" w:hAnsi="仿宋_GB2312" w:cs="仿宋_GB2312"/>
        </w:rPr>
      </w:pPr>
      <w:r>
        <w:rPr>
          <w:rFonts w:ascii="仿宋_GB2312" w:hAnsi="仿宋_GB2312" w:cs="仿宋_GB2312" w:hint="eastAsia"/>
          <w:color w:val="000000"/>
        </w:rPr>
        <w:t>4</w:t>
      </w:r>
      <w:r>
        <w:rPr>
          <w:rFonts w:ascii="仿宋_GB2312" w:hAnsi="仿宋_GB2312" w:cs="仿宋_GB2312" w:hint="eastAsia"/>
        </w:rPr>
        <w:t>.不合格品控制</w:t>
      </w:r>
    </w:p>
    <w:p w:rsidR="007E5BCA" w:rsidRDefault="00241E15">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1）企业应建立不合格品控制程序，规定不合格品控制的部门和人员的职责与权限。</w:t>
      </w:r>
    </w:p>
    <w:p w:rsidR="007E5BCA" w:rsidRDefault="00241E15">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rsidR="007E5BCA" w:rsidRDefault="00241E15">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7E5BCA" w:rsidRDefault="00241E15">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9E368D">
        <w:rPr>
          <w:rFonts w:ascii="仿宋_GB2312" w:eastAsia="仿宋_GB2312" w:hAnsi="仿宋_GB2312" w:cs="仿宋_GB2312" w:hint="eastAsia"/>
          <w:color w:val="000000"/>
          <w:sz w:val="32"/>
          <w:szCs w:val="28"/>
        </w:rPr>
        <w:t>4）企业应对可以返工的不合格物料作出规定，应按照返工文件要求进行返工活动，并记录。</w:t>
      </w:r>
    </w:p>
    <w:p w:rsidR="007E5BCA" w:rsidRDefault="00241E15">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bookmarkStart w:id="168" w:name="_GoBack"/>
      <w:bookmarkEnd w:id="168"/>
      <w:r w:rsidR="009E368D">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7E5BCA" w:rsidRDefault="009E368D">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5.记录要求</w:t>
      </w:r>
    </w:p>
    <w:p w:rsidR="007E5BCA" w:rsidRDefault="009E368D">
      <w:pPr>
        <w:spacing w:line="560" w:lineRule="exact"/>
        <w:ind w:firstLineChars="200" w:firstLine="640"/>
      </w:pPr>
      <w:r>
        <w:rPr>
          <w:rFonts w:ascii="仿宋_GB2312" w:eastAsia="仿宋_GB2312" w:hAnsi="仿宋_GB2312" w:cs="仿宋_GB2312" w:hint="eastAsia"/>
          <w:color w:val="000000"/>
          <w:sz w:val="32"/>
          <w:szCs w:val="28"/>
        </w:rPr>
        <w:t>质量控制过程中产生的记录应完整、可追溯。</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sectPr w:rsidR="007E5BCA">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93" w:rsidRDefault="00EC3093" w:rsidP="00033A89">
      <w:r>
        <w:separator/>
      </w:r>
    </w:p>
  </w:endnote>
  <w:endnote w:type="continuationSeparator" w:id="0">
    <w:p w:rsidR="00EC3093" w:rsidRDefault="00EC3093" w:rsidP="0003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6BD" w:rsidRPr="009556BD" w:rsidRDefault="009556BD" w:rsidP="009556BD">
    <w:pPr>
      <w:pStyle w:val="a7"/>
      <w:jc w:val="center"/>
      <w:rPr>
        <w:lang w:val="zh-CN"/>
      </w:rPr>
    </w:pPr>
    <w:r w:rsidRPr="009556BD">
      <w:rP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2022198970"/>
        <w:docPartObj>
          <w:docPartGallery w:val="Page Numbers (Bottom of Page)"/>
          <w:docPartUnique/>
        </w:docPartObj>
      </w:sdtPr>
      <w:sdtEndPr>
        <w:rPr>
          <w:rFonts w:ascii="Calibri" w:eastAsia="宋体" w:hAnsi="Calibri"/>
          <w:sz w:val="18"/>
          <w:szCs w:val="18"/>
          <w:lang w:val="zh-CN"/>
        </w:rPr>
      </w:sdtEndPr>
      <w:sdtContent>
        <w:sdt>
          <w:sdtPr>
            <w:rPr>
              <w:rFonts w:asciiTheme="minorEastAsia" w:eastAsiaTheme="minorEastAsia" w:hAnsiTheme="minorEastAsia"/>
              <w:sz w:val="21"/>
              <w:szCs w:val="21"/>
            </w:rPr>
            <w:id w:val="-1705238520"/>
            <w:docPartObj>
              <w:docPartGallery w:val="Page Numbers (Top of Page)"/>
              <w:docPartUnique/>
            </w:docPartObj>
          </w:sdtPr>
          <w:sdtEndPr>
            <w:rPr>
              <w:rFonts w:ascii="Calibri" w:eastAsia="宋体" w:hAnsi="Calibri"/>
              <w:sz w:val="18"/>
              <w:szCs w:val="18"/>
              <w:lang w:val="zh-CN"/>
            </w:rPr>
          </w:sdtEndPr>
          <w:sdtContent>
            <w:r w:rsidRPr="009556BD">
              <w:rPr>
                <w:rFonts w:asciiTheme="minorEastAsia" w:eastAsiaTheme="minorEastAsia" w:hAnsiTheme="minorEastAsia"/>
                <w:sz w:val="21"/>
                <w:szCs w:val="21"/>
                <w:lang w:val="zh-CN"/>
              </w:rPr>
              <w:t xml:space="preserve"> </w:t>
            </w:r>
            <w:r w:rsidRPr="009556BD">
              <w:rPr>
                <w:rFonts w:asciiTheme="minorEastAsia" w:eastAsiaTheme="minorEastAsia" w:hAnsiTheme="minorEastAsia"/>
                <w:b/>
                <w:bCs/>
                <w:sz w:val="21"/>
                <w:szCs w:val="21"/>
              </w:rPr>
              <w:fldChar w:fldCharType="begin"/>
            </w:r>
            <w:r w:rsidRPr="009556BD">
              <w:rPr>
                <w:rFonts w:asciiTheme="minorEastAsia" w:eastAsiaTheme="minorEastAsia" w:hAnsiTheme="minorEastAsia"/>
                <w:b/>
                <w:bCs/>
                <w:sz w:val="21"/>
                <w:szCs w:val="21"/>
              </w:rPr>
              <w:instrText>PAGE</w:instrText>
            </w:r>
            <w:r w:rsidRPr="009556BD">
              <w:rPr>
                <w:rFonts w:asciiTheme="minorEastAsia" w:eastAsiaTheme="minorEastAsia" w:hAnsiTheme="minorEastAsia"/>
                <w:b/>
                <w:bCs/>
                <w:sz w:val="21"/>
                <w:szCs w:val="21"/>
              </w:rPr>
              <w:fldChar w:fldCharType="separate"/>
            </w:r>
            <w:r w:rsidR="00241E15">
              <w:rPr>
                <w:rFonts w:asciiTheme="minorEastAsia" w:eastAsiaTheme="minorEastAsia" w:hAnsiTheme="minorEastAsia"/>
                <w:b/>
                <w:bCs/>
                <w:noProof/>
                <w:sz w:val="21"/>
                <w:szCs w:val="21"/>
              </w:rPr>
              <w:t>26</w:t>
            </w:r>
            <w:r w:rsidRPr="009556BD">
              <w:rPr>
                <w:rFonts w:asciiTheme="minorEastAsia" w:eastAsiaTheme="minorEastAsia" w:hAnsiTheme="minorEastAsia"/>
                <w:b/>
                <w:bCs/>
                <w:sz w:val="21"/>
                <w:szCs w:val="21"/>
              </w:rPr>
              <w:fldChar w:fldCharType="end"/>
            </w:r>
            <w:r w:rsidRPr="009556BD">
              <w:rPr>
                <w:rFonts w:asciiTheme="minorEastAsia" w:eastAsiaTheme="minorEastAsia" w:hAnsiTheme="minorEastAsia" w:hint="eastAsia"/>
                <w:sz w:val="21"/>
                <w:szCs w:val="21"/>
              </w:rPr>
              <w:t>页</w:t>
            </w:r>
            <w:r w:rsidRPr="009556BD">
              <w:rPr>
                <w:rFonts w:asciiTheme="minorEastAsia" w:eastAsiaTheme="minorEastAsia" w:hAnsiTheme="minorEastAsia"/>
                <w:sz w:val="21"/>
                <w:szCs w:val="21"/>
                <w:lang w:val="zh-CN"/>
              </w:rPr>
              <w:t xml:space="preserve"> </w:t>
            </w:r>
            <w:r w:rsidRPr="009556BD">
              <w:rPr>
                <w:rFonts w:asciiTheme="minorEastAsia" w:eastAsiaTheme="minorEastAsia" w:hAnsiTheme="minorEastAsia" w:hint="eastAsia"/>
                <w:sz w:val="21"/>
                <w:szCs w:val="21"/>
                <w:lang w:val="zh-CN"/>
              </w:rPr>
              <w:t>共</w:t>
            </w:r>
            <w:r w:rsidRPr="009556BD">
              <w:rPr>
                <w:rFonts w:asciiTheme="minorEastAsia" w:eastAsiaTheme="minorEastAsia" w:hAnsiTheme="minorEastAsia"/>
                <w:sz w:val="21"/>
                <w:szCs w:val="21"/>
                <w:lang w:val="zh-CN"/>
              </w:rPr>
              <w:t xml:space="preserve"> </w:t>
            </w:r>
            <w:r w:rsidRPr="009556BD">
              <w:rPr>
                <w:rFonts w:asciiTheme="minorEastAsia" w:eastAsiaTheme="minorEastAsia" w:hAnsiTheme="minorEastAsia"/>
                <w:b/>
                <w:bCs/>
                <w:sz w:val="21"/>
                <w:szCs w:val="21"/>
              </w:rPr>
              <w:fldChar w:fldCharType="begin"/>
            </w:r>
            <w:r w:rsidRPr="009556BD">
              <w:rPr>
                <w:rFonts w:asciiTheme="minorEastAsia" w:eastAsiaTheme="minorEastAsia" w:hAnsiTheme="minorEastAsia"/>
                <w:b/>
                <w:bCs/>
                <w:sz w:val="21"/>
                <w:szCs w:val="21"/>
              </w:rPr>
              <w:instrText>NUMPAGES</w:instrText>
            </w:r>
            <w:r w:rsidRPr="009556BD">
              <w:rPr>
                <w:rFonts w:asciiTheme="minorEastAsia" w:eastAsiaTheme="minorEastAsia" w:hAnsiTheme="minorEastAsia"/>
                <w:b/>
                <w:bCs/>
                <w:sz w:val="21"/>
                <w:szCs w:val="21"/>
              </w:rPr>
              <w:fldChar w:fldCharType="separate"/>
            </w:r>
            <w:r w:rsidR="00241E15">
              <w:rPr>
                <w:rFonts w:asciiTheme="minorEastAsia" w:eastAsiaTheme="minorEastAsia" w:hAnsiTheme="minorEastAsia"/>
                <w:b/>
                <w:bCs/>
                <w:noProof/>
                <w:sz w:val="21"/>
                <w:szCs w:val="21"/>
              </w:rPr>
              <w:t>26</w:t>
            </w:r>
            <w:r w:rsidRPr="009556BD">
              <w:rPr>
                <w:rFonts w:asciiTheme="minorEastAsia" w:eastAsiaTheme="minorEastAsia" w:hAnsiTheme="minorEastAsia"/>
                <w:b/>
                <w:bCs/>
                <w:sz w:val="21"/>
                <w:szCs w:val="21"/>
              </w:rPr>
              <w:fldChar w:fldCharType="end"/>
            </w:r>
            <w:r w:rsidRPr="009556BD">
              <w:rPr>
                <w:rFonts w:asciiTheme="minorEastAsia" w:eastAsiaTheme="minorEastAsia" w:hAnsiTheme="minorEastAsia" w:hint="eastAsia"/>
                <w:sz w:val="21"/>
                <w:szCs w:val="21"/>
                <w:lang w:val="zh-CN"/>
              </w:rPr>
              <w:t>页</w:t>
            </w:r>
          </w:sdtContent>
        </w:sdt>
      </w:sdtContent>
    </w:sdt>
  </w:p>
  <w:p w:rsidR="002610E2" w:rsidRDefault="002610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93" w:rsidRDefault="00EC3093" w:rsidP="00033A89">
      <w:r>
        <w:separator/>
      </w:r>
    </w:p>
  </w:footnote>
  <w:footnote w:type="continuationSeparator" w:id="0">
    <w:p w:rsidR="00EC3093" w:rsidRDefault="00EC3093" w:rsidP="00033A8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EE4E61"/>
    <w:multiLevelType w:val="singleLevel"/>
    <w:tmpl w:val="D1EE4E61"/>
    <w:lvl w:ilvl="0">
      <w:start w:val="1"/>
      <w:numFmt w:val="decimal"/>
      <w:suff w:val="nothing"/>
      <w:lvlText w:val="%1）"/>
      <w:lvlJc w:val="left"/>
    </w:lvl>
  </w:abstractNum>
  <w:abstractNum w:abstractNumId="1" w15:restartNumberingAfterBreak="0">
    <w:nsid w:val="D5178C9E"/>
    <w:multiLevelType w:val="singleLevel"/>
    <w:tmpl w:val="A5761136"/>
    <w:lvl w:ilvl="0">
      <w:start w:val="1"/>
      <w:numFmt w:val="decimal"/>
      <w:suff w:val="nothing"/>
      <w:lvlText w:val="（%1）"/>
      <w:lvlJc w:val="left"/>
      <w:pPr>
        <w:ind w:left="0" w:firstLine="0"/>
      </w:pPr>
      <w:rPr>
        <w:rFonts w:hint="eastAsia"/>
      </w:rPr>
    </w:lvl>
  </w:abstractNum>
  <w:abstractNum w:abstractNumId="2" w15:restartNumberingAfterBreak="0">
    <w:nsid w:val="2243ACD9"/>
    <w:multiLevelType w:val="singleLevel"/>
    <w:tmpl w:val="2243ACD9"/>
    <w:lvl w:ilvl="0">
      <w:start w:val="2"/>
      <w:numFmt w:val="chineseCounting"/>
      <w:suff w:val="nothing"/>
      <w:lvlText w:val="%1、"/>
      <w:lvlJc w:val="left"/>
      <w:rPr>
        <w:rFonts w:hint="eastAsia"/>
      </w:rPr>
    </w:lvl>
  </w:abstractNum>
  <w:abstractNum w:abstractNumId="3" w15:restartNumberingAfterBreak="0">
    <w:nsid w:val="2F38FA71"/>
    <w:multiLevelType w:val="singleLevel"/>
    <w:tmpl w:val="16DC5A88"/>
    <w:lvl w:ilvl="0">
      <w:start w:val="1"/>
      <w:numFmt w:val="decimal"/>
      <w:suff w:val="nothing"/>
      <w:lvlText w:val="（%1）"/>
      <w:lvlJc w:val="left"/>
      <w:pPr>
        <w:ind w:left="0" w:firstLine="0"/>
      </w:pPr>
      <w:rPr>
        <w:rFonts w:hint="default"/>
        <w:sz w:val="32"/>
        <w:szCs w:val="32"/>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WI5NzMxMDc2N2VlYWFkNzQwNWM0ODU0YTI0Y2UifQ=="/>
  </w:docVars>
  <w:rsids>
    <w:rsidRoot w:val="21822D7E"/>
    <w:rsid w:val="00033A89"/>
    <w:rsid w:val="00241E15"/>
    <w:rsid w:val="002610E2"/>
    <w:rsid w:val="004A3FD1"/>
    <w:rsid w:val="007D0147"/>
    <w:rsid w:val="007E5BCA"/>
    <w:rsid w:val="00813CB5"/>
    <w:rsid w:val="009556BD"/>
    <w:rsid w:val="009E368D"/>
    <w:rsid w:val="00EC3093"/>
    <w:rsid w:val="00F44F67"/>
    <w:rsid w:val="01657C13"/>
    <w:rsid w:val="02533F0F"/>
    <w:rsid w:val="030376E3"/>
    <w:rsid w:val="0543421B"/>
    <w:rsid w:val="05926404"/>
    <w:rsid w:val="06F132FD"/>
    <w:rsid w:val="07C5140B"/>
    <w:rsid w:val="07CA6A21"/>
    <w:rsid w:val="09CA2D09"/>
    <w:rsid w:val="09F9539C"/>
    <w:rsid w:val="0A740EC6"/>
    <w:rsid w:val="0AD27DEA"/>
    <w:rsid w:val="0B495EAF"/>
    <w:rsid w:val="0B521208"/>
    <w:rsid w:val="0B6C7DF0"/>
    <w:rsid w:val="0CD619C5"/>
    <w:rsid w:val="0D887163"/>
    <w:rsid w:val="0DF742E8"/>
    <w:rsid w:val="0EC56195"/>
    <w:rsid w:val="11D16BFE"/>
    <w:rsid w:val="127F665A"/>
    <w:rsid w:val="12BC5F08"/>
    <w:rsid w:val="12EA7F78"/>
    <w:rsid w:val="13E175CD"/>
    <w:rsid w:val="143771ED"/>
    <w:rsid w:val="16B03286"/>
    <w:rsid w:val="178564C1"/>
    <w:rsid w:val="18090EA0"/>
    <w:rsid w:val="187A1D9E"/>
    <w:rsid w:val="18F558C8"/>
    <w:rsid w:val="1A1D50D7"/>
    <w:rsid w:val="1D220CC8"/>
    <w:rsid w:val="1DE303E5"/>
    <w:rsid w:val="1EB77F5B"/>
    <w:rsid w:val="214D4123"/>
    <w:rsid w:val="21822D7E"/>
    <w:rsid w:val="227E6ED8"/>
    <w:rsid w:val="230B683A"/>
    <w:rsid w:val="234A44B4"/>
    <w:rsid w:val="2556149D"/>
    <w:rsid w:val="26153106"/>
    <w:rsid w:val="27FF406E"/>
    <w:rsid w:val="28C055AB"/>
    <w:rsid w:val="28F11C08"/>
    <w:rsid w:val="29095BD9"/>
    <w:rsid w:val="2AF21C68"/>
    <w:rsid w:val="2B1E0CAF"/>
    <w:rsid w:val="2B4A5600"/>
    <w:rsid w:val="2BFC13F1"/>
    <w:rsid w:val="2CFC6DCE"/>
    <w:rsid w:val="316A69FC"/>
    <w:rsid w:val="317A4765"/>
    <w:rsid w:val="3276317E"/>
    <w:rsid w:val="34F14D3E"/>
    <w:rsid w:val="351D5B33"/>
    <w:rsid w:val="365C268B"/>
    <w:rsid w:val="3720190B"/>
    <w:rsid w:val="37F30DCD"/>
    <w:rsid w:val="3A3000B7"/>
    <w:rsid w:val="3AB14E6A"/>
    <w:rsid w:val="3AE50EA1"/>
    <w:rsid w:val="3CBC20D5"/>
    <w:rsid w:val="3D9F50BB"/>
    <w:rsid w:val="3E1C107E"/>
    <w:rsid w:val="3E974BA8"/>
    <w:rsid w:val="3EA11583"/>
    <w:rsid w:val="3FF12096"/>
    <w:rsid w:val="407709C0"/>
    <w:rsid w:val="41D05099"/>
    <w:rsid w:val="41EE2D31"/>
    <w:rsid w:val="42465229"/>
    <w:rsid w:val="428B0580"/>
    <w:rsid w:val="437715A0"/>
    <w:rsid w:val="447427F4"/>
    <w:rsid w:val="46130FB8"/>
    <w:rsid w:val="49256B02"/>
    <w:rsid w:val="49E35145"/>
    <w:rsid w:val="4A434C09"/>
    <w:rsid w:val="4C7279FA"/>
    <w:rsid w:val="4CA7245A"/>
    <w:rsid w:val="4DF25957"/>
    <w:rsid w:val="4E5E4D9B"/>
    <w:rsid w:val="4F334479"/>
    <w:rsid w:val="528A196B"/>
    <w:rsid w:val="54212AF2"/>
    <w:rsid w:val="54EF0E42"/>
    <w:rsid w:val="56E542AB"/>
    <w:rsid w:val="57684EDC"/>
    <w:rsid w:val="576C0528"/>
    <w:rsid w:val="58E85ABE"/>
    <w:rsid w:val="58FA1B64"/>
    <w:rsid w:val="59350DEE"/>
    <w:rsid w:val="59B937CD"/>
    <w:rsid w:val="59BD32BD"/>
    <w:rsid w:val="5A274BDA"/>
    <w:rsid w:val="5A6C083F"/>
    <w:rsid w:val="5B8D6CBF"/>
    <w:rsid w:val="5EB6652D"/>
    <w:rsid w:val="60025ECE"/>
    <w:rsid w:val="616E30EF"/>
    <w:rsid w:val="62361E5F"/>
    <w:rsid w:val="628232F6"/>
    <w:rsid w:val="6311467A"/>
    <w:rsid w:val="63FC0E86"/>
    <w:rsid w:val="65C47781"/>
    <w:rsid w:val="68543B19"/>
    <w:rsid w:val="68BF49C1"/>
    <w:rsid w:val="691E364C"/>
    <w:rsid w:val="6A1A2066"/>
    <w:rsid w:val="6A7E0847"/>
    <w:rsid w:val="6B141226"/>
    <w:rsid w:val="6B2D7B77"/>
    <w:rsid w:val="6B8F199E"/>
    <w:rsid w:val="6BAA566B"/>
    <w:rsid w:val="6BC02F89"/>
    <w:rsid w:val="6C480008"/>
    <w:rsid w:val="6C6121CE"/>
    <w:rsid w:val="6CE54BAD"/>
    <w:rsid w:val="6CEB7CE9"/>
    <w:rsid w:val="6CFA7F2C"/>
    <w:rsid w:val="6D050DAB"/>
    <w:rsid w:val="6DA73C10"/>
    <w:rsid w:val="6E3336F6"/>
    <w:rsid w:val="6EC86534"/>
    <w:rsid w:val="6F942047"/>
    <w:rsid w:val="725956F5"/>
    <w:rsid w:val="72A5093A"/>
    <w:rsid w:val="756F7E98"/>
    <w:rsid w:val="75DD34A5"/>
    <w:rsid w:val="75E83E72"/>
    <w:rsid w:val="76984A3E"/>
    <w:rsid w:val="76A06870"/>
    <w:rsid w:val="780A371A"/>
    <w:rsid w:val="79695006"/>
    <w:rsid w:val="79C12797"/>
    <w:rsid w:val="7D935F5F"/>
    <w:rsid w:val="7E696CC0"/>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11A7CC1"/>
  <w15:docId w15:val="{E2CA3F33-8347-415E-A87B-9849653E7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宋体"/>
      <w:kern w:val="2"/>
      <w:sz w:val="21"/>
      <w:szCs w:val="24"/>
    </w:rPr>
  </w:style>
  <w:style w:type="paragraph" w:styleId="4">
    <w:name w:val="heading 4"/>
    <w:basedOn w:val="a"/>
    <w:next w:val="a"/>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图标标题1行"/>
    <w:basedOn w:val="a4"/>
    <w:autoRedefine/>
    <w:qFormat/>
    <w:pPr>
      <w:adjustRightInd w:val="0"/>
      <w:snapToGrid w:val="0"/>
    </w:pPr>
    <w:rPr>
      <w:rFonts w:ascii="仿宋" w:eastAsia="仿宋" w:hAnsi="仿宋" w:cs="仿宋"/>
      <w:bCs w:val="0"/>
      <w:kern w:val="0"/>
      <w:sz w:val="24"/>
    </w:rPr>
  </w:style>
  <w:style w:type="paragraph" w:customStyle="1" w:styleId="a4">
    <w:name w:val="图片标题"/>
    <w:basedOn w:val="a"/>
    <w:autoRedefine/>
    <w:qFormat/>
    <w:pPr>
      <w:jc w:val="center"/>
    </w:pPr>
    <w:rPr>
      <w:rFonts w:eastAsia="黑体"/>
      <w:bCs/>
    </w:rPr>
  </w:style>
  <w:style w:type="paragraph" w:styleId="a5">
    <w:name w:val="header"/>
    <w:basedOn w:val="a"/>
    <w:link w:val="a6"/>
    <w:rsid w:val="00033A8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33A89"/>
    <w:rPr>
      <w:rFonts w:ascii="Calibri" w:eastAsia="宋体" w:hAnsi="Calibri" w:cs="宋体"/>
      <w:kern w:val="2"/>
      <w:sz w:val="18"/>
      <w:szCs w:val="18"/>
    </w:rPr>
  </w:style>
  <w:style w:type="paragraph" w:styleId="a7">
    <w:name w:val="footer"/>
    <w:basedOn w:val="a"/>
    <w:link w:val="a8"/>
    <w:uiPriority w:val="99"/>
    <w:rsid w:val="00033A89"/>
    <w:pPr>
      <w:tabs>
        <w:tab w:val="center" w:pos="4153"/>
        <w:tab w:val="right" w:pos="8306"/>
      </w:tabs>
      <w:snapToGrid w:val="0"/>
      <w:jc w:val="left"/>
    </w:pPr>
    <w:rPr>
      <w:sz w:val="18"/>
      <w:szCs w:val="18"/>
    </w:rPr>
  </w:style>
  <w:style w:type="character" w:customStyle="1" w:styleId="a8">
    <w:name w:val="页脚 字符"/>
    <w:basedOn w:val="a0"/>
    <w:link w:val="a7"/>
    <w:uiPriority w:val="99"/>
    <w:rsid w:val="00033A89"/>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26</Pages>
  <Words>2027</Words>
  <Characters>11554</Characters>
  <Application>Microsoft Office Word</Application>
  <DocSecurity>0</DocSecurity>
  <Lines>96</Lines>
  <Paragraphs>27</Paragraphs>
  <ScaleCrop>false</ScaleCrop>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A厍永进</dc:creator>
  <cp:lastModifiedBy>庞瑞卿</cp:lastModifiedBy>
  <cp:revision>5</cp:revision>
  <dcterms:created xsi:type="dcterms:W3CDTF">2024-10-16T06:47:00Z</dcterms:created>
  <dcterms:modified xsi:type="dcterms:W3CDTF">2024-12-27T11:13:00Z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67688D20299742479C926A7B6DC76CB4_11</vt:lpwstr>
  </property>
</Properties>
</file>