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1435" w:rsidRDefault="00F21DBE">
      <w:pPr>
        <w:adjustRightInd w:val="0"/>
        <w:spacing w:line="500" w:lineRule="exact"/>
        <w:jc w:val="center"/>
        <w:outlineLvl w:val="0"/>
        <w:rPr>
          <w:rFonts w:ascii="Arial" w:eastAsia="方正小标宋简体" w:hAnsi="Arial" w:cs="Arial"/>
          <w:color w:val="000000"/>
          <w:sz w:val="44"/>
          <w:szCs w:val="44"/>
        </w:rPr>
      </w:pPr>
      <w:bookmarkStart w:id="0" w:name="_Toc11005"/>
      <w:bookmarkStart w:id="1" w:name="_Toc23871"/>
      <w:bookmarkStart w:id="2" w:name="_Toc18844"/>
      <w:bookmarkStart w:id="3" w:name="_Toc16567"/>
      <w:bookmarkStart w:id="4" w:name="_Toc22726"/>
      <w:bookmarkStart w:id="5" w:name="_Toc17889"/>
      <w:bookmarkStart w:id="6" w:name="_Toc21673"/>
      <w:bookmarkStart w:id="7" w:name="_Toc26119"/>
      <w:bookmarkStart w:id="8" w:name="_Toc6456"/>
      <w:bookmarkStart w:id="9" w:name="_Toc13944"/>
      <w:bookmarkStart w:id="10" w:name="_Toc28784"/>
      <w:bookmarkStart w:id="11" w:name="_Toc15930"/>
      <w:bookmarkStart w:id="12" w:name="_Toc15498"/>
      <w:r>
        <w:rPr>
          <w:rFonts w:ascii="Arial" w:eastAsia="方正小标宋简体" w:hAnsi="Arial" w:cs="Arial" w:hint="eastAsia"/>
          <w:color w:val="000000"/>
          <w:sz w:val="44"/>
          <w:szCs w:val="44"/>
        </w:rPr>
        <w:t>碳离子</w:t>
      </w:r>
      <w:r>
        <w:rPr>
          <w:rFonts w:ascii="Arial" w:eastAsia="方正小标宋简体" w:hAnsi="Arial" w:cs="Arial"/>
          <w:color w:val="000000"/>
          <w:sz w:val="44"/>
          <w:szCs w:val="44"/>
        </w:rPr>
        <w:t>/</w:t>
      </w:r>
      <w:r>
        <w:rPr>
          <w:rFonts w:ascii="Arial" w:eastAsia="方正小标宋简体" w:hAnsi="Arial" w:cs="Arial" w:hint="eastAsia"/>
          <w:color w:val="000000"/>
          <w:sz w:val="44"/>
          <w:szCs w:val="44"/>
        </w:rPr>
        <w:t>质子治疗系统检查要点</w:t>
      </w:r>
      <w:bookmarkEnd w:id="0"/>
      <w:bookmarkEnd w:id="1"/>
      <w:bookmarkEnd w:id="2"/>
      <w:bookmarkEnd w:id="3"/>
      <w:bookmarkEnd w:id="4"/>
      <w:bookmarkEnd w:id="5"/>
      <w:bookmarkEnd w:id="6"/>
      <w:bookmarkEnd w:id="7"/>
      <w:bookmarkEnd w:id="8"/>
      <w:bookmarkEnd w:id="9"/>
      <w:bookmarkEnd w:id="10"/>
      <w:bookmarkEnd w:id="11"/>
      <w:bookmarkEnd w:id="12"/>
    </w:p>
    <w:p w:rsidR="00B21435" w:rsidRPr="00A62EAD" w:rsidRDefault="00A62EAD" w:rsidP="00A62EAD">
      <w:pPr>
        <w:spacing w:line="580" w:lineRule="exact"/>
        <w:jc w:val="center"/>
        <w:rPr>
          <w:rFonts w:ascii="仿宋_GB2312" w:eastAsia="仿宋_GB2312" w:hAnsi="Arial" w:cs="Arial" w:hint="eastAsia"/>
          <w:kern w:val="0"/>
          <w:sz w:val="36"/>
          <w:szCs w:val="36"/>
        </w:rPr>
      </w:pPr>
      <w:r w:rsidRPr="00A62EAD">
        <w:rPr>
          <w:rFonts w:ascii="仿宋_GB2312" w:eastAsia="仿宋_GB2312" w:hAnsi="Arial" w:cs="Arial" w:hint="eastAsia"/>
          <w:kern w:val="0"/>
          <w:sz w:val="36"/>
          <w:szCs w:val="36"/>
        </w:rPr>
        <w:t>（征求意见稿）</w:t>
      </w:r>
    </w:p>
    <w:p w:rsidR="00B21435" w:rsidRDefault="00F21DBE">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为规范和指导碳离子/质子治疗系统质量管理体系</w:t>
      </w:r>
      <w:r>
        <w:rPr>
          <w:rFonts w:ascii="仿宋_GB2312" w:eastAsia="仿宋_GB2312" w:hAnsi="Arial" w:cs="Arial" w:hint="eastAsia"/>
          <w:color w:val="000000"/>
          <w:kern w:val="0"/>
          <w:sz w:val="32"/>
          <w:szCs w:val="28"/>
        </w:rPr>
        <w:t>现场检查工作，依据</w:t>
      </w:r>
      <w:r>
        <w:rPr>
          <w:rFonts w:eastAsia="仿宋_GB2312"/>
          <w:sz w:val="32"/>
          <w:szCs w:val="32"/>
        </w:rPr>
        <w:t>《医疗器械监督管理条例》《医疗器械注册与备案管理办法》</w:t>
      </w:r>
      <w:r>
        <w:rPr>
          <w:rFonts w:ascii="仿宋_GB2312" w:eastAsia="仿宋_GB2312" w:hAnsi="Arial" w:cs="Arial" w:hint="eastAsia"/>
          <w:color w:val="000000"/>
          <w:kern w:val="0"/>
          <w:sz w:val="32"/>
          <w:szCs w:val="28"/>
        </w:rPr>
        <w:t>《医疗器</w:t>
      </w:r>
      <w:r w:rsidR="007250CE">
        <w:rPr>
          <w:rFonts w:ascii="仿宋_GB2312" w:eastAsia="仿宋_GB2312" w:hAnsi="Arial" w:cs="Arial" w:hint="eastAsia"/>
          <w:color w:val="000000"/>
          <w:kern w:val="0"/>
          <w:sz w:val="32"/>
          <w:szCs w:val="28"/>
        </w:rPr>
        <w:t>械生产质量管理规范》及《医疗器械生产质量管理规范附录独立软件》</w:t>
      </w:r>
      <w:r>
        <w:rPr>
          <w:rFonts w:ascii="仿宋_GB2312" w:eastAsia="仿宋_GB2312" w:hAnsi="Arial" w:cs="Arial" w:hint="eastAsia"/>
          <w:color w:val="000000"/>
          <w:kern w:val="0"/>
          <w:sz w:val="32"/>
          <w:szCs w:val="28"/>
        </w:rPr>
        <w:t>《医疗器械注册质量管理体系核查指南》等要求，结合碳离子/质子治疗系统产品技术特点及风险、生产工艺、质量控制及运行维护要求制定本检查要点。</w:t>
      </w:r>
    </w:p>
    <w:p w:rsidR="00B21435" w:rsidRDefault="00F21DBE">
      <w:pPr>
        <w:widowControl/>
        <w:spacing w:line="560" w:lineRule="exact"/>
        <w:ind w:firstLineChars="200" w:firstLine="636"/>
        <w:rPr>
          <w:rFonts w:ascii="仿宋_GB2312" w:eastAsia="仿宋_GB2312" w:hAnsi="Arial" w:cs="Arial"/>
          <w:color w:val="000000"/>
          <w:spacing w:val="-1"/>
          <w:sz w:val="32"/>
          <w:szCs w:val="28"/>
        </w:rPr>
      </w:pPr>
      <w:r>
        <w:rPr>
          <w:rFonts w:ascii="仿宋_GB2312" w:eastAsia="仿宋_GB2312" w:hAnsi="Arial" w:cs="Arial" w:hint="eastAsia"/>
          <w:color w:val="000000"/>
          <w:spacing w:val="-1"/>
          <w:sz w:val="32"/>
          <w:szCs w:val="28"/>
        </w:rPr>
        <w:t>本检查要点是对碳离子/质子治疗系统开展现场检查的指导性要求，旨在供检查人员及注册人参考使用，帮助有关人员系统梳理该类产品的工作原理、生产工艺及质量控制过程中的风险点，不作为法规强制执行。注册人应依据申报产品的具体结构特征、工艺特点及运营模式，遵循相关法规要求建立质量管理体系并保持有效运行。</w:t>
      </w:r>
    </w:p>
    <w:p w:rsidR="00B21435" w:rsidRDefault="00F21DBE">
      <w:pPr>
        <w:widowControl/>
        <w:spacing w:line="560" w:lineRule="exact"/>
        <w:ind w:firstLineChars="200" w:firstLine="636"/>
        <w:rPr>
          <w:rFonts w:ascii="仿宋_GB2312" w:eastAsia="仿宋_GB2312" w:hAnsi="Arial" w:cs="Arial"/>
          <w:color w:val="000000"/>
          <w:spacing w:val="-1"/>
          <w:sz w:val="32"/>
          <w:szCs w:val="28"/>
        </w:rPr>
      </w:pPr>
      <w:r>
        <w:rPr>
          <w:rFonts w:ascii="仿宋_GB2312" w:eastAsia="仿宋_GB2312" w:hAnsi="Arial" w:cs="Arial" w:hint="eastAsia"/>
          <w:color w:val="000000"/>
          <w:spacing w:val="-1"/>
          <w:sz w:val="32"/>
          <w:szCs w:val="28"/>
        </w:rPr>
        <w:t>本检查要点是在现行法律法规、标准体系、当前科技认知水平和现有产品技术基础上形成的，随着法律法规和标准的不断完善、科学技术的不断发展，产品亦会更新和变化，相关人员参考时应注意其适宜性，密切关注适用标准及相关技术的最新进展。</w:t>
      </w:r>
    </w:p>
    <w:p w:rsidR="00B21435" w:rsidRDefault="00F21DBE">
      <w:pPr>
        <w:widowControl/>
        <w:spacing w:line="560" w:lineRule="exact"/>
        <w:ind w:firstLineChars="200" w:firstLine="636"/>
        <w:rPr>
          <w:rFonts w:ascii="仿宋_GB2312" w:eastAsia="仿宋_GB2312" w:hAnsi="Arial" w:cs="Arial"/>
          <w:color w:val="000000"/>
          <w:spacing w:val="-1"/>
          <w:sz w:val="32"/>
          <w:szCs w:val="28"/>
        </w:rPr>
      </w:pPr>
      <w:r>
        <w:rPr>
          <w:rFonts w:ascii="仿宋_GB2312" w:eastAsia="仿宋_GB2312" w:hAnsi="Arial" w:cs="Arial" w:hint="eastAsia"/>
          <w:color w:val="000000"/>
          <w:spacing w:val="-1"/>
          <w:sz w:val="32"/>
          <w:szCs w:val="28"/>
        </w:rPr>
        <w:t>本检查要点根据</w:t>
      </w:r>
      <w:r>
        <w:rPr>
          <w:rFonts w:ascii="仿宋_GB2312" w:eastAsia="仿宋_GB2312" w:hAnsi="Arial" w:cs="Arial" w:hint="eastAsia"/>
          <w:color w:val="000000"/>
          <w:sz w:val="32"/>
          <w:szCs w:val="28"/>
        </w:rPr>
        <w:t>碳离子/质子治疗系统</w:t>
      </w:r>
      <w:r>
        <w:rPr>
          <w:rFonts w:ascii="仿宋_GB2312" w:eastAsia="仿宋_GB2312" w:hAnsi="Arial" w:cs="Arial" w:hint="eastAsia"/>
          <w:color w:val="000000"/>
          <w:spacing w:val="-1"/>
          <w:sz w:val="32"/>
          <w:szCs w:val="28"/>
        </w:rPr>
        <w:t>的特殊性和复杂性，对于关键部件采取外购、外协等情况的，注册人应当将相关活动纳入质量管理体系管理。</w:t>
      </w:r>
    </w:p>
    <w:p w:rsidR="00B21435" w:rsidRDefault="00F21DBE">
      <w:pPr>
        <w:spacing w:line="560" w:lineRule="exact"/>
        <w:ind w:firstLineChars="200" w:firstLine="720"/>
        <w:outlineLvl w:val="1"/>
        <w:rPr>
          <w:rFonts w:ascii="Arial" w:eastAsia="黑体" w:hAnsi="Arial" w:cs="Arial"/>
          <w:kern w:val="0"/>
          <w:sz w:val="36"/>
          <w:szCs w:val="36"/>
        </w:rPr>
      </w:pPr>
      <w:bookmarkStart w:id="13" w:name="_Toc28299"/>
      <w:bookmarkStart w:id="14" w:name="_Toc19573"/>
      <w:bookmarkStart w:id="15" w:name="_Toc20189"/>
      <w:bookmarkStart w:id="16" w:name="_Toc25768"/>
      <w:bookmarkStart w:id="17" w:name="_Toc7865"/>
      <w:bookmarkStart w:id="18" w:name="_Toc15374"/>
      <w:bookmarkStart w:id="19" w:name="_Toc4550"/>
      <w:bookmarkStart w:id="20" w:name="_Toc20162"/>
      <w:bookmarkStart w:id="21" w:name="_Toc11004"/>
      <w:bookmarkStart w:id="22" w:name="_Toc27020"/>
      <w:bookmarkStart w:id="23" w:name="_Toc3038"/>
      <w:bookmarkStart w:id="24" w:name="_Toc24483"/>
      <w:bookmarkStart w:id="25" w:name="_Toc13778"/>
      <w:r>
        <w:rPr>
          <w:rFonts w:ascii="Arial" w:eastAsia="黑体" w:hAnsi="Arial" w:cs="Arial" w:hint="eastAsia"/>
          <w:kern w:val="0"/>
          <w:sz w:val="36"/>
          <w:szCs w:val="36"/>
        </w:rPr>
        <w:t>一、产品介绍</w:t>
      </w:r>
      <w:bookmarkEnd w:id="13"/>
      <w:bookmarkEnd w:id="14"/>
      <w:bookmarkEnd w:id="15"/>
      <w:bookmarkEnd w:id="16"/>
      <w:bookmarkEnd w:id="17"/>
      <w:bookmarkEnd w:id="18"/>
      <w:bookmarkEnd w:id="19"/>
      <w:bookmarkEnd w:id="20"/>
      <w:bookmarkEnd w:id="21"/>
      <w:bookmarkEnd w:id="22"/>
      <w:bookmarkEnd w:id="23"/>
      <w:bookmarkEnd w:id="24"/>
      <w:bookmarkEnd w:id="25"/>
    </w:p>
    <w:p w:rsidR="00B21435" w:rsidRDefault="00F21DBE">
      <w:pPr>
        <w:spacing w:line="560" w:lineRule="exact"/>
        <w:ind w:firstLineChars="200" w:firstLine="640"/>
        <w:outlineLvl w:val="2"/>
        <w:rPr>
          <w:rFonts w:ascii="楷体" w:hAnsi="楷体" w:cs="楷体"/>
        </w:rPr>
      </w:pPr>
      <w:bookmarkStart w:id="26" w:name="_Toc12752"/>
      <w:bookmarkStart w:id="27" w:name="_Toc2106"/>
      <w:bookmarkStart w:id="28" w:name="_Toc27739"/>
      <w:bookmarkStart w:id="29" w:name="_Toc2232"/>
      <w:bookmarkStart w:id="30" w:name="_Toc27607"/>
      <w:bookmarkStart w:id="31" w:name="_Toc32408"/>
      <w:bookmarkStart w:id="32" w:name="_Toc23420"/>
      <w:bookmarkStart w:id="33" w:name="_Toc12903"/>
      <w:bookmarkStart w:id="34" w:name="_Toc14872"/>
      <w:bookmarkStart w:id="35" w:name="_Toc29440"/>
      <w:bookmarkStart w:id="36" w:name="_Toc25428"/>
      <w:bookmarkStart w:id="37" w:name="_Toc26276"/>
      <w:bookmarkStart w:id="38" w:name="_Toc16218"/>
      <w:r>
        <w:rPr>
          <w:rFonts w:ascii="楷体" w:eastAsia="楷体" w:hAnsi="楷体" w:cs="楷体" w:hint="eastAsia"/>
          <w:sz w:val="32"/>
          <w:szCs w:val="32"/>
        </w:rPr>
        <w:lastRenderedPageBreak/>
        <w:t>（一）预期用途</w:t>
      </w:r>
      <w:bookmarkEnd w:id="26"/>
      <w:bookmarkEnd w:id="27"/>
      <w:bookmarkEnd w:id="28"/>
      <w:bookmarkEnd w:id="29"/>
      <w:bookmarkEnd w:id="30"/>
      <w:bookmarkEnd w:id="31"/>
      <w:bookmarkEnd w:id="32"/>
      <w:bookmarkEnd w:id="33"/>
      <w:bookmarkEnd w:id="34"/>
      <w:bookmarkEnd w:id="35"/>
      <w:bookmarkEnd w:id="36"/>
      <w:bookmarkEnd w:id="37"/>
      <w:bookmarkEnd w:id="38"/>
    </w:p>
    <w:p w:rsidR="00B21435" w:rsidRDefault="00F21DBE">
      <w:pPr>
        <w:widowControl/>
        <w:spacing w:line="560" w:lineRule="exact"/>
        <w:ind w:firstLineChars="200" w:firstLine="636"/>
        <w:rPr>
          <w:rFonts w:ascii="仿宋_GB2312" w:eastAsia="仿宋_GB2312" w:hAnsi="Arial" w:cs="Arial"/>
          <w:color w:val="000000"/>
          <w:spacing w:val="-1"/>
          <w:sz w:val="32"/>
          <w:szCs w:val="28"/>
        </w:rPr>
      </w:pPr>
      <w:r>
        <w:rPr>
          <w:rFonts w:ascii="仿宋_GB2312" w:eastAsia="仿宋_GB2312" w:hAnsi="Arial" w:cs="Arial" w:hint="eastAsia"/>
          <w:color w:val="000000"/>
          <w:spacing w:val="-1"/>
          <w:sz w:val="32"/>
          <w:szCs w:val="28"/>
        </w:rPr>
        <w:t>该类产品采用碳离子或质子</w:t>
      </w:r>
      <w:proofErr w:type="gramStart"/>
      <w:r>
        <w:rPr>
          <w:rFonts w:ascii="仿宋_GB2312" w:eastAsia="仿宋_GB2312" w:hAnsi="Arial" w:cs="Arial" w:hint="eastAsia"/>
          <w:color w:val="000000"/>
          <w:spacing w:val="-1"/>
          <w:sz w:val="32"/>
          <w:szCs w:val="28"/>
        </w:rPr>
        <w:t>束进行</w:t>
      </w:r>
      <w:proofErr w:type="gramEnd"/>
      <w:r>
        <w:rPr>
          <w:rFonts w:ascii="仿宋_GB2312" w:eastAsia="仿宋_GB2312" w:hAnsi="Arial" w:cs="Arial" w:hint="eastAsia"/>
          <w:color w:val="000000"/>
          <w:spacing w:val="-1"/>
          <w:sz w:val="32"/>
          <w:szCs w:val="28"/>
        </w:rPr>
        <w:t>放射治疗，适用于恶性实体肿瘤以及临床医生认为其他需要碳离子或质子</w:t>
      </w:r>
      <w:proofErr w:type="gramStart"/>
      <w:r>
        <w:rPr>
          <w:rFonts w:ascii="仿宋_GB2312" w:eastAsia="仿宋_GB2312" w:hAnsi="Arial" w:cs="Arial" w:hint="eastAsia"/>
          <w:color w:val="000000"/>
          <w:spacing w:val="-1"/>
          <w:sz w:val="32"/>
          <w:szCs w:val="28"/>
        </w:rPr>
        <w:t>束进行</w:t>
      </w:r>
      <w:proofErr w:type="gramEnd"/>
      <w:r>
        <w:rPr>
          <w:rFonts w:ascii="仿宋_GB2312" w:eastAsia="仿宋_GB2312" w:hAnsi="Arial" w:cs="Arial" w:hint="eastAsia"/>
          <w:color w:val="000000"/>
          <w:spacing w:val="-1"/>
          <w:sz w:val="32"/>
          <w:szCs w:val="28"/>
        </w:rPr>
        <w:t>放射治疗的疾病。</w:t>
      </w:r>
    </w:p>
    <w:p w:rsidR="00B21435" w:rsidRDefault="00F21DBE">
      <w:pPr>
        <w:spacing w:line="560" w:lineRule="exact"/>
        <w:ind w:firstLineChars="200" w:firstLine="640"/>
        <w:outlineLvl w:val="2"/>
        <w:rPr>
          <w:rFonts w:ascii="楷体" w:eastAsia="楷体" w:hAnsi="楷体" w:cs="楷体"/>
          <w:sz w:val="32"/>
          <w:szCs w:val="32"/>
        </w:rPr>
      </w:pPr>
      <w:bookmarkStart w:id="39" w:name="_Toc1498"/>
      <w:bookmarkStart w:id="40" w:name="_Toc5963"/>
      <w:bookmarkStart w:id="41" w:name="_Toc17030"/>
      <w:bookmarkStart w:id="42" w:name="_Toc25190"/>
      <w:bookmarkStart w:id="43" w:name="_Toc16561"/>
      <w:bookmarkStart w:id="44" w:name="_Toc29579"/>
      <w:bookmarkStart w:id="45" w:name="_Toc31366"/>
      <w:bookmarkStart w:id="46" w:name="_Toc12871"/>
      <w:bookmarkStart w:id="47" w:name="_Toc22091"/>
      <w:bookmarkStart w:id="48" w:name="_Toc24345"/>
      <w:bookmarkStart w:id="49" w:name="_Toc22360"/>
      <w:bookmarkStart w:id="50" w:name="_Toc30522"/>
      <w:bookmarkStart w:id="51" w:name="_Toc3009"/>
      <w:r>
        <w:rPr>
          <w:rFonts w:ascii="楷体" w:eastAsia="楷体" w:hAnsi="楷体" w:cs="楷体" w:hint="eastAsia"/>
          <w:sz w:val="32"/>
          <w:szCs w:val="32"/>
        </w:rPr>
        <w:t>（二）粒子种类</w:t>
      </w:r>
      <w:bookmarkEnd w:id="39"/>
      <w:bookmarkEnd w:id="40"/>
      <w:bookmarkEnd w:id="41"/>
      <w:bookmarkEnd w:id="42"/>
      <w:bookmarkEnd w:id="43"/>
      <w:bookmarkEnd w:id="44"/>
      <w:bookmarkEnd w:id="45"/>
      <w:bookmarkEnd w:id="46"/>
      <w:bookmarkEnd w:id="47"/>
      <w:bookmarkEnd w:id="48"/>
      <w:bookmarkEnd w:id="49"/>
      <w:bookmarkEnd w:id="50"/>
      <w:bookmarkEnd w:id="51"/>
    </w:p>
    <w:p w:rsidR="00B21435" w:rsidRDefault="00F21DBE">
      <w:pPr>
        <w:widowControl/>
        <w:spacing w:line="560" w:lineRule="exact"/>
        <w:ind w:firstLineChars="200" w:firstLine="636"/>
        <w:rPr>
          <w:rFonts w:ascii="仿宋_GB2312" w:eastAsia="仿宋_GB2312" w:hAnsi="Arial" w:cs="Arial"/>
          <w:color w:val="000000"/>
          <w:spacing w:val="-1"/>
          <w:sz w:val="32"/>
          <w:szCs w:val="28"/>
        </w:rPr>
      </w:pPr>
      <w:r>
        <w:rPr>
          <w:rFonts w:ascii="仿宋_GB2312" w:eastAsia="仿宋_GB2312" w:hAnsi="Arial" w:cs="Arial" w:hint="eastAsia"/>
          <w:color w:val="000000"/>
          <w:spacing w:val="-1"/>
          <w:sz w:val="32"/>
          <w:szCs w:val="28"/>
        </w:rPr>
        <w:t>碳离子、质子。</w:t>
      </w:r>
    </w:p>
    <w:p w:rsidR="00B21435" w:rsidRDefault="00F21DBE">
      <w:pPr>
        <w:spacing w:line="560" w:lineRule="exact"/>
        <w:ind w:firstLineChars="200" w:firstLine="640"/>
        <w:outlineLvl w:val="2"/>
        <w:rPr>
          <w:rFonts w:ascii="楷体" w:eastAsia="楷体" w:hAnsi="楷体" w:cs="楷体"/>
          <w:sz w:val="32"/>
          <w:szCs w:val="32"/>
        </w:rPr>
      </w:pPr>
      <w:bookmarkStart w:id="52" w:name="_Toc22917"/>
      <w:bookmarkStart w:id="53" w:name="_Toc7939"/>
      <w:bookmarkStart w:id="54" w:name="_Toc352"/>
      <w:bookmarkStart w:id="55" w:name="_Toc26004"/>
      <w:bookmarkStart w:id="56" w:name="_Toc10251"/>
      <w:bookmarkStart w:id="57" w:name="_Toc31614"/>
      <w:bookmarkStart w:id="58" w:name="_Toc8449"/>
      <w:bookmarkStart w:id="59" w:name="_Toc19538"/>
      <w:bookmarkStart w:id="60" w:name="_Toc32371"/>
      <w:bookmarkStart w:id="61" w:name="_Toc22076"/>
      <w:bookmarkStart w:id="62" w:name="_Toc11334"/>
      <w:bookmarkStart w:id="63" w:name="_Toc28990"/>
      <w:bookmarkStart w:id="64" w:name="_Toc24224"/>
      <w:r>
        <w:rPr>
          <w:rFonts w:ascii="楷体" w:eastAsia="楷体" w:hAnsi="楷体" w:cs="楷体" w:hint="eastAsia"/>
          <w:sz w:val="32"/>
          <w:szCs w:val="32"/>
        </w:rPr>
        <w:t>（三）工作原理</w:t>
      </w:r>
      <w:bookmarkEnd w:id="52"/>
      <w:bookmarkEnd w:id="53"/>
      <w:bookmarkEnd w:id="54"/>
      <w:bookmarkEnd w:id="55"/>
      <w:bookmarkEnd w:id="56"/>
      <w:bookmarkEnd w:id="57"/>
      <w:bookmarkEnd w:id="58"/>
      <w:bookmarkEnd w:id="59"/>
      <w:bookmarkEnd w:id="60"/>
      <w:bookmarkEnd w:id="61"/>
      <w:bookmarkEnd w:id="62"/>
      <w:bookmarkEnd w:id="63"/>
      <w:bookmarkEnd w:id="64"/>
    </w:p>
    <w:p w:rsidR="00B21435" w:rsidRDefault="00F21DBE">
      <w:pPr>
        <w:widowControl/>
        <w:spacing w:line="560" w:lineRule="exact"/>
        <w:ind w:firstLineChars="200" w:firstLine="636"/>
        <w:rPr>
          <w:rFonts w:ascii="仿宋_GB2312" w:eastAsia="仿宋_GB2312" w:hAnsi="Arial" w:cs="Arial"/>
          <w:color w:val="000000"/>
          <w:spacing w:val="-1"/>
          <w:sz w:val="32"/>
          <w:szCs w:val="28"/>
        </w:rPr>
      </w:pPr>
      <w:r>
        <w:rPr>
          <w:rFonts w:ascii="仿宋_GB2312" w:eastAsia="仿宋_GB2312" w:hAnsi="Arial" w:cs="Arial" w:hint="eastAsia"/>
          <w:color w:val="000000"/>
          <w:spacing w:val="-1"/>
          <w:sz w:val="32"/>
          <w:szCs w:val="28"/>
        </w:rPr>
        <w:t>碳离子/质子治疗是一种利用电离辐射的体外放射治疗技术，利用离子束的Bragg峰特性，可以将电离辐射能更好的集中在病灶，减少束流入射路径上正常组织的损伤，从而更好的治疗肿瘤，减少患者的毒副作用。</w:t>
      </w:r>
    </w:p>
    <w:p w:rsidR="00B21435" w:rsidRDefault="00F21DBE">
      <w:pPr>
        <w:pStyle w:val="4"/>
        <w:ind w:firstLine="640"/>
      </w:pPr>
      <w:bookmarkStart w:id="65" w:name="_Toc25285"/>
      <w:bookmarkStart w:id="66" w:name="_Toc25453"/>
      <w:bookmarkStart w:id="67" w:name="_Toc19595"/>
      <w:bookmarkStart w:id="68" w:name="_Toc29611"/>
      <w:bookmarkStart w:id="69" w:name="_Toc26263"/>
      <w:bookmarkStart w:id="70" w:name="_Toc12540"/>
      <w:bookmarkStart w:id="71" w:name="_Toc7137"/>
      <w:bookmarkStart w:id="72" w:name="_Toc7387"/>
      <w:bookmarkStart w:id="73" w:name="_Toc12870"/>
      <w:bookmarkStart w:id="74" w:name="_Toc11258"/>
      <w:bookmarkStart w:id="75" w:name="_Toc11101"/>
      <w:bookmarkStart w:id="76" w:name="_Toc8339"/>
      <w:r>
        <w:rPr>
          <w:rFonts w:hint="eastAsia"/>
        </w:rPr>
        <w:t>1.</w:t>
      </w:r>
      <w:r>
        <w:rPr>
          <w:rFonts w:hint="eastAsia"/>
        </w:rPr>
        <w:t>碳离子治疗系统</w:t>
      </w:r>
      <w:bookmarkEnd w:id="65"/>
      <w:bookmarkEnd w:id="66"/>
      <w:bookmarkEnd w:id="67"/>
      <w:bookmarkEnd w:id="68"/>
      <w:bookmarkEnd w:id="69"/>
      <w:bookmarkEnd w:id="70"/>
      <w:bookmarkEnd w:id="71"/>
      <w:bookmarkEnd w:id="72"/>
      <w:bookmarkEnd w:id="73"/>
      <w:bookmarkEnd w:id="74"/>
      <w:bookmarkEnd w:id="75"/>
      <w:bookmarkEnd w:id="76"/>
    </w:p>
    <w:p w:rsidR="00B21435" w:rsidRDefault="00F21DBE">
      <w:pPr>
        <w:widowControl/>
        <w:spacing w:line="560" w:lineRule="exact"/>
        <w:ind w:firstLineChars="200" w:firstLine="636"/>
        <w:rPr>
          <w:rFonts w:ascii="仿宋_GB2312" w:eastAsia="仿宋_GB2312" w:hAnsi="Arial" w:cs="Arial"/>
          <w:color w:val="000000"/>
          <w:spacing w:val="-1"/>
          <w:sz w:val="32"/>
          <w:szCs w:val="28"/>
        </w:rPr>
      </w:pPr>
      <w:r>
        <w:rPr>
          <w:rFonts w:ascii="仿宋_GB2312" w:eastAsia="仿宋_GB2312" w:hAnsi="Arial" w:cs="Arial" w:hint="eastAsia"/>
          <w:color w:val="000000"/>
          <w:spacing w:val="-1"/>
          <w:sz w:val="32"/>
          <w:szCs w:val="28"/>
        </w:rPr>
        <w:t>碳离子治疗系统由离子源系统产生碳离子束，经过注入器（回旋加速器或直线加速器）、主加速器（同步加速器）加速后传输到治疗室进行治疗。</w:t>
      </w:r>
    </w:p>
    <w:p w:rsidR="00B21435" w:rsidRDefault="00A62EAD">
      <w:pPr>
        <w:widowControl/>
        <w:spacing w:line="560" w:lineRule="exact"/>
        <w:ind w:firstLineChars="200" w:firstLine="636"/>
        <w:rPr>
          <w:rFonts w:ascii="仿宋_GB2312" w:eastAsia="仿宋_GB2312" w:hAnsi="Arial" w:cs="Arial"/>
          <w:color w:val="000000"/>
          <w:spacing w:val="-1"/>
          <w:sz w:val="32"/>
          <w:szCs w:val="28"/>
        </w:rPr>
      </w:pPr>
      <w:r>
        <w:rPr>
          <w:rFonts w:ascii="仿宋_GB2312" w:eastAsia="仿宋_GB2312" w:hAnsi="Arial" w:cs="Arial" w:hint="eastAsia"/>
          <w:color w:val="000000"/>
          <w:spacing w:val="-1"/>
          <w:sz w:val="32"/>
          <w:szCs w:val="28"/>
        </w:rPr>
        <w:t>（</w:t>
      </w:r>
      <w:r w:rsidR="00F21DBE">
        <w:rPr>
          <w:rFonts w:ascii="仿宋_GB2312" w:eastAsia="仿宋_GB2312" w:hAnsi="Arial" w:cs="Arial" w:hint="eastAsia"/>
          <w:color w:val="000000"/>
          <w:spacing w:val="-1"/>
          <w:sz w:val="32"/>
          <w:szCs w:val="28"/>
        </w:rPr>
        <w:t>1）碳离子束流产生、加速、引出</w:t>
      </w:r>
    </w:p>
    <w:p w:rsidR="00B21435" w:rsidRDefault="00F21DBE">
      <w:pPr>
        <w:spacing w:line="560" w:lineRule="exact"/>
        <w:ind w:firstLineChars="200" w:firstLine="636"/>
        <w:rPr>
          <w:rFonts w:ascii="仿宋_GB2312" w:eastAsia="仿宋_GB2312" w:hAnsi="Arial" w:cs="Arial"/>
          <w:color w:val="000000"/>
          <w:spacing w:val="-1"/>
          <w:sz w:val="32"/>
          <w:szCs w:val="28"/>
        </w:rPr>
      </w:pPr>
      <w:r>
        <w:rPr>
          <w:rFonts w:ascii="仿宋_GB2312" w:eastAsia="仿宋_GB2312" w:hAnsi="Arial" w:cs="Arial" w:hint="eastAsia"/>
          <w:color w:val="000000"/>
          <w:spacing w:val="-1"/>
          <w:sz w:val="32"/>
          <w:szCs w:val="28"/>
        </w:rPr>
        <w:t>离子源系统将注入到离子源的中性气体电离形成高密度的等离子体，经过弧腔引出后，形成碳离子束。碳离子束注入到注入器(回旋加速器或直线加速器)内，经注入器初级加速后，通过中能传输系统，注入到同步加速器，在同步加速器高频系统的作用下，实现碳离子束的俘获和加速，当束流能量达到临床应用要求后，经束流传输系统配送至治疗终端。进入病灶区域的碳离子束可杀死肿瘤细胞，达到治疗肿瘤的目的。</w:t>
      </w:r>
    </w:p>
    <w:p w:rsidR="00B21435" w:rsidRDefault="00A62EAD">
      <w:pPr>
        <w:widowControl/>
        <w:spacing w:line="560" w:lineRule="exact"/>
        <w:ind w:firstLineChars="200" w:firstLine="636"/>
        <w:rPr>
          <w:rFonts w:ascii="仿宋_GB2312" w:eastAsia="仿宋_GB2312" w:hAnsi="Arial" w:cs="Arial"/>
          <w:color w:val="000000"/>
          <w:spacing w:val="-1"/>
          <w:sz w:val="32"/>
          <w:szCs w:val="28"/>
        </w:rPr>
      </w:pPr>
      <w:r>
        <w:rPr>
          <w:rFonts w:ascii="仿宋_GB2312" w:eastAsia="仿宋_GB2312" w:hAnsi="Arial" w:cs="Arial" w:hint="eastAsia"/>
          <w:color w:val="000000"/>
          <w:spacing w:val="-1"/>
          <w:sz w:val="32"/>
          <w:szCs w:val="28"/>
        </w:rPr>
        <w:lastRenderedPageBreak/>
        <w:t>（</w:t>
      </w:r>
      <w:r w:rsidR="00F21DBE">
        <w:rPr>
          <w:rFonts w:ascii="仿宋_GB2312" w:eastAsia="仿宋_GB2312" w:hAnsi="Arial" w:cs="Arial" w:hint="eastAsia"/>
          <w:color w:val="000000"/>
          <w:spacing w:val="-1"/>
          <w:sz w:val="32"/>
          <w:szCs w:val="28"/>
        </w:rPr>
        <w:t>2）束流配送系统</w:t>
      </w:r>
    </w:p>
    <w:p w:rsidR="00B21435" w:rsidRDefault="00F21DBE">
      <w:pPr>
        <w:widowControl/>
        <w:spacing w:line="560" w:lineRule="exact"/>
        <w:ind w:firstLineChars="200" w:firstLine="636"/>
        <w:rPr>
          <w:rFonts w:ascii="仿宋_GB2312" w:eastAsia="仿宋_GB2312" w:hAnsi="Arial" w:cs="Arial"/>
          <w:spacing w:val="-1"/>
          <w:sz w:val="32"/>
          <w:szCs w:val="28"/>
        </w:rPr>
      </w:pPr>
      <w:r>
        <w:rPr>
          <w:rFonts w:ascii="仿宋_GB2312" w:eastAsia="仿宋_GB2312" w:hAnsi="Arial" w:cs="Arial" w:hint="eastAsia"/>
          <w:spacing w:val="-1"/>
          <w:sz w:val="32"/>
          <w:szCs w:val="28"/>
        </w:rPr>
        <w:t>碳离子治疗系统束流配送系统分为被动式束流配送系统（均匀扫描）和主动式束流配送系统（调制扫描）。</w:t>
      </w:r>
    </w:p>
    <w:p w:rsidR="00B21435" w:rsidRDefault="00F21DBE">
      <w:pPr>
        <w:widowControl/>
        <w:spacing w:line="560" w:lineRule="exact"/>
        <w:ind w:firstLineChars="200" w:firstLine="636"/>
        <w:rPr>
          <w:rFonts w:ascii="仿宋_GB2312" w:eastAsia="仿宋_GB2312" w:hAnsi="Arial" w:cs="Arial"/>
          <w:color w:val="000000"/>
          <w:spacing w:val="-1"/>
          <w:sz w:val="32"/>
          <w:szCs w:val="28"/>
        </w:rPr>
      </w:pPr>
      <w:r>
        <w:rPr>
          <w:rFonts w:ascii="仿宋_GB2312" w:eastAsia="仿宋_GB2312" w:hAnsi="Arial" w:cs="Arial" w:hint="eastAsia"/>
          <w:color w:val="000000"/>
          <w:spacing w:val="-1"/>
          <w:sz w:val="32"/>
          <w:szCs w:val="28"/>
        </w:rPr>
        <w:t>被动式束流配送系统（均匀扫描）是对加速器引出的笔形</w:t>
      </w:r>
      <w:proofErr w:type="gramStart"/>
      <w:r>
        <w:rPr>
          <w:rFonts w:ascii="仿宋_GB2312" w:eastAsia="仿宋_GB2312" w:hAnsi="Arial" w:cs="Arial" w:hint="eastAsia"/>
          <w:color w:val="000000"/>
          <w:spacing w:val="-1"/>
          <w:sz w:val="32"/>
          <w:szCs w:val="28"/>
        </w:rPr>
        <w:t>束通过</w:t>
      </w:r>
      <w:proofErr w:type="gramEnd"/>
      <w:r>
        <w:rPr>
          <w:rFonts w:ascii="仿宋_GB2312" w:eastAsia="仿宋_GB2312" w:hAnsi="Arial" w:cs="Arial" w:hint="eastAsia"/>
          <w:color w:val="000000"/>
          <w:spacing w:val="-1"/>
          <w:sz w:val="32"/>
          <w:szCs w:val="28"/>
        </w:rPr>
        <w:t>扫描磁铁使用预定的模式进行连续横向扫描，从而获得均匀的照射野。经横向展宽的离子束通过脊形过滤器将单能的尖锐Bragg峰在纵向进行展宽获得与肿瘤纵向大小一致的展宽Bragg峰（SOBP）。横向上利用多叶光栅装置将束流截取与BEV方向肿瘤的投影外轮廓一致的照射野。为了不伤害肿瘤靶区后方的正常组织，使离子束停止在靶区后沿，还需增加补偿器。</w:t>
      </w:r>
    </w:p>
    <w:p w:rsidR="00B21435" w:rsidRDefault="00F21DBE">
      <w:pPr>
        <w:spacing w:line="560" w:lineRule="exact"/>
        <w:ind w:firstLineChars="200" w:firstLine="636"/>
        <w:rPr>
          <w:rFonts w:ascii="仿宋_GB2312" w:eastAsia="仿宋_GB2312" w:hAnsi="Arial" w:cs="Arial"/>
          <w:color w:val="000000"/>
          <w:spacing w:val="-1"/>
          <w:sz w:val="32"/>
          <w:szCs w:val="28"/>
        </w:rPr>
      </w:pPr>
      <w:r>
        <w:rPr>
          <w:rFonts w:ascii="仿宋_GB2312" w:eastAsia="仿宋_GB2312" w:hAnsi="Arial" w:cs="Arial" w:hint="eastAsia"/>
          <w:color w:val="000000"/>
          <w:spacing w:val="-1"/>
          <w:sz w:val="32"/>
          <w:szCs w:val="28"/>
        </w:rPr>
        <w:t>主动式束流配送系统（调制扫描）其特点体现在利用笔形</w:t>
      </w:r>
      <w:proofErr w:type="gramStart"/>
      <w:r>
        <w:rPr>
          <w:rFonts w:ascii="仿宋_GB2312" w:eastAsia="仿宋_GB2312" w:hAnsi="Arial" w:cs="Arial" w:hint="eastAsia"/>
          <w:color w:val="000000"/>
          <w:spacing w:val="-1"/>
          <w:sz w:val="32"/>
          <w:szCs w:val="28"/>
        </w:rPr>
        <w:t>束实现</w:t>
      </w:r>
      <w:proofErr w:type="gramEnd"/>
      <w:r>
        <w:rPr>
          <w:rFonts w:ascii="仿宋_GB2312" w:eastAsia="仿宋_GB2312" w:hAnsi="Arial" w:cs="Arial" w:hint="eastAsia"/>
          <w:color w:val="000000"/>
          <w:spacing w:val="-1"/>
          <w:sz w:val="32"/>
          <w:szCs w:val="28"/>
        </w:rPr>
        <w:t>对肿瘤靶区的分层逐点照射，横向上束斑的位置可以由扫描磁铁来控制，纵向上可以通过加速器</w:t>
      </w:r>
      <w:proofErr w:type="gramStart"/>
      <w:r>
        <w:rPr>
          <w:rFonts w:ascii="仿宋_GB2312" w:eastAsia="仿宋_GB2312" w:hAnsi="Arial" w:cs="Arial" w:hint="eastAsia"/>
          <w:color w:val="000000"/>
          <w:spacing w:val="-1"/>
          <w:sz w:val="32"/>
          <w:szCs w:val="28"/>
        </w:rPr>
        <w:t>主动变能的</w:t>
      </w:r>
      <w:proofErr w:type="gramEnd"/>
      <w:r>
        <w:rPr>
          <w:rFonts w:ascii="仿宋_GB2312" w:eastAsia="仿宋_GB2312" w:hAnsi="Arial" w:cs="Arial" w:hint="eastAsia"/>
          <w:color w:val="000000"/>
          <w:spacing w:val="-1"/>
          <w:sz w:val="32"/>
          <w:szCs w:val="28"/>
        </w:rPr>
        <w:t>方式实现离子束能量的调节，扫描点在横向上和纵向上相互累加达到计划的均匀剂量分布，或通过调整每个束斑的剂量权重达到临床所需的剂量分布，实现剂量调强。该束流配送模式不但提高了靶区的适形度，而且不需要专门为患者制作个体化的补偿器和准直器。</w:t>
      </w:r>
    </w:p>
    <w:p w:rsidR="00B21435" w:rsidRDefault="00A62EAD">
      <w:pPr>
        <w:widowControl/>
        <w:spacing w:line="560" w:lineRule="exact"/>
        <w:ind w:firstLineChars="200" w:firstLine="636"/>
        <w:rPr>
          <w:rFonts w:ascii="仿宋_GB2312" w:eastAsia="仿宋_GB2312" w:hAnsi="Arial" w:cs="Arial"/>
          <w:color w:val="000000"/>
          <w:spacing w:val="-1"/>
          <w:sz w:val="32"/>
          <w:szCs w:val="28"/>
        </w:rPr>
      </w:pPr>
      <w:r>
        <w:rPr>
          <w:rFonts w:ascii="仿宋_GB2312" w:eastAsia="仿宋_GB2312" w:hAnsi="Arial" w:cs="Arial" w:hint="eastAsia"/>
          <w:color w:val="000000"/>
          <w:spacing w:val="-1"/>
          <w:sz w:val="32"/>
          <w:szCs w:val="28"/>
        </w:rPr>
        <w:t>（</w:t>
      </w:r>
      <w:r w:rsidR="00F21DBE">
        <w:rPr>
          <w:rFonts w:ascii="仿宋_GB2312" w:eastAsia="仿宋_GB2312" w:hAnsi="Arial" w:cs="Arial" w:hint="eastAsia"/>
          <w:color w:val="000000"/>
          <w:spacing w:val="-1"/>
          <w:sz w:val="32"/>
          <w:szCs w:val="28"/>
        </w:rPr>
        <w:t>3）治疗实施</w:t>
      </w:r>
    </w:p>
    <w:p w:rsidR="00B21435" w:rsidRDefault="00F21DBE">
      <w:pPr>
        <w:spacing w:line="560" w:lineRule="exact"/>
        <w:ind w:firstLineChars="200" w:firstLine="636"/>
        <w:rPr>
          <w:rFonts w:ascii="仿宋_GB2312" w:eastAsia="仿宋_GB2312" w:hAnsi="Arial" w:cs="Arial"/>
          <w:color w:val="000000"/>
          <w:spacing w:val="-1"/>
          <w:sz w:val="32"/>
          <w:szCs w:val="28"/>
        </w:rPr>
      </w:pPr>
      <w:r>
        <w:rPr>
          <w:rFonts w:ascii="仿宋_GB2312" w:eastAsia="仿宋_GB2312" w:hAnsi="Arial" w:cs="Arial" w:hint="eastAsia"/>
          <w:color w:val="000000"/>
          <w:spacing w:val="-1"/>
          <w:sz w:val="32"/>
          <w:szCs w:val="28"/>
        </w:rPr>
        <w:t>治疗实施是将临床</w:t>
      </w:r>
      <w:proofErr w:type="gramStart"/>
      <w:r>
        <w:rPr>
          <w:rFonts w:ascii="仿宋_GB2312" w:eastAsia="仿宋_GB2312" w:hAnsi="Arial" w:cs="Arial" w:hint="eastAsia"/>
          <w:color w:val="000000"/>
          <w:spacing w:val="-1"/>
          <w:sz w:val="32"/>
          <w:szCs w:val="28"/>
        </w:rPr>
        <w:t>端治疗</w:t>
      </w:r>
      <w:proofErr w:type="gramEnd"/>
      <w:r>
        <w:rPr>
          <w:rFonts w:ascii="仿宋_GB2312" w:eastAsia="仿宋_GB2312" w:hAnsi="Arial" w:cs="Arial" w:hint="eastAsia"/>
          <w:color w:val="000000"/>
          <w:spacing w:val="-1"/>
          <w:sz w:val="32"/>
          <w:szCs w:val="28"/>
        </w:rPr>
        <w:t>计划实现的过程，需要在确保患者安全的前提下，通过治疗控制系统控制加速器子系统产生治疗计划所需要的不同能量的碳离子束投递到患者肿瘤病灶，这个过程主要通过配套软件和硬件设备实现。</w:t>
      </w:r>
    </w:p>
    <w:p w:rsidR="00B21435" w:rsidRDefault="00F21DBE">
      <w:pPr>
        <w:pStyle w:val="4"/>
        <w:ind w:firstLine="640"/>
      </w:pPr>
      <w:bookmarkStart w:id="77" w:name="_Toc9359"/>
      <w:bookmarkStart w:id="78" w:name="_Toc21126"/>
      <w:bookmarkStart w:id="79" w:name="_Toc858"/>
      <w:bookmarkStart w:id="80" w:name="_Toc12698"/>
      <w:bookmarkStart w:id="81" w:name="_Toc25521"/>
      <w:bookmarkStart w:id="82" w:name="_Toc22298"/>
      <w:bookmarkStart w:id="83" w:name="_Toc4545"/>
      <w:bookmarkStart w:id="84" w:name="_Toc11952"/>
      <w:bookmarkStart w:id="85" w:name="_Toc6069"/>
      <w:bookmarkStart w:id="86" w:name="_Toc3595"/>
      <w:bookmarkStart w:id="87" w:name="_Toc9768"/>
      <w:bookmarkStart w:id="88" w:name="_Toc31741"/>
      <w:bookmarkStart w:id="89" w:name="_Toc10638"/>
      <w:r>
        <w:rPr>
          <w:rFonts w:hint="eastAsia"/>
        </w:rPr>
        <w:lastRenderedPageBreak/>
        <w:t>2.</w:t>
      </w:r>
      <w:r>
        <w:rPr>
          <w:rFonts w:hint="eastAsia"/>
        </w:rPr>
        <w:t>质子治疗系统</w:t>
      </w:r>
    </w:p>
    <w:p w:rsidR="00B21435" w:rsidRDefault="00F21DBE">
      <w:pPr>
        <w:widowControl/>
        <w:spacing w:line="560" w:lineRule="exact"/>
        <w:ind w:firstLineChars="200" w:firstLine="636"/>
        <w:rPr>
          <w:rFonts w:ascii="宋体" w:hAnsi="宋体"/>
          <w:color w:val="000000" w:themeColor="text1"/>
          <w:spacing w:val="-1"/>
          <w:sz w:val="32"/>
          <w:szCs w:val="28"/>
        </w:rPr>
      </w:pPr>
      <w:r>
        <w:rPr>
          <w:rFonts w:ascii="仿宋_GB2312" w:eastAsia="仿宋_GB2312" w:hAnsi="仿宋_GB2312" w:cs="仿宋_GB2312" w:hint="eastAsia"/>
          <w:color w:val="000000" w:themeColor="text1"/>
          <w:spacing w:val="-1"/>
          <w:sz w:val="32"/>
          <w:szCs w:val="28"/>
        </w:rPr>
        <w:t>目前质子治疗系统临床应用基本采用三种不同类型的加速器：同步加速器、超导等时性回旋加速器、超导同步回旋加速器。</w:t>
      </w:r>
    </w:p>
    <w:p w:rsidR="00B21435" w:rsidRDefault="00A62EAD">
      <w:pPr>
        <w:widowControl/>
        <w:spacing w:line="560" w:lineRule="exact"/>
        <w:ind w:firstLineChars="200" w:firstLine="636"/>
        <w:rPr>
          <w:rFonts w:ascii="仿宋_GB2312" w:eastAsia="仿宋_GB2312" w:hAnsi="Arial" w:cs="Arial"/>
          <w:color w:val="000000" w:themeColor="text1"/>
          <w:spacing w:val="-1"/>
          <w:sz w:val="32"/>
          <w:szCs w:val="28"/>
        </w:rPr>
      </w:pPr>
      <w:r>
        <w:rPr>
          <w:rFonts w:ascii="仿宋_GB2312" w:eastAsia="仿宋_GB2312" w:hAnsi="Arial" w:cs="Arial" w:hint="eastAsia"/>
          <w:color w:val="000000" w:themeColor="text1"/>
          <w:spacing w:val="-1"/>
          <w:sz w:val="32"/>
          <w:szCs w:val="28"/>
        </w:rPr>
        <w:t>（</w:t>
      </w:r>
      <w:r w:rsidR="00F21DBE">
        <w:rPr>
          <w:rFonts w:ascii="仿宋_GB2312" w:eastAsia="仿宋_GB2312" w:hAnsi="Arial" w:cs="Arial" w:hint="eastAsia"/>
          <w:color w:val="000000" w:themeColor="text1"/>
          <w:spacing w:val="-1"/>
          <w:sz w:val="32"/>
          <w:szCs w:val="28"/>
        </w:rPr>
        <w:t>1）基于同步加速器的质子治疗系统</w:t>
      </w:r>
    </w:p>
    <w:p w:rsidR="00B21435" w:rsidRDefault="00F21DBE">
      <w:pPr>
        <w:widowControl/>
        <w:spacing w:line="560" w:lineRule="exact"/>
        <w:ind w:firstLineChars="200" w:firstLine="636"/>
        <w:rPr>
          <w:rFonts w:ascii="仿宋_GB2312" w:eastAsia="仿宋_GB2312" w:hAnsi="Arial" w:cs="Arial"/>
          <w:color w:val="000000" w:themeColor="text1"/>
          <w:spacing w:val="-1"/>
          <w:sz w:val="32"/>
          <w:szCs w:val="28"/>
        </w:rPr>
      </w:pPr>
      <w:r>
        <w:rPr>
          <w:rFonts w:ascii="仿宋_GB2312" w:eastAsia="仿宋_GB2312" w:hAnsi="Arial" w:cs="Arial"/>
          <w:color w:val="000000" w:themeColor="text1"/>
          <w:spacing w:val="-1"/>
          <w:sz w:val="32"/>
          <w:szCs w:val="28"/>
        </w:rPr>
        <w:t>质子治疗系统由注入器系统、主加速器系统、束流传输系统和治疗室系统构成。注入器系统中的离子源产生质子，随后质子通过直线加速器进行初步加速。接着，低能质子由低能传输系统输运，并通过注入系统进入主加速器系统的同步加速器中，同步加速器将质子能量提升至治疗所需的</w:t>
      </w:r>
      <w:r>
        <w:rPr>
          <w:rFonts w:ascii="仿宋_GB2312" w:eastAsia="仿宋_GB2312" w:hAnsi="Arial" w:cs="Arial" w:hint="eastAsia"/>
          <w:color w:val="000000" w:themeColor="text1"/>
          <w:spacing w:val="-1"/>
          <w:sz w:val="32"/>
          <w:szCs w:val="28"/>
        </w:rPr>
        <w:t>能量</w:t>
      </w:r>
      <w:r>
        <w:rPr>
          <w:rFonts w:ascii="仿宋_GB2312" w:eastAsia="仿宋_GB2312" w:hAnsi="Arial" w:cs="Arial"/>
          <w:color w:val="000000" w:themeColor="text1"/>
          <w:spacing w:val="-1"/>
          <w:sz w:val="32"/>
          <w:szCs w:val="28"/>
        </w:rPr>
        <w:t>。高能质子束随后被引出至高能束流传输系统，并最终输运至治疗室。</w:t>
      </w:r>
    </w:p>
    <w:p w:rsidR="00B21435" w:rsidRDefault="00F21DBE">
      <w:pPr>
        <w:widowControl/>
        <w:spacing w:line="560" w:lineRule="exact"/>
        <w:ind w:firstLineChars="200" w:firstLine="636"/>
        <w:rPr>
          <w:rFonts w:ascii="仿宋_GB2312" w:eastAsia="仿宋_GB2312" w:hAnsi="Arial" w:cs="Arial"/>
          <w:color w:val="000000" w:themeColor="text1"/>
          <w:spacing w:val="-1"/>
          <w:sz w:val="32"/>
          <w:szCs w:val="28"/>
        </w:rPr>
      </w:pPr>
      <w:r>
        <w:rPr>
          <w:rFonts w:ascii="仿宋_GB2312" w:eastAsia="仿宋_GB2312" w:hAnsi="Arial" w:cs="Arial"/>
          <w:color w:val="000000" w:themeColor="text1"/>
          <w:spacing w:val="-1"/>
          <w:sz w:val="32"/>
          <w:szCs w:val="28"/>
        </w:rPr>
        <w:t>在治疗室中，采用笔形束扫描技术，通过调整加速器引出束流能量和治疗头扫描磁铁磁场，实现对治疗深度和笔形束扫描位置的控制。治疗系统根据个体化治疗计划，精确控制质子束流位置和剂量，实现对患者靶区的适形照射治疗。治疗室内还配备治疗控制、患者支撑、激光定位、图像引导等子系统，以协助操作人员进行数据交换、患者摆位和定位，确保治疗的准确性和安全性。通过这一精确控制过程，质子束流能够直达肿瘤深处，实现精准治疗</w:t>
      </w:r>
      <w:r>
        <w:rPr>
          <w:rFonts w:ascii="仿宋_GB2312" w:eastAsia="仿宋_GB2312" w:hAnsi="Arial" w:cs="Arial" w:hint="eastAsia"/>
          <w:color w:val="000000" w:themeColor="text1"/>
          <w:spacing w:val="-1"/>
          <w:sz w:val="32"/>
          <w:szCs w:val="28"/>
        </w:rPr>
        <w:t>。</w:t>
      </w:r>
    </w:p>
    <w:p w:rsidR="00B21435" w:rsidRDefault="00F21DBE">
      <w:pPr>
        <w:widowControl/>
        <w:spacing w:line="560" w:lineRule="exact"/>
        <w:ind w:firstLineChars="200" w:firstLine="636"/>
        <w:rPr>
          <w:rFonts w:ascii="仿宋_GB2312" w:eastAsia="仿宋_GB2312" w:hAnsi="Arial" w:cs="Arial"/>
          <w:color w:val="000000" w:themeColor="text1"/>
          <w:spacing w:val="-1"/>
          <w:sz w:val="32"/>
          <w:szCs w:val="28"/>
        </w:rPr>
      </w:pPr>
      <w:r>
        <w:rPr>
          <w:rFonts w:ascii="微软雅黑" w:eastAsia="微软雅黑" w:hAnsi="微软雅黑" w:cs="微软雅黑" w:hint="eastAsia"/>
          <w:color w:val="000000" w:themeColor="text1"/>
          <w:spacing w:val="-1"/>
          <w:sz w:val="32"/>
          <w:szCs w:val="28"/>
        </w:rPr>
        <w:t>①</w:t>
      </w:r>
      <w:r>
        <w:rPr>
          <w:rFonts w:ascii="仿宋_GB2312" w:eastAsia="仿宋_GB2312" w:hAnsi="Arial" w:cs="Arial" w:hint="eastAsia"/>
          <w:color w:val="000000" w:themeColor="text1"/>
          <w:spacing w:val="-1"/>
          <w:sz w:val="32"/>
          <w:szCs w:val="28"/>
        </w:rPr>
        <w:t>质子的产生、初步加速</w:t>
      </w:r>
    </w:p>
    <w:p w:rsidR="00B21435" w:rsidRDefault="00F21DBE">
      <w:pPr>
        <w:widowControl/>
        <w:spacing w:line="560" w:lineRule="exact"/>
        <w:ind w:firstLineChars="200" w:firstLine="636"/>
        <w:rPr>
          <w:rFonts w:ascii="仿宋_GB2312" w:eastAsia="仿宋_GB2312" w:hAnsi="Arial" w:cs="Arial"/>
          <w:color w:val="000000" w:themeColor="text1"/>
          <w:spacing w:val="-1"/>
          <w:sz w:val="32"/>
          <w:szCs w:val="28"/>
        </w:rPr>
      </w:pPr>
      <w:r>
        <w:rPr>
          <w:rFonts w:ascii="仿宋_GB2312" w:eastAsia="仿宋_GB2312" w:hAnsi="Arial" w:cs="Arial"/>
          <w:color w:val="000000" w:themeColor="text1"/>
          <w:spacing w:val="-1"/>
          <w:sz w:val="32"/>
          <w:szCs w:val="28"/>
        </w:rPr>
        <w:t>注入器系统通过双等离子体离子源或电子回旋共振离子源产生质子。在放电室内，初始电子与注入的氢气碰撞，</w:t>
      </w:r>
      <w:r>
        <w:rPr>
          <w:rFonts w:ascii="仿宋_GB2312" w:eastAsia="仿宋_GB2312" w:hAnsi="Arial" w:cs="Arial" w:hint="eastAsia"/>
          <w:color w:val="000000" w:themeColor="text1"/>
          <w:spacing w:val="-1"/>
          <w:sz w:val="32"/>
          <w:szCs w:val="28"/>
        </w:rPr>
        <w:t>将</w:t>
      </w:r>
      <w:r>
        <w:rPr>
          <w:rFonts w:ascii="仿宋_GB2312" w:eastAsia="仿宋_GB2312" w:hAnsi="Arial" w:cs="Arial" w:hint="eastAsia"/>
          <w:color w:val="000000" w:themeColor="text1"/>
          <w:spacing w:val="-1"/>
          <w:sz w:val="32"/>
          <w:szCs w:val="28"/>
        </w:rPr>
        <w:lastRenderedPageBreak/>
        <w:t>氢气电离</w:t>
      </w:r>
      <w:r>
        <w:rPr>
          <w:rFonts w:ascii="仿宋_GB2312" w:eastAsia="仿宋_GB2312" w:hAnsi="Arial" w:cs="Arial"/>
          <w:color w:val="000000" w:themeColor="text1"/>
          <w:spacing w:val="-1"/>
          <w:sz w:val="32"/>
          <w:szCs w:val="28"/>
        </w:rPr>
        <w:t>形成等离子体区，质子在引出电极和加速电极的电场作用下获得初步速度。</w:t>
      </w:r>
    </w:p>
    <w:p w:rsidR="00B21435" w:rsidRDefault="00F21DBE">
      <w:pPr>
        <w:widowControl/>
        <w:spacing w:line="560" w:lineRule="exact"/>
        <w:ind w:firstLineChars="200" w:firstLine="636"/>
        <w:rPr>
          <w:rFonts w:ascii="仿宋_GB2312" w:eastAsia="仿宋_GB2312" w:hAnsi="Arial" w:cs="Arial"/>
          <w:color w:val="000000" w:themeColor="text1"/>
          <w:spacing w:val="-1"/>
          <w:sz w:val="32"/>
          <w:szCs w:val="28"/>
        </w:rPr>
      </w:pPr>
      <w:r>
        <w:rPr>
          <w:rFonts w:ascii="仿宋_GB2312" w:eastAsia="仿宋_GB2312" w:hAnsi="Arial" w:cs="Arial"/>
          <w:color w:val="000000" w:themeColor="text1"/>
          <w:spacing w:val="-1"/>
          <w:sz w:val="32"/>
          <w:szCs w:val="28"/>
        </w:rPr>
        <w:t>质子的初步加速通过射频四极管（RFQ）和漂移管直线加速器（DTL）实现。RFQ加速器利用高频电场加速质子，并提供聚焦作用。DTL加速器进一步将质子能量提升至，通过四极磁铁实现横向聚焦。初步加速后的质子束流经过低能输运线，调节横向相空间、能散、注入方向，以满足同步加速器的注入要求</w:t>
      </w:r>
      <w:r>
        <w:rPr>
          <w:rFonts w:ascii="仿宋_GB2312" w:eastAsia="仿宋_GB2312" w:hAnsi="Arial" w:cs="Arial" w:hint="eastAsia"/>
          <w:color w:val="000000" w:themeColor="text1"/>
          <w:spacing w:val="-1"/>
          <w:sz w:val="32"/>
          <w:szCs w:val="28"/>
        </w:rPr>
        <w:t>。</w:t>
      </w:r>
    </w:p>
    <w:p w:rsidR="00B21435" w:rsidRDefault="00F21DBE">
      <w:pPr>
        <w:widowControl/>
        <w:spacing w:line="560" w:lineRule="exact"/>
        <w:ind w:firstLineChars="200" w:firstLine="636"/>
        <w:rPr>
          <w:rFonts w:ascii="仿宋_GB2312" w:eastAsia="仿宋_GB2312" w:hAnsi="Arial" w:cs="Arial"/>
          <w:color w:val="000000" w:themeColor="text1"/>
          <w:spacing w:val="-1"/>
          <w:sz w:val="32"/>
          <w:szCs w:val="28"/>
        </w:rPr>
      </w:pPr>
      <w:r>
        <w:rPr>
          <w:rFonts w:ascii="微软雅黑" w:eastAsia="微软雅黑" w:hAnsi="微软雅黑" w:cs="微软雅黑" w:hint="eastAsia"/>
          <w:color w:val="000000" w:themeColor="text1"/>
          <w:spacing w:val="-1"/>
          <w:sz w:val="32"/>
          <w:szCs w:val="28"/>
        </w:rPr>
        <w:t>②</w:t>
      </w:r>
      <w:r>
        <w:rPr>
          <w:rFonts w:ascii="仿宋_GB2312" w:eastAsia="仿宋_GB2312" w:hAnsi="Arial" w:cs="Arial" w:hint="eastAsia"/>
          <w:color w:val="000000" w:themeColor="text1"/>
          <w:spacing w:val="-1"/>
          <w:sz w:val="32"/>
          <w:szCs w:val="28"/>
        </w:rPr>
        <w:t>质子的注入、俘获与加速</w:t>
      </w:r>
    </w:p>
    <w:p w:rsidR="00B21435" w:rsidRDefault="00F21DBE">
      <w:pPr>
        <w:widowControl/>
        <w:spacing w:line="560" w:lineRule="exact"/>
        <w:ind w:firstLineChars="200" w:firstLine="636"/>
        <w:rPr>
          <w:rFonts w:ascii="仿宋_GB2312" w:eastAsia="仿宋_GB2312" w:hAnsi="Arial" w:cs="Arial"/>
          <w:color w:val="000000" w:themeColor="text1"/>
          <w:spacing w:val="-1"/>
          <w:sz w:val="32"/>
          <w:szCs w:val="28"/>
        </w:rPr>
      </w:pPr>
      <w:r>
        <w:rPr>
          <w:rFonts w:ascii="仿宋_GB2312" w:eastAsia="仿宋_GB2312" w:hAnsi="Arial" w:cs="Arial" w:hint="eastAsia"/>
          <w:color w:val="000000" w:themeColor="text1"/>
          <w:spacing w:val="-1"/>
          <w:sz w:val="32"/>
          <w:szCs w:val="28"/>
        </w:rPr>
        <w:t>为了提高注入效率，同步加速器采取多圈涂抹的注入方式。同时为了使得质子</w:t>
      </w:r>
      <w:proofErr w:type="gramStart"/>
      <w:r>
        <w:rPr>
          <w:rFonts w:ascii="仿宋_GB2312" w:eastAsia="仿宋_GB2312" w:hAnsi="Arial" w:cs="Arial" w:hint="eastAsia"/>
          <w:color w:val="000000" w:themeColor="text1"/>
          <w:spacing w:val="-1"/>
          <w:sz w:val="32"/>
          <w:szCs w:val="28"/>
        </w:rPr>
        <w:t>束能够</w:t>
      </w:r>
      <w:proofErr w:type="gramEnd"/>
      <w:r>
        <w:rPr>
          <w:rFonts w:ascii="仿宋_GB2312" w:eastAsia="仿宋_GB2312" w:hAnsi="Arial" w:cs="Arial" w:hint="eastAsia"/>
          <w:color w:val="000000" w:themeColor="text1"/>
          <w:spacing w:val="-1"/>
          <w:sz w:val="32"/>
          <w:szCs w:val="28"/>
        </w:rPr>
        <w:t>后续得到有效加速，须将注入的连续</w:t>
      </w:r>
      <w:proofErr w:type="gramStart"/>
      <w:r>
        <w:rPr>
          <w:rFonts w:ascii="仿宋_GB2312" w:eastAsia="仿宋_GB2312" w:hAnsi="Arial" w:cs="Arial" w:hint="eastAsia"/>
          <w:color w:val="000000" w:themeColor="text1"/>
          <w:spacing w:val="-1"/>
          <w:sz w:val="32"/>
          <w:szCs w:val="28"/>
        </w:rPr>
        <w:t>束变成</w:t>
      </w:r>
      <w:proofErr w:type="gramEnd"/>
      <w:r>
        <w:rPr>
          <w:rFonts w:ascii="仿宋_GB2312" w:eastAsia="仿宋_GB2312" w:hAnsi="Arial" w:cs="Arial" w:hint="eastAsia"/>
          <w:color w:val="000000" w:themeColor="text1"/>
          <w:spacing w:val="-1"/>
          <w:sz w:val="32"/>
          <w:szCs w:val="28"/>
        </w:rPr>
        <w:t>聚束束流，这个过程称为俘获。为了提高俘获效率，采用了一种 “绝热俘获”的方法。被俘获后的质子束在自动稳相原理的作用下围绕着同步相位运动，</w:t>
      </w:r>
      <w:r>
        <w:rPr>
          <w:rFonts w:ascii="仿宋_GB2312" w:eastAsia="仿宋_GB2312" w:hAnsi="Arial" w:cs="Arial"/>
          <w:color w:val="000000" w:themeColor="text1"/>
          <w:spacing w:val="-1"/>
          <w:sz w:val="32"/>
          <w:szCs w:val="28"/>
        </w:rPr>
        <w:t>实现能量的同步提升，为后续治疗提供合适能量的质子束流</w:t>
      </w:r>
      <w:r>
        <w:rPr>
          <w:rFonts w:ascii="仿宋_GB2312" w:eastAsia="仿宋_GB2312" w:hAnsi="Arial" w:cs="Arial" w:hint="eastAsia"/>
          <w:color w:val="000000" w:themeColor="text1"/>
          <w:spacing w:val="-1"/>
          <w:sz w:val="32"/>
          <w:szCs w:val="28"/>
        </w:rPr>
        <w:t>。</w:t>
      </w:r>
    </w:p>
    <w:p w:rsidR="00B21435" w:rsidRDefault="00F21DBE">
      <w:pPr>
        <w:widowControl/>
        <w:spacing w:line="560" w:lineRule="exact"/>
        <w:ind w:firstLineChars="200" w:firstLine="636"/>
        <w:rPr>
          <w:rFonts w:ascii="仿宋_GB2312" w:eastAsia="仿宋_GB2312" w:hAnsi="Arial" w:cs="Arial"/>
          <w:color w:val="000000" w:themeColor="text1"/>
          <w:spacing w:val="-1"/>
          <w:sz w:val="32"/>
          <w:szCs w:val="28"/>
        </w:rPr>
      </w:pPr>
      <w:r>
        <w:rPr>
          <w:rFonts w:ascii="微软雅黑" w:eastAsia="微软雅黑" w:hAnsi="微软雅黑" w:cs="微软雅黑" w:hint="eastAsia"/>
          <w:color w:val="000000" w:themeColor="text1"/>
          <w:spacing w:val="-1"/>
          <w:sz w:val="32"/>
          <w:szCs w:val="28"/>
        </w:rPr>
        <w:t>③</w:t>
      </w:r>
      <w:r>
        <w:rPr>
          <w:rFonts w:ascii="仿宋_GB2312" w:eastAsia="仿宋_GB2312" w:hAnsi="Arial" w:cs="Arial" w:hint="eastAsia"/>
          <w:color w:val="000000" w:themeColor="text1"/>
          <w:spacing w:val="-1"/>
          <w:sz w:val="32"/>
          <w:szCs w:val="28"/>
        </w:rPr>
        <w:t>质子的引出与传输</w:t>
      </w:r>
    </w:p>
    <w:p w:rsidR="00B21435" w:rsidRDefault="00F21DBE">
      <w:pPr>
        <w:widowControl/>
        <w:spacing w:line="560" w:lineRule="exact"/>
        <w:ind w:firstLineChars="200" w:firstLine="636"/>
        <w:rPr>
          <w:rFonts w:ascii="仿宋_GB2312" w:eastAsia="仿宋_GB2312" w:hAnsi="Arial" w:cs="Arial"/>
          <w:color w:val="000000" w:themeColor="text1"/>
          <w:spacing w:val="-1"/>
          <w:sz w:val="32"/>
          <w:szCs w:val="28"/>
        </w:rPr>
      </w:pPr>
      <w:r>
        <w:rPr>
          <w:rFonts w:ascii="仿宋_GB2312" w:eastAsia="仿宋_GB2312" w:hAnsi="Arial" w:cs="Arial"/>
          <w:color w:val="000000" w:themeColor="text1"/>
          <w:spacing w:val="-1"/>
          <w:sz w:val="32"/>
          <w:szCs w:val="28"/>
        </w:rPr>
        <w:t>治疗过程中，</w:t>
      </w:r>
      <w:proofErr w:type="gramStart"/>
      <w:r>
        <w:rPr>
          <w:rFonts w:ascii="仿宋_GB2312" w:eastAsia="仿宋_GB2312" w:hAnsi="Arial" w:cs="Arial"/>
          <w:color w:val="000000" w:themeColor="text1"/>
          <w:spacing w:val="-1"/>
          <w:sz w:val="32"/>
          <w:szCs w:val="28"/>
        </w:rPr>
        <w:t>质子束需精确</w:t>
      </w:r>
      <w:proofErr w:type="gramEnd"/>
      <w:r>
        <w:rPr>
          <w:rFonts w:ascii="仿宋_GB2312" w:eastAsia="仿宋_GB2312" w:hAnsi="Arial" w:cs="Arial"/>
          <w:color w:val="000000" w:themeColor="text1"/>
          <w:spacing w:val="-1"/>
          <w:sz w:val="32"/>
          <w:szCs w:val="28"/>
        </w:rPr>
        <w:t>控制引出时间、均匀性及快速开关，三阶共振慢引出技术满足这些要求。在同步加速器工作点2/3附近，共振六</w:t>
      </w:r>
      <w:proofErr w:type="gramStart"/>
      <w:r>
        <w:rPr>
          <w:rFonts w:ascii="仿宋_GB2312" w:eastAsia="仿宋_GB2312" w:hAnsi="Arial" w:cs="Arial"/>
          <w:color w:val="000000" w:themeColor="text1"/>
          <w:spacing w:val="-1"/>
          <w:sz w:val="32"/>
          <w:szCs w:val="28"/>
        </w:rPr>
        <w:t>极</w:t>
      </w:r>
      <w:proofErr w:type="gramEnd"/>
      <w:r>
        <w:rPr>
          <w:rFonts w:ascii="仿宋_GB2312" w:eastAsia="仿宋_GB2312" w:hAnsi="Arial" w:cs="Arial"/>
          <w:color w:val="000000" w:themeColor="text1"/>
          <w:spacing w:val="-1"/>
          <w:sz w:val="32"/>
          <w:szCs w:val="28"/>
        </w:rPr>
        <w:t>磁铁使粒子形成稳定</w:t>
      </w:r>
      <w:r>
        <w:rPr>
          <w:rFonts w:ascii="仿宋_GB2312" w:eastAsia="仿宋_GB2312" w:hAnsi="Arial" w:cs="Arial" w:hint="eastAsia"/>
          <w:color w:val="000000" w:themeColor="text1"/>
          <w:spacing w:val="-1"/>
          <w:sz w:val="32"/>
          <w:szCs w:val="28"/>
        </w:rPr>
        <w:t>区</w:t>
      </w:r>
      <w:r>
        <w:rPr>
          <w:rFonts w:ascii="仿宋_GB2312" w:eastAsia="仿宋_GB2312" w:hAnsi="Arial" w:cs="Arial"/>
          <w:color w:val="000000" w:themeColor="text1"/>
          <w:spacing w:val="-1"/>
          <w:sz w:val="32"/>
          <w:szCs w:val="28"/>
        </w:rPr>
        <w:t>与</w:t>
      </w:r>
      <w:r>
        <w:rPr>
          <w:rFonts w:ascii="仿宋_GB2312" w:eastAsia="仿宋_GB2312" w:hAnsi="Arial" w:cs="Arial" w:hint="eastAsia"/>
          <w:color w:val="000000" w:themeColor="text1"/>
          <w:spacing w:val="-1"/>
          <w:sz w:val="32"/>
          <w:szCs w:val="28"/>
        </w:rPr>
        <w:t>共振</w:t>
      </w:r>
      <w:r>
        <w:rPr>
          <w:rFonts w:ascii="仿宋_GB2312" w:eastAsia="仿宋_GB2312" w:hAnsi="Arial" w:cs="Arial"/>
          <w:color w:val="000000" w:themeColor="text1"/>
          <w:spacing w:val="-1"/>
          <w:sz w:val="32"/>
          <w:szCs w:val="28"/>
        </w:rPr>
        <w:t>区，</w:t>
      </w:r>
      <w:r>
        <w:rPr>
          <w:rFonts w:ascii="仿宋_GB2312" w:eastAsia="仿宋_GB2312" w:hAnsi="Arial" w:cs="Arial" w:hint="eastAsia"/>
          <w:color w:val="000000" w:themeColor="text1"/>
          <w:spacing w:val="-1"/>
          <w:sz w:val="32"/>
          <w:szCs w:val="28"/>
        </w:rPr>
        <w:t>共振</w:t>
      </w:r>
      <w:r>
        <w:rPr>
          <w:rFonts w:ascii="仿宋_GB2312" w:eastAsia="仿宋_GB2312" w:hAnsi="Arial" w:cs="Arial"/>
          <w:color w:val="000000" w:themeColor="text1"/>
          <w:spacing w:val="-1"/>
          <w:sz w:val="32"/>
          <w:szCs w:val="28"/>
        </w:rPr>
        <w:t>区粒子向外扩散，通过静电切割板和静磁切割磁铁引出至高能输运线。此外，高能输运线利用</w:t>
      </w:r>
      <w:r>
        <w:rPr>
          <w:rFonts w:ascii="仿宋_GB2312" w:eastAsia="仿宋_GB2312" w:hAnsi="Arial" w:cs="Arial" w:hint="eastAsia"/>
          <w:color w:val="000000" w:themeColor="text1"/>
          <w:spacing w:val="-1"/>
          <w:sz w:val="32"/>
          <w:szCs w:val="28"/>
        </w:rPr>
        <w:t>组合</w:t>
      </w:r>
      <w:r>
        <w:rPr>
          <w:rFonts w:ascii="仿宋_GB2312" w:eastAsia="仿宋_GB2312" w:hAnsi="Arial" w:cs="Arial"/>
          <w:color w:val="000000" w:themeColor="text1"/>
          <w:spacing w:val="-1"/>
          <w:sz w:val="32"/>
          <w:szCs w:val="28"/>
        </w:rPr>
        <w:t>四极磁铁的强聚焦原理调整质子束尺寸和方向，确保治疗</w:t>
      </w:r>
      <w:r>
        <w:rPr>
          <w:rFonts w:ascii="仿宋_GB2312" w:eastAsia="仿宋_GB2312" w:hAnsi="Arial" w:cs="Arial" w:hint="eastAsia"/>
          <w:color w:val="000000" w:themeColor="text1"/>
          <w:spacing w:val="-1"/>
          <w:sz w:val="32"/>
          <w:szCs w:val="28"/>
        </w:rPr>
        <w:t>等中心</w:t>
      </w:r>
      <w:r>
        <w:rPr>
          <w:rFonts w:ascii="仿宋_GB2312" w:eastAsia="仿宋_GB2312" w:hAnsi="Arial" w:cs="Arial"/>
          <w:color w:val="000000" w:themeColor="text1"/>
          <w:spacing w:val="-1"/>
          <w:sz w:val="32"/>
          <w:szCs w:val="28"/>
        </w:rPr>
        <w:t>处束斑符合治疗需求</w:t>
      </w:r>
      <w:r>
        <w:rPr>
          <w:rFonts w:ascii="仿宋_GB2312" w:eastAsia="仿宋_GB2312" w:hAnsi="Arial" w:cs="Arial" w:hint="eastAsia"/>
          <w:color w:val="000000" w:themeColor="text1"/>
          <w:spacing w:val="-1"/>
          <w:sz w:val="32"/>
          <w:szCs w:val="28"/>
        </w:rPr>
        <w:t>。</w:t>
      </w:r>
    </w:p>
    <w:p w:rsidR="00B21435" w:rsidRDefault="00F21DBE">
      <w:pPr>
        <w:widowControl/>
        <w:spacing w:line="560" w:lineRule="exact"/>
        <w:ind w:firstLineChars="200" w:firstLine="636"/>
        <w:rPr>
          <w:rFonts w:ascii="仿宋_GB2312" w:eastAsia="仿宋_GB2312" w:hAnsi="Arial" w:cs="Arial"/>
          <w:color w:val="000000" w:themeColor="text1"/>
          <w:spacing w:val="-1"/>
          <w:sz w:val="32"/>
          <w:szCs w:val="28"/>
        </w:rPr>
      </w:pPr>
      <w:r>
        <w:rPr>
          <w:rFonts w:ascii="微软雅黑" w:eastAsia="微软雅黑" w:hAnsi="微软雅黑" w:cs="微软雅黑" w:hint="eastAsia"/>
          <w:color w:val="000000" w:themeColor="text1"/>
          <w:spacing w:val="-1"/>
          <w:sz w:val="32"/>
          <w:szCs w:val="28"/>
        </w:rPr>
        <w:t>④</w:t>
      </w:r>
      <w:r>
        <w:rPr>
          <w:rFonts w:ascii="仿宋_GB2312" w:eastAsia="仿宋_GB2312" w:hAnsi="Arial" w:cs="Arial" w:hint="eastAsia"/>
          <w:color w:val="000000" w:themeColor="text1"/>
          <w:spacing w:val="-1"/>
          <w:sz w:val="32"/>
          <w:szCs w:val="28"/>
        </w:rPr>
        <w:t>质子束的配送与三维适形照射</w:t>
      </w:r>
    </w:p>
    <w:p w:rsidR="00B21435" w:rsidRDefault="00F21DBE">
      <w:pPr>
        <w:widowControl/>
        <w:spacing w:line="560" w:lineRule="exact"/>
        <w:ind w:firstLineChars="200" w:firstLine="636"/>
        <w:rPr>
          <w:rFonts w:ascii="仿宋_GB2312" w:eastAsia="仿宋_GB2312" w:hAnsi="Arial" w:cs="Arial"/>
          <w:color w:val="000000" w:themeColor="text1"/>
          <w:spacing w:val="-1"/>
          <w:sz w:val="32"/>
          <w:szCs w:val="28"/>
        </w:rPr>
      </w:pPr>
      <w:r>
        <w:rPr>
          <w:rFonts w:ascii="仿宋_GB2312" w:eastAsia="仿宋_GB2312" w:hAnsi="Arial" w:cs="Arial" w:hint="eastAsia"/>
          <w:color w:val="000000" w:themeColor="text1"/>
          <w:spacing w:val="-1"/>
          <w:sz w:val="32"/>
          <w:szCs w:val="28"/>
        </w:rPr>
        <w:lastRenderedPageBreak/>
        <w:t>质子治疗系统采用笔形束点扫描技术，根据每名患者的治疗计划逐层逐点精确控制质子束流位置和剂量，实现对患者靶区的适形照射治疗。</w:t>
      </w:r>
    </w:p>
    <w:p w:rsidR="00B21435" w:rsidRDefault="00F21DBE">
      <w:pPr>
        <w:widowControl/>
        <w:spacing w:line="560" w:lineRule="exact"/>
        <w:ind w:firstLineChars="200" w:firstLine="636"/>
        <w:rPr>
          <w:rFonts w:ascii="仿宋_GB2312" w:eastAsia="仿宋_GB2312" w:hAnsi="Arial" w:cs="Arial"/>
          <w:color w:val="000000" w:themeColor="text1"/>
          <w:spacing w:val="-1"/>
          <w:sz w:val="32"/>
          <w:szCs w:val="28"/>
        </w:rPr>
      </w:pPr>
      <w:r>
        <w:rPr>
          <w:rFonts w:ascii="微软雅黑" w:eastAsia="微软雅黑" w:hAnsi="微软雅黑" w:cs="微软雅黑" w:hint="eastAsia"/>
          <w:color w:val="000000" w:themeColor="text1"/>
          <w:spacing w:val="-1"/>
          <w:sz w:val="32"/>
          <w:szCs w:val="28"/>
        </w:rPr>
        <w:t>⑤</w:t>
      </w:r>
      <w:r>
        <w:rPr>
          <w:rFonts w:ascii="仿宋_GB2312" w:eastAsia="仿宋_GB2312" w:hAnsi="Arial" w:cs="Arial" w:hint="eastAsia"/>
          <w:color w:val="000000" w:themeColor="text1"/>
          <w:spacing w:val="-1"/>
          <w:sz w:val="32"/>
          <w:szCs w:val="28"/>
        </w:rPr>
        <w:t>质子治疗流程</w:t>
      </w:r>
    </w:p>
    <w:p w:rsidR="00B21435" w:rsidRDefault="00F21DBE">
      <w:pPr>
        <w:widowControl/>
        <w:spacing w:line="560" w:lineRule="exact"/>
        <w:ind w:firstLineChars="200" w:firstLine="636"/>
        <w:outlineLvl w:val="2"/>
        <w:rPr>
          <w:rFonts w:ascii="仿宋_GB2312" w:eastAsia="仿宋_GB2312" w:hAnsi="仿宋_GB2312" w:cs="仿宋_GB2312"/>
          <w:color w:val="000000" w:themeColor="text1"/>
          <w:spacing w:val="-1"/>
          <w:sz w:val="32"/>
          <w:szCs w:val="28"/>
        </w:rPr>
      </w:pPr>
      <w:r>
        <w:rPr>
          <w:rFonts w:ascii="仿宋_GB2312" w:eastAsia="仿宋_GB2312" w:hAnsi="Arial" w:cs="Arial" w:hint="eastAsia"/>
          <w:color w:val="000000" w:themeColor="text1"/>
          <w:spacing w:val="-1"/>
          <w:sz w:val="32"/>
          <w:szCs w:val="28"/>
        </w:rPr>
        <w:t>质子治疗系统使用时通过与配套治疗控制软件相结合，操作人员进行治疗流程中所需数据交换与验证、患者的摆位、定位等工作，保证治疗过程的准确和安全。通</w:t>
      </w:r>
      <w:r>
        <w:rPr>
          <w:rFonts w:ascii="仿宋_GB2312" w:eastAsia="仿宋_GB2312" w:hAnsi="Arial" w:cs="Arial"/>
          <w:color w:val="000000" w:themeColor="text1"/>
          <w:spacing w:val="-1"/>
          <w:sz w:val="32"/>
          <w:szCs w:val="28"/>
        </w:rPr>
        <w:t>过精确控制，质子束</w:t>
      </w:r>
      <w:r>
        <w:rPr>
          <w:rFonts w:ascii="仿宋_GB2312" w:eastAsia="仿宋_GB2312" w:hAnsi="Arial" w:cs="Arial" w:hint="eastAsia"/>
          <w:color w:val="000000" w:themeColor="text1"/>
          <w:spacing w:val="-1"/>
          <w:sz w:val="32"/>
          <w:szCs w:val="28"/>
        </w:rPr>
        <w:t>流</w:t>
      </w:r>
      <w:r>
        <w:rPr>
          <w:rFonts w:ascii="仿宋_GB2312" w:eastAsia="仿宋_GB2312" w:hAnsi="Arial" w:cs="Arial"/>
          <w:color w:val="000000" w:themeColor="text1"/>
          <w:spacing w:val="-1"/>
          <w:sz w:val="32"/>
          <w:szCs w:val="28"/>
        </w:rPr>
        <w:t>可以直达肿瘤深处，实现对肿瘤的精准打击。</w:t>
      </w:r>
    </w:p>
    <w:p w:rsidR="00B21435" w:rsidRDefault="00A62EAD">
      <w:pPr>
        <w:widowControl/>
        <w:spacing w:line="560" w:lineRule="exact"/>
        <w:ind w:firstLineChars="200" w:firstLine="636"/>
        <w:rPr>
          <w:rFonts w:ascii="仿宋_GB2312" w:eastAsia="仿宋_GB2312" w:hAnsi="仿宋_GB2312" w:cs="仿宋_GB2312"/>
          <w:color w:val="000000" w:themeColor="text1"/>
          <w:spacing w:val="-1"/>
          <w:sz w:val="32"/>
          <w:szCs w:val="28"/>
        </w:rPr>
      </w:pPr>
      <w:r>
        <w:rPr>
          <w:rFonts w:ascii="仿宋_GB2312" w:eastAsia="仿宋_GB2312" w:hAnsi="仿宋_GB2312" w:cs="仿宋_GB2312" w:hint="eastAsia"/>
          <w:color w:val="000000" w:themeColor="text1"/>
          <w:spacing w:val="-1"/>
          <w:sz w:val="32"/>
          <w:szCs w:val="28"/>
        </w:rPr>
        <w:t>（</w:t>
      </w:r>
      <w:r w:rsidR="00F21DBE">
        <w:rPr>
          <w:rFonts w:ascii="仿宋_GB2312" w:eastAsia="仿宋_GB2312" w:hAnsi="仿宋_GB2312" w:cs="仿宋_GB2312" w:hint="eastAsia"/>
          <w:color w:val="000000" w:themeColor="text1"/>
          <w:spacing w:val="-1"/>
          <w:sz w:val="32"/>
          <w:szCs w:val="28"/>
        </w:rPr>
        <w:t>2）基于超导等时性回旋加速器质子治疗系统</w:t>
      </w:r>
    </w:p>
    <w:p w:rsidR="00B21435" w:rsidRDefault="00F21DBE">
      <w:pPr>
        <w:widowControl/>
        <w:spacing w:line="560" w:lineRule="exact"/>
        <w:ind w:firstLineChars="200" w:firstLine="636"/>
        <w:rPr>
          <w:rFonts w:ascii="仿宋_GB2312" w:eastAsia="仿宋_GB2312" w:hAnsi="Arial" w:cs="Arial"/>
          <w:color w:val="000000" w:themeColor="text1"/>
          <w:spacing w:val="-1"/>
          <w:sz w:val="32"/>
          <w:szCs w:val="28"/>
        </w:rPr>
      </w:pPr>
      <w:r>
        <w:rPr>
          <w:rFonts w:ascii="仿宋_GB2312" w:eastAsia="仿宋_GB2312" w:hAnsi="Arial" w:cs="Arial" w:hint="eastAsia"/>
          <w:color w:val="000000" w:themeColor="text1"/>
          <w:spacing w:val="-1"/>
          <w:sz w:val="32"/>
          <w:szCs w:val="28"/>
        </w:rPr>
        <w:t>由主加速器系统的离子源单元电离氢气，形成等离子体态的质子和电子的混合体。等离子体态的质子在高压</w:t>
      </w:r>
      <w:proofErr w:type="gramStart"/>
      <w:r>
        <w:rPr>
          <w:rFonts w:ascii="仿宋_GB2312" w:eastAsia="仿宋_GB2312" w:hAnsi="Arial" w:cs="Arial" w:hint="eastAsia"/>
          <w:color w:val="000000" w:themeColor="text1"/>
          <w:spacing w:val="-1"/>
          <w:sz w:val="32"/>
          <w:szCs w:val="28"/>
        </w:rPr>
        <w:t>负电场</w:t>
      </w:r>
      <w:proofErr w:type="gramEnd"/>
      <w:r>
        <w:rPr>
          <w:rFonts w:ascii="仿宋_GB2312" w:eastAsia="仿宋_GB2312" w:hAnsi="Arial" w:cs="Arial" w:hint="eastAsia"/>
          <w:color w:val="000000" w:themeColor="text1"/>
          <w:spacing w:val="-1"/>
          <w:sz w:val="32"/>
          <w:szCs w:val="28"/>
        </w:rPr>
        <w:t>的引导下从离子源单元引出，经垂直磁场偏转，形成回旋路径并加速达到额定能量时，从束流引出单元引出质子</w:t>
      </w:r>
      <w:proofErr w:type="gramStart"/>
      <w:r>
        <w:rPr>
          <w:rFonts w:ascii="仿宋_GB2312" w:eastAsia="仿宋_GB2312" w:hAnsi="Arial" w:cs="Arial" w:hint="eastAsia"/>
          <w:color w:val="000000" w:themeColor="text1"/>
          <w:spacing w:val="-1"/>
          <w:sz w:val="32"/>
          <w:szCs w:val="28"/>
        </w:rPr>
        <w:t>束用于</w:t>
      </w:r>
      <w:proofErr w:type="gramEnd"/>
      <w:r>
        <w:rPr>
          <w:rFonts w:ascii="仿宋_GB2312" w:eastAsia="仿宋_GB2312" w:hAnsi="Arial" w:cs="Arial" w:hint="eastAsia"/>
          <w:color w:val="000000" w:themeColor="text1"/>
          <w:spacing w:val="-1"/>
          <w:sz w:val="32"/>
          <w:szCs w:val="28"/>
        </w:rPr>
        <w:t>放射治疗。</w:t>
      </w:r>
    </w:p>
    <w:p w:rsidR="00B21435" w:rsidRDefault="00F21DBE">
      <w:pPr>
        <w:widowControl/>
        <w:spacing w:line="560" w:lineRule="exact"/>
        <w:ind w:firstLineChars="200" w:firstLine="636"/>
        <w:rPr>
          <w:rFonts w:ascii="仿宋_GB2312" w:eastAsia="仿宋_GB2312" w:hAnsi="Arial" w:cs="Arial"/>
          <w:color w:val="000000" w:themeColor="text1"/>
          <w:spacing w:val="-1"/>
          <w:sz w:val="32"/>
          <w:szCs w:val="28"/>
        </w:rPr>
      </w:pPr>
      <w:r>
        <w:rPr>
          <w:rFonts w:ascii="仿宋_GB2312" w:eastAsia="仿宋_GB2312" w:hAnsi="Arial" w:cs="Arial" w:hint="eastAsia"/>
          <w:color w:val="000000" w:themeColor="text1"/>
          <w:spacing w:val="-1"/>
          <w:sz w:val="32"/>
          <w:szCs w:val="28"/>
        </w:rPr>
        <w:t>治疗控制系统根据患者的治疗计划逐点精确控制质子束流位置和剂量，通过笔形束扫描技术的治疗头对患者的肿瘤病灶进行三维适形照射（可使用自适应光栅技术辅助照射）。进入病灶区域的质子束流可破坏肿瘤细胞的DNA链进而杀死肿瘤细胞，达到治疗目的。</w:t>
      </w:r>
    </w:p>
    <w:p w:rsidR="00B21435" w:rsidRDefault="00F21DBE">
      <w:pPr>
        <w:widowControl/>
        <w:numPr>
          <w:ilvl w:val="255"/>
          <w:numId w:val="0"/>
        </w:numPr>
        <w:spacing w:line="560" w:lineRule="exact"/>
        <w:ind w:firstLineChars="200" w:firstLine="636"/>
        <w:rPr>
          <w:rFonts w:ascii="仿宋_GB2312" w:eastAsia="仿宋_GB2312" w:hAnsi="Arial" w:cs="Arial"/>
          <w:color w:val="000000" w:themeColor="text1"/>
          <w:spacing w:val="-1"/>
          <w:sz w:val="32"/>
          <w:szCs w:val="28"/>
        </w:rPr>
      </w:pPr>
      <w:r>
        <w:rPr>
          <w:rFonts w:ascii="微软雅黑" w:eastAsia="微软雅黑" w:hAnsi="微软雅黑" w:cs="微软雅黑" w:hint="eastAsia"/>
          <w:color w:val="000000" w:themeColor="text1"/>
          <w:spacing w:val="-1"/>
          <w:sz w:val="32"/>
          <w:szCs w:val="28"/>
        </w:rPr>
        <w:t>①</w:t>
      </w:r>
      <w:r>
        <w:rPr>
          <w:rFonts w:ascii="仿宋_GB2312" w:eastAsia="仿宋_GB2312" w:hAnsi="Arial" w:cs="Arial" w:hint="eastAsia"/>
          <w:color w:val="000000" w:themeColor="text1"/>
          <w:spacing w:val="-1"/>
          <w:sz w:val="32"/>
          <w:szCs w:val="28"/>
        </w:rPr>
        <w:t>质子的产生、加速、引出</w:t>
      </w:r>
    </w:p>
    <w:p w:rsidR="00B21435" w:rsidRDefault="00F21DBE">
      <w:pPr>
        <w:widowControl/>
        <w:spacing w:line="560" w:lineRule="exact"/>
        <w:ind w:firstLineChars="200" w:firstLine="636"/>
        <w:rPr>
          <w:rFonts w:ascii="仿宋_GB2312" w:eastAsia="仿宋_GB2312" w:hAnsi="Arial" w:cs="Arial"/>
          <w:color w:val="000000" w:themeColor="text1"/>
          <w:spacing w:val="-1"/>
          <w:sz w:val="32"/>
          <w:szCs w:val="28"/>
        </w:rPr>
      </w:pPr>
      <w:r>
        <w:rPr>
          <w:rFonts w:ascii="仿宋_GB2312" w:eastAsia="仿宋_GB2312" w:hAnsi="Arial" w:cs="Arial" w:hint="eastAsia"/>
          <w:color w:val="000000" w:themeColor="text1"/>
          <w:spacing w:val="-1"/>
          <w:sz w:val="32"/>
          <w:szCs w:val="28"/>
        </w:rPr>
        <w:t>主加速器系统中的离子源阴极在负高压作用下产生电子，与弧室内氢气碰撞形成等离子体，再通过中心区高频电压的作用，进而剥离出质子。质子在等时性磁场中圆周运动，每次通过高频加速间隙获得能量提升，直到加速至所要求的能</w:t>
      </w:r>
      <w:r>
        <w:rPr>
          <w:rFonts w:ascii="仿宋_GB2312" w:eastAsia="仿宋_GB2312" w:hAnsi="Arial" w:cs="Arial" w:hint="eastAsia"/>
          <w:color w:val="000000" w:themeColor="text1"/>
          <w:spacing w:val="-1"/>
          <w:sz w:val="32"/>
          <w:szCs w:val="28"/>
        </w:rPr>
        <w:lastRenderedPageBreak/>
        <w:t>量。束流引出单元将能量已达到要求的质子束流沿径向方向分离，并且引导其进入磁通道，磁通道产生梯度场，将质子束流按照设计轨迹从加速器引出。</w:t>
      </w:r>
    </w:p>
    <w:p w:rsidR="00B21435" w:rsidRDefault="00F21DBE">
      <w:pPr>
        <w:widowControl/>
        <w:spacing w:line="560" w:lineRule="exact"/>
        <w:ind w:firstLineChars="200" w:firstLine="636"/>
        <w:rPr>
          <w:rFonts w:ascii="仿宋_GB2312" w:eastAsia="仿宋_GB2312" w:hAnsi="Arial" w:cs="Arial"/>
          <w:color w:val="000000" w:themeColor="text1"/>
          <w:spacing w:val="-1"/>
          <w:sz w:val="32"/>
          <w:szCs w:val="28"/>
        </w:rPr>
      </w:pPr>
      <w:r>
        <w:rPr>
          <w:rFonts w:ascii="微软雅黑" w:eastAsia="微软雅黑" w:hAnsi="微软雅黑" w:cs="微软雅黑" w:hint="eastAsia"/>
          <w:color w:val="000000" w:themeColor="text1"/>
          <w:spacing w:val="-1"/>
          <w:sz w:val="32"/>
          <w:szCs w:val="28"/>
        </w:rPr>
        <w:t>②</w:t>
      </w:r>
      <w:r>
        <w:rPr>
          <w:rFonts w:ascii="仿宋_GB2312" w:eastAsia="仿宋_GB2312" w:hAnsi="Arial" w:cs="Arial" w:hint="eastAsia"/>
          <w:color w:val="000000" w:themeColor="text1"/>
          <w:spacing w:val="-1"/>
          <w:sz w:val="32"/>
          <w:szCs w:val="28"/>
        </w:rPr>
        <w:t>能量调节和束流传输系统</w:t>
      </w:r>
    </w:p>
    <w:p w:rsidR="00B21435" w:rsidRDefault="00F21DBE">
      <w:pPr>
        <w:widowControl/>
        <w:spacing w:line="560" w:lineRule="exact"/>
        <w:ind w:firstLineChars="200" w:firstLine="636"/>
        <w:rPr>
          <w:rFonts w:ascii="仿宋_GB2312" w:eastAsia="仿宋_GB2312" w:hAnsi="Arial" w:cs="Arial"/>
          <w:color w:val="000000" w:themeColor="text1"/>
          <w:spacing w:val="-1"/>
          <w:sz w:val="32"/>
          <w:szCs w:val="28"/>
        </w:rPr>
      </w:pPr>
      <w:r>
        <w:rPr>
          <w:rFonts w:ascii="仿宋_GB2312" w:eastAsia="仿宋_GB2312" w:hAnsi="Arial" w:cs="Arial" w:hint="eastAsia"/>
          <w:color w:val="000000" w:themeColor="text1"/>
          <w:spacing w:val="-1"/>
          <w:sz w:val="32"/>
          <w:szCs w:val="28"/>
        </w:rPr>
        <w:t>主加速器系统引出质子束流后，能量选择段的四</w:t>
      </w:r>
      <w:proofErr w:type="gramStart"/>
      <w:r>
        <w:rPr>
          <w:rFonts w:ascii="仿宋_GB2312" w:eastAsia="仿宋_GB2312" w:hAnsi="Arial" w:cs="Arial" w:hint="eastAsia"/>
          <w:color w:val="000000" w:themeColor="text1"/>
          <w:spacing w:val="-1"/>
          <w:sz w:val="32"/>
          <w:szCs w:val="28"/>
        </w:rPr>
        <w:t>极</w:t>
      </w:r>
      <w:proofErr w:type="gramEnd"/>
      <w:r>
        <w:rPr>
          <w:rFonts w:ascii="仿宋_GB2312" w:eastAsia="仿宋_GB2312" w:hAnsi="Arial" w:cs="Arial" w:hint="eastAsia"/>
          <w:color w:val="000000" w:themeColor="text1"/>
          <w:spacing w:val="-1"/>
          <w:sz w:val="32"/>
          <w:szCs w:val="28"/>
        </w:rPr>
        <w:t>铁将其聚焦在</w:t>
      </w:r>
      <w:proofErr w:type="gramStart"/>
      <w:r>
        <w:rPr>
          <w:rFonts w:ascii="仿宋_GB2312" w:eastAsia="仿宋_GB2312" w:hAnsi="Arial" w:cs="Arial" w:hint="eastAsia"/>
          <w:color w:val="000000" w:themeColor="text1"/>
          <w:spacing w:val="-1"/>
          <w:sz w:val="32"/>
          <w:szCs w:val="28"/>
        </w:rPr>
        <w:t>降能器上</w:t>
      </w:r>
      <w:proofErr w:type="gramEnd"/>
      <w:r>
        <w:rPr>
          <w:rFonts w:ascii="仿宋_GB2312" w:eastAsia="仿宋_GB2312" w:hAnsi="Arial" w:cs="Arial" w:hint="eastAsia"/>
          <w:color w:val="000000" w:themeColor="text1"/>
          <w:spacing w:val="-1"/>
          <w:sz w:val="32"/>
          <w:szCs w:val="28"/>
        </w:rPr>
        <w:t>；</w:t>
      </w:r>
      <w:proofErr w:type="gramStart"/>
      <w:r>
        <w:rPr>
          <w:rFonts w:ascii="仿宋_GB2312" w:eastAsia="仿宋_GB2312" w:hAnsi="Arial" w:cs="Arial" w:hint="eastAsia"/>
          <w:color w:val="000000" w:themeColor="text1"/>
          <w:spacing w:val="-1"/>
          <w:sz w:val="32"/>
          <w:szCs w:val="28"/>
        </w:rPr>
        <w:t>降能器将</w:t>
      </w:r>
      <w:proofErr w:type="gramEnd"/>
      <w:r>
        <w:rPr>
          <w:rFonts w:ascii="仿宋_GB2312" w:eastAsia="仿宋_GB2312" w:hAnsi="Arial" w:cs="Arial" w:hint="eastAsia"/>
          <w:color w:val="000000" w:themeColor="text1"/>
          <w:spacing w:val="-1"/>
          <w:sz w:val="32"/>
          <w:szCs w:val="28"/>
        </w:rPr>
        <w:t>束流能量降低至治疗所需要的能量，并筛选出符合治疗需要的质子束流；磁铁单元用于对筛选后的束流进行聚焦、消色散和偏转，从而完成质子束流的选择。</w:t>
      </w:r>
      <w:proofErr w:type="gramStart"/>
      <w:r>
        <w:rPr>
          <w:rFonts w:ascii="仿宋_GB2312" w:eastAsia="仿宋_GB2312" w:hAnsi="Arial" w:cs="Arial" w:hint="eastAsia"/>
          <w:color w:val="000000" w:themeColor="text1"/>
          <w:spacing w:val="-1"/>
          <w:sz w:val="32"/>
          <w:szCs w:val="28"/>
        </w:rPr>
        <w:t>束测单元</w:t>
      </w:r>
      <w:proofErr w:type="gramEnd"/>
      <w:r>
        <w:rPr>
          <w:rFonts w:ascii="仿宋_GB2312" w:eastAsia="仿宋_GB2312" w:hAnsi="Arial" w:cs="Arial" w:hint="eastAsia"/>
          <w:color w:val="000000" w:themeColor="text1"/>
          <w:spacing w:val="-1"/>
          <w:sz w:val="32"/>
          <w:szCs w:val="28"/>
        </w:rPr>
        <w:t>用于监控质子束流参数，确保超导质子治疗系统安全运行。真空单元为质子束流提供真空环境，避免束流沿途损失。</w:t>
      </w:r>
    </w:p>
    <w:p w:rsidR="00B21435" w:rsidRDefault="00F21DBE">
      <w:pPr>
        <w:widowControl/>
        <w:spacing w:line="560" w:lineRule="exact"/>
        <w:ind w:firstLineChars="200" w:firstLine="636"/>
        <w:rPr>
          <w:rFonts w:ascii="仿宋_GB2312" w:eastAsia="仿宋_GB2312" w:hAnsi="Arial" w:cs="Arial"/>
          <w:color w:val="000000" w:themeColor="text1"/>
          <w:spacing w:val="-1"/>
          <w:sz w:val="32"/>
          <w:szCs w:val="28"/>
        </w:rPr>
      </w:pPr>
      <w:r>
        <w:rPr>
          <w:rFonts w:ascii="仿宋_GB2312" w:eastAsia="仿宋_GB2312" w:hAnsi="Arial" w:cs="Arial" w:hint="eastAsia"/>
          <w:color w:val="000000" w:themeColor="text1"/>
          <w:spacing w:val="-1"/>
          <w:sz w:val="32"/>
          <w:szCs w:val="28"/>
        </w:rPr>
        <w:t>束流传输系统负责质子束流的传输。其匹配有与治疗室等量的支线路，通过分布在支线路上的二</w:t>
      </w:r>
      <w:proofErr w:type="gramStart"/>
      <w:r>
        <w:rPr>
          <w:rFonts w:ascii="仿宋_GB2312" w:eastAsia="仿宋_GB2312" w:hAnsi="Arial" w:cs="Arial" w:hint="eastAsia"/>
          <w:color w:val="000000" w:themeColor="text1"/>
          <w:spacing w:val="-1"/>
          <w:sz w:val="32"/>
          <w:szCs w:val="28"/>
        </w:rPr>
        <w:t>极</w:t>
      </w:r>
      <w:proofErr w:type="gramEnd"/>
      <w:r>
        <w:rPr>
          <w:rFonts w:ascii="仿宋_GB2312" w:eastAsia="仿宋_GB2312" w:hAnsi="Arial" w:cs="Arial" w:hint="eastAsia"/>
          <w:color w:val="000000" w:themeColor="text1"/>
          <w:spacing w:val="-1"/>
          <w:sz w:val="32"/>
          <w:szCs w:val="28"/>
        </w:rPr>
        <w:t>磁铁完成束流方向偏转，再通过支线路上的四极磁铁进行束流的横向聚焦，保证质子束流按质按量输送到治疗室。</w:t>
      </w:r>
    </w:p>
    <w:p w:rsidR="00B21435" w:rsidRDefault="00F21DBE">
      <w:pPr>
        <w:widowControl/>
        <w:spacing w:line="560" w:lineRule="exact"/>
        <w:ind w:firstLineChars="200" w:firstLine="636"/>
        <w:rPr>
          <w:rFonts w:ascii="仿宋_GB2312" w:eastAsia="仿宋_GB2312" w:hAnsi="Arial" w:cs="Arial"/>
          <w:color w:val="000000" w:themeColor="text1"/>
          <w:spacing w:val="-1"/>
          <w:sz w:val="32"/>
          <w:szCs w:val="28"/>
        </w:rPr>
      </w:pPr>
      <w:r>
        <w:rPr>
          <w:rFonts w:ascii="微软雅黑" w:eastAsia="微软雅黑" w:hAnsi="微软雅黑" w:cs="微软雅黑" w:hint="eastAsia"/>
          <w:color w:val="000000" w:themeColor="text1"/>
          <w:spacing w:val="-1"/>
          <w:sz w:val="32"/>
          <w:szCs w:val="28"/>
        </w:rPr>
        <w:t>③</w:t>
      </w:r>
      <w:r>
        <w:rPr>
          <w:rFonts w:ascii="仿宋_GB2312" w:eastAsia="仿宋_GB2312" w:hAnsi="Arial" w:cs="Arial" w:hint="eastAsia"/>
          <w:color w:val="000000" w:themeColor="text1"/>
          <w:spacing w:val="-1"/>
          <w:sz w:val="32"/>
          <w:szCs w:val="28"/>
        </w:rPr>
        <w:t>质子的三维适形照射</w:t>
      </w:r>
    </w:p>
    <w:p w:rsidR="00B21435" w:rsidRDefault="00F21DBE">
      <w:pPr>
        <w:widowControl/>
        <w:spacing w:line="560" w:lineRule="exact"/>
        <w:ind w:firstLineChars="200" w:firstLine="636"/>
        <w:rPr>
          <w:rFonts w:ascii="仿宋_GB2312" w:eastAsia="仿宋_GB2312" w:hAnsi="Arial" w:cs="Arial"/>
          <w:color w:val="000000" w:themeColor="text1"/>
          <w:spacing w:val="-1"/>
          <w:sz w:val="32"/>
          <w:szCs w:val="28"/>
        </w:rPr>
      </w:pPr>
      <w:r>
        <w:rPr>
          <w:rFonts w:ascii="仿宋_GB2312" w:eastAsia="仿宋_GB2312" w:hAnsi="Arial" w:cs="Arial" w:hint="eastAsia"/>
          <w:color w:val="000000" w:themeColor="text1"/>
          <w:spacing w:val="-1"/>
          <w:sz w:val="32"/>
          <w:szCs w:val="28"/>
        </w:rPr>
        <w:t>质子的三维适形照射由治疗头和</w:t>
      </w:r>
      <w:proofErr w:type="gramStart"/>
      <w:r>
        <w:rPr>
          <w:rFonts w:ascii="仿宋_GB2312" w:eastAsia="仿宋_GB2312" w:hAnsi="Arial" w:cs="Arial" w:hint="eastAsia"/>
          <w:color w:val="000000" w:themeColor="text1"/>
          <w:spacing w:val="-1"/>
          <w:sz w:val="32"/>
          <w:szCs w:val="28"/>
        </w:rPr>
        <w:t>降能器</w:t>
      </w:r>
      <w:proofErr w:type="gramEnd"/>
      <w:r>
        <w:rPr>
          <w:rFonts w:ascii="仿宋_GB2312" w:eastAsia="仿宋_GB2312" w:hAnsi="Arial" w:cs="Arial" w:hint="eastAsia"/>
          <w:color w:val="000000" w:themeColor="text1"/>
          <w:spacing w:val="-1"/>
          <w:sz w:val="32"/>
          <w:szCs w:val="28"/>
        </w:rPr>
        <w:t>/射程调节器共同完成，</w:t>
      </w:r>
      <w:proofErr w:type="gramStart"/>
      <w:r>
        <w:rPr>
          <w:rFonts w:ascii="仿宋_GB2312" w:eastAsia="仿宋_GB2312" w:hAnsi="Arial" w:cs="Arial" w:hint="eastAsia"/>
          <w:color w:val="000000" w:themeColor="text1"/>
          <w:spacing w:val="-1"/>
          <w:sz w:val="32"/>
          <w:szCs w:val="28"/>
        </w:rPr>
        <w:t>降能器</w:t>
      </w:r>
      <w:proofErr w:type="gramEnd"/>
      <w:r>
        <w:rPr>
          <w:rFonts w:ascii="仿宋_GB2312" w:eastAsia="仿宋_GB2312" w:hAnsi="Arial" w:cs="Arial" w:hint="eastAsia"/>
          <w:color w:val="000000" w:themeColor="text1"/>
          <w:spacing w:val="-1"/>
          <w:sz w:val="32"/>
          <w:szCs w:val="28"/>
        </w:rPr>
        <w:t>/射程调节器通过能量切换，改变质子束流照射深度；治疗头通过调整扫描磁铁磁场改变扫描位置，达到适形照射。在治疗准备阶段，制定治疗计划，细化剂量参数。治疗头执行笔形束点扫描，从肿瘤的深部向浅部逐层扫描。当每个扫描点的照射剂量达到预期剂量时，治疗头通过调整扫描磁铁的场强改变照射点的位置，实现换点，直至所在层的</w:t>
      </w:r>
      <w:proofErr w:type="gramStart"/>
      <w:r>
        <w:rPr>
          <w:rFonts w:ascii="仿宋_GB2312" w:eastAsia="仿宋_GB2312" w:hAnsi="Arial" w:cs="Arial" w:hint="eastAsia"/>
          <w:color w:val="000000" w:themeColor="text1"/>
          <w:spacing w:val="-1"/>
          <w:sz w:val="32"/>
          <w:szCs w:val="28"/>
        </w:rPr>
        <w:t>所有点</w:t>
      </w:r>
      <w:proofErr w:type="gramEnd"/>
      <w:r>
        <w:rPr>
          <w:rFonts w:ascii="仿宋_GB2312" w:eastAsia="仿宋_GB2312" w:hAnsi="Arial" w:cs="Arial" w:hint="eastAsia"/>
          <w:color w:val="000000" w:themeColor="text1"/>
          <w:spacing w:val="-1"/>
          <w:sz w:val="32"/>
          <w:szCs w:val="28"/>
        </w:rPr>
        <w:t>扫描完毕，再通</w:t>
      </w:r>
      <w:proofErr w:type="gramStart"/>
      <w:r>
        <w:rPr>
          <w:rFonts w:ascii="仿宋_GB2312" w:eastAsia="仿宋_GB2312" w:hAnsi="Arial" w:cs="Arial" w:hint="eastAsia"/>
          <w:color w:val="000000" w:themeColor="text1"/>
          <w:spacing w:val="-1"/>
          <w:sz w:val="32"/>
          <w:szCs w:val="28"/>
        </w:rPr>
        <w:t>过降能器</w:t>
      </w:r>
      <w:proofErr w:type="gramEnd"/>
      <w:r>
        <w:rPr>
          <w:rFonts w:ascii="仿宋_GB2312" w:eastAsia="仿宋_GB2312" w:hAnsi="Arial" w:cs="Arial" w:hint="eastAsia"/>
          <w:color w:val="000000" w:themeColor="text1"/>
          <w:spacing w:val="-1"/>
          <w:sz w:val="32"/>
          <w:szCs w:val="28"/>
        </w:rPr>
        <w:t>/射程调节器改变束流能量</w:t>
      </w:r>
      <w:r>
        <w:rPr>
          <w:rFonts w:ascii="仿宋_GB2312" w:eastAsia="仿宋_GB2312" w:hAnsi="Arial" w:cs="Arial" w:hint="eastAsia"/>
          <w:color w:val="000000" w:themeColor="text1"/>
          <w:spacing w:val="-1"/>
          <w:sz w:val="32"/>
          <w:szCs w:val="28"/>
        </w:rPr>
        <w:lastRenderedPageBreak/>
        <w:t>进行换层，直至整个肿瘤病灶区域完成三维适形照射（可使用自适应光栅技术辅助照射）。</w:t>
      </w:r>
    </w:p>
    <w:p w:rsidR="00B21435" w:rsidRDefault="00F21DBE">
      <w:pPr>
        <w:widowControl/>
        <w:spacing w:line="560" w:lineRule="exact"/>
        <w:ind w:firstLineChars="200" w:firstLine="636"/>
        <w:rPr>
          <w:rFonts w:ascii="仿宋_GB2312" w:eastAsia="仿宋_GB2312" w:hAnsi="Arial" w:cs="Arial"/>
          <w:color w:val="000000" w:themeColor="text1"/>
          <w:spacing w:val="-1"/>
          <w:sz w:val="32"/>
          <w:szCs w:val="28"/>
        </w:rPr>
      </w:pPr>
      <w:r>
        <w:rPr>
          <w:rFonts w:ascii="微软雅黑" w:eastAsia="微软雅黑" w:hAnsi="微软雅黑" w:cs="微软雅黑" w:hint="eastAsia"/>
          <w:color w:val="000000" w:themeColor="text1"/>
          <w:spacing w:val="-1"/>
          <w:sz w:val="32"/>
          <w:szCs w:val="28"/>
        </w:rPr>
        <w:t>④</w:t>
      </w:r>
      <w:r>
        <w:rPr>
          <w:rFonts w:ascii="仿宋_GB2312" w:eastAsia="仿宋_GB2312" w:hAnsi="Arial" w:cs="Arial" w:hint="eastAsia"/>
          <w:color w:val="000000" w:themeColor="text1"/>
          <w:spacing w:val="-1"/>
          <w:sz w:val="32"/>
          <w:szCs w:val="28"/>
        </w:rPr>
        <w:t>治疗实施</w:t>
      </w:r>
    </w:p>
    <w:p w:rsidR="00B21435" w:rsidRDefault="00F21DBE">
      <w:pPr>
        <w:widowControl/>
        <w:spacing w:line="560" w:lineRule="exact"/>
        <w:ind w:firstLineChars="200" w:firstLine="636"/>
        <w:rPr>
          <w:rFonts w:ascii="仿宋_GB2312" w:eastAsia="仿宋_GB2312" w:hAnsi="Arial" w:cs="Arial"/>
          <w:color w:val="000000" w:themeColor="text1"/>
          <w:spacing w:val="-1"/>
          <w:sz w:val="32"/>
          <w:szCs w:val="28"/>
        </w:rPr>
      </w:pPr>
      <w:r>
        <w:rPr>
          <w:rFonts w:ascii="仿宋_GB2312" w:eastAsia="仿宋_GB2312" w:hAnsi="Arial" w:cs="Arial" w:hint="eastAsia"/>
          <w:color w:val="000000" w:themeColor="text1"/>
          <w:spacing w:val="-1"/>
          <w:sz w:val="32"/>
          <w:szCs w:val="28"/>
        </w:rPr>
        <w:t>治疗实施是将临床</w:t>
      </w:r>
      <w:proofErr w:type="gramStart"/>
      <w:r>
        <w:rPr>
          <w:rFonts w:ascii="仿宋_GB2312" w:eastAsia="仿宋_GB2312" w:hAnsi="Arial" w:cs="Arial" w:hint="eastAsia"/>
          <w:color w:val="000000" w:themeColor="text1"/>
          <w:spacing w:val="-1"/>
          <w:sz w:val="32"/>
          <w:szCs w:val="28"/>
        </w:rPr>
        <w:t>端治疗</w:t>
      </w:r>
      <w:proofErr w:type="gramEnd"/>
      <w:r>
        <w:rPr>
          <w:rFonts w:ascii="仿宋_GB2312" w:eastAsia="仿宋_GB2312" w:hAnsi="Arial" w:cs="Arial" w:hint="eastAsia"/>
          <w:color w:val="000000" w:themeColor="text1"/>
          <w:spacing w:val="-1"/>
          <w:sz w:val="32"/>
          <w:szCs w:val="28"/>
        </w:rPr>
        <w:t>计划实现的过程，需要在确保患者安全的前提下，将质子束流投递到患者肿瘤病灶，这个过程主要通过配套软件实现。</w:t>
      </w:r>
    </w:p>
    <w:p w:rsidR="00B21435" w:rsidRDefault="00A62EAD">
      <w:pPr>
        <w:widowControl/>
        <w:spacing w:line="560" w:lineRule="exact"/>
        <w:ind w:firstLineChars="200" w:firstLine="636"/>
        <w:rPr>
          <w:rFonts w:ascii="仿宋_GB2312" w:eastAsia="仿宋_GB2312" w:hAnsi="Arial" w:cs="Arial"/>
          <w:color w:val="000000" w:themeColor="text1"/>
          <w:spacing w:val="-1"/>
          <w:sz w:val="32"/>
          <w:szCs w:val="28"/>
        </w:rPr>
      </w:pPr>
      <w:r>
        <w:rPr>
          <w:rFonts w:ascii="仿宋_GB2312" w:eastAsia="仿宋_GB2312" w:hAnsi="Arial" w:cs="Arial" w:hint="eastAsia"/>
          <w:color w:val="000000" w:themeColor="text1"/>
          <w:spacing w:val="-1"/>
          <w:sz w:val="32"/>
          <w:szCs w:val="28"/>
        </w:rPr>
        <w:t>（</w:t>
      </w:r>
      <w:r w:rsidR="00F21DBE">
        <w:rPr>
          <w:rFonts w:ascii="仿宋_GB2312" w:eastAsia="仿宋_GB2312" w:hAnsi="Arial" w:cs="Arial" w:hint="eastAsia"/>
          <w:color w:val="000000" w:themeColor="text1"/>
          <w:spacing w:val="-1"/>
          <w:sz w:val="32"/>
          <w:szCs w:val="28"/>
        </w:rPr>
        <w:t>3）基于超导同步回旋加速器的质子治疗系统</w:t>
      </w:r>
    </w:p>
    <w:p w:rsidR="00B21435" w:rsidRDefault="00F21DBE">
      <w:pPr>
        <w:ind w:firstLine="480"/>
        <w:rPr>
          <w:rFonts w:ascii="仿宋_GB2312" w:eastAsia="仿宋_GB2312" w:hAnsi="Arial" w:cs="Arial"/>
          <w:color w:val="000000" w:themeColor="text1"/>
          <w:spacing w:val="-1"/>
          <w:sz w:val="32"/>
          <w:szCs w:val="28"/>
        </w:rPr>
      </w:pPr>
      <w:r>
        <w:rPr>
          <w:rFonts w:ascii="仿宋_GB2312" w:eastAsia="仿宋_GB2312" w:hAnsi="Arial" w:cs="Arial" w:hint="eastAsia"/>
          <w:color w:val="000000" w:themeColor="text1"/>
          <w:spacing w:val="-1"/>
          <w:sz w:val="32"/>
          <w:szCs w:val="28"/>
        </w:rPr>
        <w:t>由主加速器系统的离子源单元电离氢气，形成等离子体态的质子和电子的混合体。</w:t>
      </w:r>
      <w:r>
        <w:rPr>
          <w:rFonts w:ascii="仿宋_GB2312" w:eastAsia="仿宋_GB2312" w:hAnsi="Arial" w:cs="Arial"/>
          <w:color w:val="000000" w:themeColor="text1"/>
          <w:spacing w:val="-1"/>
          <w:sz w:val="32"/>
          <w:szCs w:val="28"/>
        </w:rPr>
        <w:t>其中质子在高压</w:t>
      </w:r>
      <w:proofErr w:type="gramStart"/>
      <w:r>
        <w:rPr>
          <w:rFonts w:ascii="仿宋_GB2312" w:eastAsia="仿宋_GB2312" w:hAnsi="Arial" w:cs="Arial"/>
          <w:color w:val="000000" w:themeColor="text1"/>
          <w:spacing w:val="-1"/>
          <w:sz w:val="32"/>
          <w:szCs w:val="28"/>
        </w:rPr>
        <w:t>负电场</w:t>
      </w:r>
      <w:proofErr w:type="gramEnd"/>
      <w:r>
        <w:rPr>
          <w:rFonts w:ascii="仿宋_GB2312" w:eastAsia="仿宋_GB2312" w:hAnsi="Arial" w:cs="Arial"/>
          <w:color w:val="000000" w:themeColor="text1"/>
          <w:spacing w:val="-1"/>
          <w:sz w:val="32"/>
          <w:szCs w:val="28"/>
        </w:rPr>
        <w:t>和射频电场</w:t>
      </w:r>
      <w:r>
        <w:rPr>
          <w:rFonts w:ascii="仿宋_GB2312" w:eastAsia="仿宋_GB2312" w:hAnsi="Arial" w:cs="Arial" w:hint="eastAsia"/>
          <w:color w:val="000000" w:themeColor="text1"/>
          <w:spacing w:val="-1"/>
          <w:sz w:val="32"/>
          <w:szCs w:val="28"/>
        </w:rPr>
        <w:t>作用</w:t>
      </w:r>
      <w:r>
        <w:rPr>
          <w:rFonts w:ascii="仿宋_GB2312" w:eastAsia="仿宋_GB2312" w:hAnsi="Arial" w:cs="Arial"/>
          <w:color w:val="000000" w:themeColor="text1"/>
          <w:spacing w:val="-1"/>
          <w:sz w:val="32"/>
          <w:szCs w:val="28"/>
        </w:rPr>
        <w:t>下从离子单元</w:t>
      </w:r>
      <w:r>
        <w:rPr>
          <w:rFonts w:ascii="仿宋_GB2312" w:eastAsia="仿宋_GB2312" w:hAnsi="Arial" w:cs="Arial" w:hint="eastAsia"/>
          <w:color w:val="000000" w:themeColor="text1"/>
          <w:spacing w:val="-1"/>
          <w:sz w:val="32"/>
          <w:szCs w:val="28"/>
        </w:rPr>
        <w:t>注入</w:t>
      </w:r>
      <w:r>
        <w:rPr>
          <w:rFonts w:ascii="仿宋_GB2312" w:eastAsia="仿宋_GB2312" w:hAnsi="Arial" w:cs="Arial"/>
          <w:color w:val="000000" w:themeColor="text1"/>
          <w:spacing w:val="-1"/>
          <w:sz w:val="32"/>
          <w:szCs w:val="28"/>
        </w:rPr>
        <w:t>回旋加速器</w:t>
      </w:r>
      <w:r>
        <w:rPr>
          <w:rFonts w:ascii="仿宋_GB2312" w:eastAsia="仿宋_GB2312" w:hAnsi="Arial" w:cs="Arial" w:hint="eastAsia"/>
          <w:color w:val="000000" w:themeColor="text1"/>
          <w:spacing w:val="-1"/>
          <w:sz w:val="32"/>
          <w:szCs w:val="28"/>
        </w:rPr>
        <w:t>。在磁铁单元的磁场的作用下，质子被约束在半径逐渐增大的圆形轨道运动，在D形盒间隙处的射频电场下进行回旋加速。其中，射频单元提供质子加速所需的电场，同时其频率也会随着质子束加速能量的升高而逐渐降低，以匹配高能粒子的相对论质量效应。在这个过程中，通过真空单元和水冷单元来保持加速所需的真空环境以及加速器的温度。当能量达到额定能量时，</w:t>
      </w:r>
      <w:r>
        <w:rPr>
          <w:rFonts w:ascii="仿宋_GB2312" w:eastAsia="仿宋_GB2312" w:hAnsi="Arial" w:cs="Arial"/>
          <w:color w:val="000000" w:themeColor="text1"/>
          <w:spacing w:val="-1"/>
          <w:sz w:val="32"/>
          <w:szCs w:val="28"/>
        </w:rPr>
        <w:t>经</w:t>
      </w:r>
      <w:r>
        <w:rPr>
          <w:rFonts w:ascii="仿宋_GB2312" w:eastAsia="仿宋_GB2312" w:hAnsi="Arial" w:cs="Arial" w:hint="eastAsia"/>
          <w:color w:val="000000" w:themeColor="text1"/>
          <w:spacing w:val="-1"/>
          <w:sz w:val="32"/>
          <w:szCs w:val="28"/>
        </w:rPr>
        <w:t>束流引出单元的</w:t>
      </w:r>
      <w:r>
        <w:rPr>
          <w:rFonts w:ascii="仿宋_GB2312" w:eastAsia="仿宋_GB2312" w:hAnsi="Arial" w:cs="Arial"/>
          <w:color w:val="000000" w:themeColor="text1"/>
          <w:spacing w:val="-1"/>
          <w:sz w:val="32"/>
          <w:szCs w:val="28"/>
        </w:rPr>
        <w:t>磁切割板引出后进入治疗子系统。</w:t>
      </w:r>
    </w:p>
    <w:p w:rsidR="00B21435" w:rsidRDefault="00F21DBE">
      <w:pPr>
        <w:ind w:firstLine="480"/>
        <w:rPr>
          <w:rFonts w:ascii="仿宋_GB2312" w:eastAsia="仿宋_GB2312" w:hAnsi="Arial" w:cs="Arial"/>
          <w:color w:val="000000" w:themeColor="text1"/>
          <w:spacing w:val="-1"/>
          <w:sz w:val="32"/>
          <w:szCs w:val="28"/>
        </w:rPr>
      </w:pPr>
      <w:r>
        <w:rPr>
          <w:rFonts w:ascii="仿宋_GB2312" w:eastAsia="仿宋_GB2312" w:hAnsi="Arial" w:cs="Arial"/>
          <w:color w:val="000000" w:themeColor="text1"/>
          <w:spacing w:val="-1"/>
          <w:sz w:val="32"/>
          <w:szCs w:val="28"/>
        </w:rPr>
        <w:t>治疗控制系统根据生成的患者治疗计划通过笔形束扫描</w:t>
      </w:r>
      <w:r>
        <w:rPr>
          <w:rFonts w:ascii="仿宋_GB2312" w:eastAsia="仿宋_GB2312" w:hAnsi="Arial" w:cs="Arial" w:hint="eastAsia"/>
          <w:color w:val="000000" w:themeColor="text1"/>
          <w:spacing w:val="-1"/>
          <w:sz w:val="32"/>
          <w:szCs w:val="28"/>
        </w:rPr>
        <w:t>、</w:t>
      </w:r>
      <w:r>
        <w:rPr>
          <w:rFonts w:ascii="仿宋_GB2312" w:eastAsia="仿宋_GB2312" w:hAnsi="Arial" w:cs="Arial"/>
          <w:color w:val="000000" w:themeColor="text1"/>
          <w:spacing w:val="-1"/>
          <w:sz w:val="32"/>
          <w:szCs w:val="28"/>
        </w:rPr>
        <w:t>自适应光栅技术</w:t>
      </w:r>
      <w:r>
        <w:rPr>
          <w:rFonts w:ascii="仿宋_GB2312" w:eastAsia="仿宋_GB2312" w:hAnsi="Arial" w:cs="Arial" w:hint="eastAsia"/>
          <w:color w:val="000000" w:themeColor="text1"/>
          <w:spacing w:val="-1"/>
          <w:sz w:val="32"/>
          <w:szCs w:val="28"/>
        </w:rPr>
        <w:t>以及射程调节器</w:t>
      </w:r>
      <w:r>
        <w:rPr>
          <w:rFonts w:ascii="仿宋_GB2312" w:eastAsia="仿宋_GB2312" w:hAnsi="Arial" w:cs="Arial"/>
          <w:color w:val="000000" w:themeColor="text1"/>
          <w:spacing w:val="-1"/>
          <w:sz w:val="32"/>
          <w:szCs w:val="28"/>
        </w:rPr>
        <w:t>实现对质子束的精确控制和递送，</w:t>
      </w:r>
      <w:r>
        <w:rPr>
          <w:rFonts w:ascii="仿宋_GB2312" w:eastAsia="仿宋_GB2312" w:hAnsi="Arial" w:cs="Arial" w:hint="eastAsia"/>
          <w:color w:val="000000" w:themeColor="text1"/>
          <w:spacing w:val="-1"/>
          <w:sz w:val="32"/>
          <w:szCs w:val="28"/>
        </w:rPr>
        <w:t>在图像引导系统、旋转机架、激光定位系统以及患者支撑系统的配合下实现对患者的精准治疗。</w:t>
      </w:r>
    </w:p>
    <w:p w:rsidR="00B21435" w:rsidRDefault="00F21DBE">
      <w:pPr>
        <w:widowControl/>
        <w:numPr>
          <w:ilvl w:val="255"/>
          <w:numId w:val="0"/>
        </w:numPr>
        <w:spacing w:line="560" w:lineRule="exact"/>
        <w:ind w:firstLineChars="200" w:firstLine="636"/>
        <w:rPr>
          <w:rFonts w:ascii="仿宋_GB2312" w:eastAsia="仿宋_GB2312" w:hAnsi="Arial" w:cs="Arial"/>
          <w:color w:val="000000" w:themeColor="text1"/>
          <w:spacing w:val="-1"/>
          <w:sz w:val="32"/>
          <w:szCs w:val="28"/>
        </w:rPr>
      </w:pPr>
      <w:r>
        <w:rPr>
          <w:rFonts w:ascii="微软雅黑" w:eastAsia="微软雅黑" w:hAnsi="微软雅黑" w:cs="微软雅黑" w:hint="eastAsia"/>
          <w:color w:val="000000" w:themeColor="text1"/>
          <w:spacing w:val="-1"/>
          <w:sz w:val="32"/>
          <w:szCs w:val="28"/>
        </w:rPr>
        <w:t>①</w:t>
      </w:r>
      <w:r>
        <w:rPr>
          <w:rFonts w:ascii="仿宋_GB2312" w:eastAsia="仿宋_GB2312" w:hAnsi="Arial" w:cs="Arial" w:hint="eastAsia"/>
          <w:color w:val="000000" w:themeColor="text1"/>
          <w:spacing w:val="-1"/>
          <w:sz w:val="32"/>
          <w:szCs w:val="28"/>
        </w:rPr>
        <w:t>质子的产生、加速、引出</w:t>
      </w:r>
    </w:p>
    <w:p w:rsidR="00B21435" w:rsidRDefault="00F21DBE">
      <w:pPr>
        <w:spacing w:line="268" w:lineRule="auto"/>
        <w:ind w:right="320" w:firstLineChars="202" w:firstLine="642"/>
        <w:rPr>
          <w:rFonts w:ascii="仿宋_GB2312" w:eastAsia="仿宋_GB2312" w:hAnsi="Arial" w:cs="Arial"/>
          <w:color w:val="000000" w:themeColor="text1"/>
          <w:spacing w:val="-1"/>
          <w:sz w:val="32"/>
          <w:szCs w:val="28"/>
        </w:rPr>
      </w:pPr>
      <w:r>
        <w:rPr>
          <w:rFonts w:ascii="仿宋_GB2312" w:eastAsia="仿宋_GB2312" w:hAnsi="Arial" w:cs="Arial" w:hint="eastAsia"/>
          <w:color w:val="000000" w:themeColor="text1"/>
          <w:spacing w:val="-1"/>
          <w:sz w:val="32"/>
          <w:szCs w:val="28"/>
        </w:rPr>
        <w:t>主加速器系统</w:t>
      </w:r>
      <w:r>
        <w:rPr>
          <w:rFonts w:ascii="仿宋_GB2312" w:eastAsia="仿宋_GB2312" w:hAnsi="Arial" w:cs="Arial"/>
          <w:color w:val="000000" w:themeColor="text1"/>
          <w:spacing w:val="-1"/>
          <w:sz w:val="32"/>
          <w:szCs w:val="28"/>
        </w:rPr>
        <w:t>中的离子源阴极在负高压作用下产生电</w:t>
      </w:r>
      <w:r>
        <w:rPr>
          <w:rFonts w:ascii="仿宋_GB2312" w:eastAsia="仿宋_GB2312" w:hAnsi="Arial" w:cs="Arial"/>
          <w:color w:val="000000" w:themeColor="text1"/>
          <w:spacing w:val="-1"/>
          <w:sz w:val="32"/>
          <w:szCs w:val="28"/>
        </w:rPr>
        <w:lastRenderedPageBreak/>
        <w:t>子，与弧室内氢气碰撞形成等离子体，再通过中心区</w:t>
      </w:r>
      <w:proofErr w:type="gramStart"/>
      <w:r>
        <w:rPr>
          <w:rFonts w:ascii="仿宋_GB2312" w:eastAsia="仿宋_GB2312" w:hAnsi="Arial" w:cs="Arial"/>
          <w:color w:val="000000" w:themeColor="text1"/>
          <w:spacing w:val="-1"/>
          <w:sz w:val="32"/>
          <w:szCs w:val="28"/>
        </w:rPr>
        <w:t>引出口负高压</w:t>
      </w:r>
      <w:proofErr w:type="gramEnd"/>
      <w:r>
        <w:rPr>
          <w:rFonts w:ascii="仿宋_GB2312" w:eastAsia="仿宋_GB2312" w:hAnsi="Arial" w:cs="Arial"/>
          <w:color w:val="000000" w:themeColor="text1"/>
          <w:spacing w:val="-1"/>
          <w:sz w:val="32"/>
          <w:szCs w:val="28"/>
        </w:rPr>
        <w:t>和高频电压的联合作用，进而剥离出质子。</w:t>
      </w:r>
      <w:r>
        <w:rPr>
          <w:rFonts w:ascii="仿宋_GB2312" w:eastAsia="仿宋_GB2312" w:hAnsi="Arial" w:cs="Arial" w:hint="eastAsia"/>
          <w:color w:val="000000" w:themeColor="text1"/>
          <w:spacing w:val="-1"/>
          <w:sz w:val="32"/>
          <w:szCs w:val="28"/>
        </w:rPr>
        <w:t>质子在等时性磁场中圆周运动，每次通过高频加速间隙获得能量提升，直到加速至所要求的能量。</w:t>
      </w:r>
      <w:r>
        <w:rPr>
          <w:rFonts w:ascii="仿宋_GB2312" w:eastAsia="仿宋_GB2312" w:hAnsi="Arial" w:cs="Arial"/>
          <w:color w:val="000000" w:themeColor="text1"/>
          <w:spacing w:val="-1"/>
          <w:sz w:val="32"/>
          <w:szCs w:val="28"/>
        </w:rPr>
        <w:t>磁切割板将能量已</w:t>
      </w:r>
      <w:proofErr w:type="gramStart"/>
      <w:r>
        <w:rPr>
          <w:rFonts w:ascii="仿宋_GB2312" w:eastAsia="仿宋_GB2312" w:hAnsi="Arial" w:cs="Arial"/>
          <w:color w:val="000000" w:themeColor="text1"/>
          <w:spacing w:val="-1"/>
          <w:sz w:val="32"/>
          <w:szCs w:val="28"/>
        </w:rPr>
        <w:t>达需求值</w:t>
      </w:r>
      <w:proofErr w:type="gramEnd"/>
      <w:r>
        <w:rPr>
          <w:rFonts w:ascii="仿宋_GB2312" w:eastAsia="仿宋_GB2312" w:hAnsi="Arial" w:cs="Arial"/>
          <w:color w:val="000000" w:themeColor="text1"/>
          <w:spacing w:val="-1"/>
          <w:sz w:val="32"/>
          <w:szCs w:val="28"/>
        </w:rPr>
        <w:t>的束流沿径向方向分离，并且引导其进</w:t>
      </w:r>
      <w:bookmarkStart w:id="90" w:name="_GoBack"/>
      <w:bookmarkEnd w:id="90"/>
      <w:r>
        <w:rPr>
          <w:rFonts w:ascii="仿宋_GB2312" w:eastAsia="仿宋_GB2312" w:hAnsi="Arial" w:cs="Arial"/>
          <w:color w:val="000000" w:themeColor="text1"/>
          <w:spacing w:val="-1"/>
          <w:sz w:val="32"/>
          <w:szCs w:val="28"/>
        </w:rPr>
        <w:t>入磁通道，磁通道产生梯度场，完成质子束流按照设计轨迹从加速器引出。</w:t>
      </w:r>
    </w:p>
    <w:p w:rsidR="00B21435" w:rsidRDefault="00F21DBE">
      <w:pPr>
        <w:widowControl/>
        <w:spacing w:line="560" w:lineRule="exact"/>
        <w:ind w:firstLineChars="200" w:firstLine="636"/>
        <w:rPr>
          <w:rFonts w:ascii="仿宋_GB2312" w:eastAsia="仿宋_GB2312" w:hAnsi="Arial" w:cs="Arial"/>
          <w:color w:val="000000" w:themeColor="text1"/>
          <w:spacing w:val="-1"/>
          <w:sz w:val="32"/>
          <w:szCs w:val="28"/>
        </w:rPr>
      </w:pPr>
      <w:r>
        <w:rPr>
          <w:rFonts w:ascii="微软雅黑" w:eastAsia="微软雅黑" w:hAnsi="微软雅黑" w:cs="微软雅黑" w:hint="eastAsia"/>
          <w:color w:val="000000" w:themeColor="text1"/>
          <w:spacing w:val="-1"/>
          <w:sz w:val="32"/>
          <w:szCs w:val="28"/>
        </w:rPr>
        <w:t>②</w:t>
      </w:r>
      <w:r>
        <w:rPr>
          <w:rFonts w:ascii="仿宋_GB2312" w:eastAsia="仿宋_GB2312" w:hAnsi="Arial" w:cs="Arial" w:hint="eastAsia"/>
          <w:color w:val="000000" w:themeColor="text1"/>
          <w:spacing w:val="-1"/>
          <w:sz w:val="32"/>
          <w:szCs w:val="28"/>
        </w:rPr>
        <w:t>能量/射程调节</w:t>
      </w:r>
    </w:p>
    <w:p w:rsidR="00B21435" w:rsidRDefault="00F21DBE">
      <w:pPr>
        <w:widowControl/>
        <w:spacing w:line="560" w:lineRule="exact"/>
        <w:ind w:firstLineChars="200" w:firstLine="636"/>
        <w:rPr>
          <w:rFonts w:ascii="仿宋_GB2312" w:eastAsia="仿宋_GB2312" w:hAnsi="Arial" w:cs="Arial"/>
          <w:color w:val="000000" w:themeColor="text1"/>
          <w:spacing w:val="-1"/>
          <w:sz w:val="32"/>
          <w:szCs w:val="28"/>
        </w:rPr>
      </w:pPr>
      <w:r>
        <w:rPr>
          <w:rFonts w:ascii="仿宋_GB2312" w:eastAsia="仿宋_GB2312" w:hAnsi="Arial" w:cs="Arial" w:hint="eastAsia"/>
          <w:color w:val="000000" w:themeColor="text1"/>
          <w:spacing w:val="-1"/>
          <w:sz w:val="32"/>
          <w:szCs w:val="28"/>
        </w:rPr>
        <w:t>主加速器系统引出质子束流后，通过射程调节器实现对质子束射程的调节，实现预期的肿瘤部位的束流递送。</w:t>
      </w:r>
    </w:p>
    <w:p w:rsidR="00B21435" w:rsidRDefault="00F21DBE">
      <w:pPr>
        <w:widowControl/>
        <w:spacing w:line="560" w:lineRule="exact"/>
        <w:ind w:firstLineChars="200" w:firstLine="636"/>
        <w:rPr>
          <w:rFonts w:ascii="仿宋_GB2312" w:eastAsia="仿宋_GB2312" w:hAnsi="Arial" w:cs="Arial"/>
          <w:color w:val="000000" w:themeColor="text1"/>
          <w:spacing w:val="-1"/>
          <w:sz w:val="32"/>
          <w:szCs w:val="28"/>
        </w:rPr>
      </w:pPr>
      <w:r>
        <w:rPr>
          <w:rFonts w:ascii="微软雅黑" w:eastAsia="微软雅黑" w:hAnsi="微软雅黑" w:cs="微软雅黑" w:hint="eastAsia"/>
          <w:color w:val="000000" w:themeColor="text1"/>
          <w:spacing w:val="-1"/>
          <w:sz w:val="32"/>
          <w:szCs w:val="28"/>
        </w:rPr>
        <w:t>③</w:t>
      </w:r>
      <w:r>
        <w:rPr>
          <w:rFonts w:ascii="仿宋_GB2312" w:eastAsia="仿宋_GB2312" w:hAnsi="Arial" w:cs="Arial" w:hint="eastAsia"/>
          <w:color w:val="000000" w:themeColor="text1"/>
          <w:spacing w:val="-1"/>
          <w:sz w:val="32"/>
          <w:szCs w:val="28"/>
        </w:rPr>
        <w:t>质子的三维适形照射</w:t>
      </w:r>
    </w:p>
    <w:p w:rsidR="00B21435" w:rsidRDefault="00F21DBE">
      <w:pPr>
        <w:spacing w:line="560" w:lineRule="exact"/>
        <w:ind w:firstLineChars="200" w:firstLine="636"/>
        <w:rPr>
          <w:rFonts w:ascii="仿宋_GB2312" w:eastAsia="仿宋_GB2312" w:hAnsi="Arial" w:cs="Arial"/>
          <w:color w:val="000000" w:themeColor="text1"/>
          <w:spacing w:val="-1"/>
          <w:sz w:val="32"/>
          <w:szCs w:val="28"/>
        </w:rPr>
      </w:pPr>
      <w:r>
        <w:rPr>
          <w:rFonts w:ascii="仿宋_GB2312" w:eastAsia="仿宋_GB2312" w:hAnsi="Arial" w:cs="Arial" w:hint="eastAsia"/>
          <w:color w:val="000000" w:themeColor="text1"/>
          <w:spacing w:val="-1"/>
          <w:sz w:val="32"/>
          <w:szCs w:val="28"/>
        </w:rPr>
        <w:t>质子的三维适形照射由治疗头，射程调节器和自适应光栅共同完成，射程调节器通过射程切换，改变质子束流照射深度；治疗头通过调整扫描磁铁磁场改变扫描位置并结合自适应光栅，达到适形照射。在治疗准备阶段，制定治疗计划，细化剂量参数。治疗头执行笔形束点扫描，从肿瘤的深部向浅部逐层扫描。当每个扫描点的照射剂量达到预期剂量时，治疗头通过调整扫描磁铁的场强改变照射点的位置，实现换点，直至所在层的</w:t>
      </w:r>
      <w:proofErr w:type="gramStart"/>
      <w:r>
        <w:rPr>
          <w:rFonts w:ascii="仿宋_GB2312" w:eastAsia="仿宋_GB2312" w:hAnsi="Arial" w:cs="Arial" w:hint="eastAsia"/>
          <w:color w:val="000000" w:themeColor="text1"/>
          <w:spacing w:val="-1"/>
          <w:sz w:val="32"/>
          <w:szCs w:val="28"/>
        </w:rPr>
        <w:t>所有点</w:t>
      </w:r>
      <w:proofErr w:type="gramEnd"/>
      <w:r>
        <w:rPr>
          <w:rFonts w:ascii="仿宋_GB2312" w:eastAsia="仿宋_GB2312" w:hAnsi="Arial" w:cs="Arial" w:hint="eastAsia"/>
          <w:color w:val="000000" w:themeColor="text1"/>
          <w:spacing w:val="-1"/>
          <w:sz w:val="32"/>
          <w:szCs w:val="28"/>
        </w:rPr>
        <w:t>扫描完毕，再通过射程调节器改变束流射程进行换层，直至整个肿瘤病灶区域完成三维适形照射。</w:t>
      </w:r>
    </w:p>
    <w:p w:rsidR="00B21435" w:rsidRDefault="00F21DBE">
      <w:pPr>
        <w:widowControl/>
        <w:spacing w:line="560" w:lineRule="exact"/>
        <w:ind w:firstLineChars="200" w:firstLine="636"/>
        <w:rPr>
          <w:rFonts w:ascii="仿宋_GB2312" w:eastAsia="仿宋_GB2312" w:hAnsi="Arial" w:cs="Arial"/>
          <w:color w:val="000000" w:themeColor="text1"/>
          <w:spacing w:val="-1"/>
          <w:sz w:val="32"/>
          <w:szCs w:val="28"/>
        </w:rPr>
      </w:pPr>
      <w:r>
        <w:rPr>
          <w:rFonts w:ascii="微软雅黑" w:eastAsia="微软雅黑" w:hAnsi="微软雅黑" w:cs="微软雅黑" w:hint="eastAsia"/>
          <w:color w:val="000000" w:themeColor="text1"/>
          <w:spacing w:val="-1"/>
          <w:sz w:val="32"/>
          <w:szCs w:val="28"/>
        </w:rPr>
        <w:t>④</w:t>
      </w:r>
      <w:r>
        <w:rPr>
          <w:rFonts w:ascii="仿宋_GB2312" w:eastAsia="仿宋_GB2312" w:hAnsi="Arial" w:cs="Arial" w:hint="eastAsia"/>
          <w:color w:val="000000" w:themeColor="text1"/>
          <w:spacing w:val="-1"/>
          <w:sz w:val="32"/>
          <w:szCs w:val="28"/>
        </w:rPr>
        <w:t>治疗实施</w:t>
      </w:r>
    </w:p>
    <w:p w:rsidR="00B21435" w:rsidRDefault="00F21DBE">
      <w:pPr>
        <w:spacing w:line="560" w:lineRule="exact"/>
        <w:ind w:firstLineChars="200" w:firstLine="636"/>
        <w:rPr>
          <w:rFonts w:ascii="楷体" w:eastAsia="楷体" w:hAnsi="楷体" w:cs="楷体"/>
          <w:sz w:val="32"/>
          <w:szCs w:val="32"/>
        </w:rPr>
      </w:pPr>
      <w:r>
        <w:rPr>
          <w:rFonts w:ascii="仿宋_GB2312" w:eastAsia="仿宋_GB2312" w:hAnsi="Arial" w:cs="Arial" w:hint="eastAsia"/>
          <w:color w:val="000000" w:themeColor="text1"/>
          <w:spacing w:val="-1"/>
          <w:sz w:val="32"/>
          <w:szCs w:val="28"/>
        </w:rPr>
        <w:t>治疗实施是将临床</w:t>
      </w:r>
      <w:proofErr w:type="gramStart"/>
      <w:r>
        <w:rPr>
          <w:rFonts w:ascii="仿宋_GB2312" w:eastAsia="仿宋_GB2312" w:hAnsi="Arial" w:cs="Arial" w:hint="eastAsia"/>
          <w:color w:val="000000" w:themeColor="text1"/>
          <w:spacing w:val="-1"/>
          <w:sz w:val="32"/>
          <w:szCs w:val="28"/>
        </w:rPr>
        <w:t>端治疗</w:t>
      </w:r>
      <w:proofErr w:type="gramEnd"/>
      <w:r>
        <w:rPr>
          <w:rFonts w:ascii="仿宋_GB2312" w:eastAsia="仿宋_GB2312" w:hAnsi="Arial" w:cs="Arial" w:hint="eastAsia"/>
          <w:color w:val="000000" w:themeColor="text1"/>
          <w:spacing w:val="-1"/>
          <w:sz w:val="32"/>
          <w:szCs w:val="28"/>
        </w:rPr>
        <w:t>计划实现的过程，需要在确保患者安全的前提下，将质子束流投递到患者肿瘤病灶，这个</w:t>
      </w:r>
      <w:r>
        <w:rPr>
          <w:rFonts w:ascii="仿宋_GB2312" w:eastAsia="仿宋_GB2312" w:hAnsi="Arial" w:cs="Arial" w:hint="eastAsia"/>
          <w:color w:val="000000" w:themeColor="text1"/>
          <w:spacing w:val="-1"/>
          <w:sz w:val="32"/>
          <w:szCs w:val="28"/>
        </w:rPr>
        <w:lastRenderedPageBreak/>
        <w:t>过程主要通过配套软件实现。</w:t>
      </w:r>
    </w:p>
    <w:p w:rsidR="00B21435" w:rsidRDefault="00F21DBE">
      <w:pPr>
        <w:widowControl/>
        <w:spacing w:line="560" w:lineRule="exact"/>
        <w:ind w:firstLineChars="200" w:firstLine="640"/>
        <w:outlineLvl w:val="2"/>
        <w:rPr>
          <w:rFonts w:ascii="楷体" w:eastAsia="楷体" w:hAnsi="楷体" w:cs="楷体"/>
          <w:sz w:val="32"/>
          <w:szCs w:val="32"/>
        </w:rPr>
      </w:pPr>
      <w:r>
        <w:rPr>
          <w:rFonts w:ascii="楷体" w:eastAsia="楷体" w:hAnsi="楷体" w:cs="楷体" w:hint="eastAsia"/>
          <w:sz w:val="32"/>
          <w:szCs w:val="32"/>
        </w:rPr>
        <w:t>（四）产品结构组成示意图</w:t>
      </w:r>
    </w:p>
    <w:p w:rsidR="00B21435" w:rsidRDefault="00F21DBE">
      <w:pPr>
        <w:pStyle w:val="4"/>
        <w:widowControl/>
        <w:ind w:firstLine="640"/>
        <w:rPr>
          <w:color w:val="000000"/>
        </w:rPr>
      </w:pPr>
      <w:r>
        <w:rPr>
          <w:rFonts w:hint="eastAsia"/>
          <w:color w:val="000000"/>
        </w:rPr>
        <w:t>1.</w:t>
      </w:r>
      <w:r>
        <w:rPr>
          <w:rFonts w:hint="eastAsia"/>
          <w:color w:val="000000"/>
        </w:rPr>
        <w:t>碳离子治疗系统结构</w:t>
      </w:r>
      <w:r>
        <w:rPr>
          <w:rFonts w:hint="eastAsia"/>
        </w:rPr>
        <w:t>组成</w:t>
      </w:r>
    </w:p>
    <w:p w:rsidR="00B21435" w:rsidRDefault="00F21DBE">
      <w:pPr>
        <w:widowControl/>
        <w:spacing w:line="560" w:lineRule="exact"/>
        <w:ind w:firstLineChars="200" w:firstLine="636"/>
        <w:rPr>
          <w:rFonts w:ascii="仿宋_GB2312" w:eastAsia="仿宋_GB2312" w:hAnsi="Arial" w:cs="Arial"/>
          <w:color w:val="000000"/>
          <w:spacing w:val="-1"/>
          <w:sz w:val="32"/>
          <w:szCs w:val="28"/>
        </w:rPr>
      </w:pPr>
      <w:r>
        <w:rPr>
          <w:rFonts w:ascii="仿宋_GB2312" w:eastAsia="仿宋_GB2312" w:hAnsi="Arial" w:cs="Arial" w:hint="eastAsia"/>
          <w:color w:val="000000"/>
          <w:spacing w:val="-1"/>
          <w:sz w:val="32"/>
          <w:szCs w:val="28"/>
        </w:rPr>
        <w:t>碳离子治疗系统包含加速器子系统和治疗子系统，加速器子系统采用回旋注入器+同步加速器或直线注入器+同步加速器两种结构组成方式；治疗子系统通常由治疗室和相应设备组成。其结构组成示意图见图1和图2所示。</w:t>
      </w:r>
    </w:p>
    <w:p w:rsidR="00B21435" w:rsidRDefault="00F21DBE">
      <w:pPr>
        <w:keepNext/>
        <w:snapToGrid w:val="0"/>
        <w:rPr>
          <w:rFonts w:ascii="Times New Roman" w:hAnsi="Times New Roman" w:cs="Times New Roman"/>
          <w:color w:val="000000"/>
          <w:sz w:val="24"/>
        </w:rPr>
      </w:pPr>
      <w:r>
        <w:rPr>
          <w:rFonts w:ascii="Times New Roman" w:hAnsi="Times New Roman" w:cs="Times New Roman" w:hint="eastAsia"/>
          <w:noProof/>
          <w:color w:val="000000"/>
          <w:sz w:val="24"/>
        </w:rPr>
        <w:drawing>
          <wp:inline distT="0" distB="0" distL="114300" distR="114300">
            <wp:extent cx="5114290" cy="2719705"/>
            <wp:effectExtent l="0" t="0" r="6350" b="8255"/>
            <wp:docPr id="5" name="图片 5" descr="回旋注入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回旋注入器"/>
                    <pic:cNvPicPr>
                      <a:picLocks noChangeAspect="1"/>
                    </pic:cNvPicPr>
                  </pic:nvPicPr>
                  <pic:blipFill>
                    <a:blip r:embed="rId8"/>
                    <a:srcRect l="2706" t="14095" b="12729"/>
                    <a:stretch>
                      <a:fillRect/>
                    </a:stretch>
                  </pic:blipFill>
                  <pic:spPr>
                    <a:xfrm>
                      <a:off x="0" y="0"/>
                      <a:ext cx="5114290" cy="2719705"/>
                    </a:xfrm>
                    <a:prstGeom prst="rect">
                      <a:avLst/>
                    </a:prstGeom>
                  </pic:spPr>
                </pic:pic>
              </a:graphicData>
            </a:graphic>
          </wp:inline>
        </w:drawing>
      </w:r>
    </w:p>
    <w:p w:rsidR="00B21435" w:rsidRDefault="00F21DBE">
      <w:pPr>
        <w:widowControl/>
        <w:spacing w:line="560" w:lineRule="exact"/>
        <w:jc w:val="center"/>
        <w:rPr>
          <w:rFonts w:ascii="仿宋_GB2312" w:eastAsia="仿宋_GB2312" w:hAnsi="Arial" w:cs="Arial"/>
          <w:color w:val="000000"/>
          <w:spacing w:val="-1"/>
          <w:sz w:val="32"/>
          <w:szCs w:val="28"/>
        </w:rPr>
      </w:pPr>
      <w:r>
        <w:rPr>
          <w:rFonts w:ascii="仿宋_GB2312" w:eastAsia="仿宋_GB2312" w:hAnsi="Arial" w:cs="Arial" w:hint="eastAsia"/>
          <w:color w:val="000000"/>
          <w:spacing w:val="-1"/>
          <w:sz w:val="30"/>
          <w:szCs w:val="30"/>
        </w:rPr>
        <w:t>图1</w:t>
      </w:r>
      <w:r>
        <w:rPr>
          <w:rFonts w:ascii="仿宋_GB2312" w:eastAsia="仿宋_GB2312" w:hAnsi="Arial" w:cs="Arial"/>
          <w:color w:val="000000"/>
          <w:spacing w:val="-1"/>
          <w:sz w:val="30"/>
          <w:szCs w:val="30"/>
        </w:rPr>
        <w:t xml:space="preserve"> 碳离子治疗系统</w:t>
      </w:r>
      <w:r>
        <w:rPr>
          <w:rFonts w:ascii="仿宋_GB2312" w:eastAsia="仿宋_GB2312" w:hAnsi="Arial" w:cs="Arial" w:hint="eastAsia"/>
          <w:color w:val="000000"/>
          <w:spacing w:val="-1"/>
          <w:sz w:val="30"/>
          <w:szCs w:val="30"/>
        </w:rPr>
        <w:t>（回旋注入器）结构</w:t>
      </w:r>
      <w:r>
        <w:rPr>
          <w:rFonts w:ascii="仿宋_GB2312" w:eastAsia="仿宋_GB2312" w:hAnsi="Arial" w:cs="Arial"/>
          <w:color w:val="000000"/>
          <w:spacing w:val="-1"/>
          <w:sz w:val="30"/>
          <w:szCs w:val="30"/>
        </w:rPr>
        <w:t>组成</w:t>
      </w:r>
      <w:r>
        <w:rPr>
          <w:rFonts w:ascii="仿宋_GB2312" w:eastAsia="仿宋_GB2312" w:hAnsi="Arial" w:cs="Arial" w:hint="eastAsia"/>
          <w:color w:val="000000"/>
          <w:spacing w:val="-1"/>
          <w:sz w:val="30"/>
          <w:szCs w:val="30"/>
        </w:rPr>
        <w:t>示意图</w:t>
      </w:r>
    </w:p>
    <w:p w:rsidR="00B21435" w:rsidRDefault="00F21DBE">
      <w:pPr>
        <w:widowControl/>
      </w:pPr>
      <w:r>
        <w:rPr>
          <w:rFonts w:ascii="Times New Roman" w:hAnsi="Times New Roman" w:cs="Times New Roman"/>
          <w:noProof/>
          <w:snapToGrid w:val="0"/>
          <w:color w:val="000000"/>
          <w:kern w:val="0"/>
          <w:sz w:val="24"/>
        </w:rPr>
        <w:lastRenderedPageBreak/>
        <w:drawing>
          <wp:inline distT="0" distB="0" distL="114300" distR="114300">
            <wp:extent cx="5268595" cy="3240405"/>
            <wp:effectExtent l="0" t="0" r="4445" b="5715"/>
            <wp:docPr id="6" name="图片 6" descr="微信图片_2024080916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40809160514"/>
                    <pic:cNvPicPr>
                      <a:picLocks noChangeAspect="1"/>
                    </pic:cNvPicPr>
                  </pic:nvPicPr>
                  <pic:blipFill>
                    <a:blip r:embed="rId9"/>
                    <a:srcRect l="2471" t="5700" r="4412"/>
                    <a:stretch>
                      <a:fillRect/>
                    </a:stretch>
                  </pic:blipFill>
                  <pic:spPr>
                    <a:xfrm>
                      <a:off x="0" y="0"/>
                      <a:ext cx="5268595" cy="3240405"/>
                    </a:xfrm>
                    <a:prstGeom prst="rect">
                      <a:avLst/>
                    </a:prstGeom>
                  </pic:spPr>
                </pic:pic>
              </a:graphicData>
            </a:graphic>
          </wp:inline>
        </w:drawing>
      </w:r>
    </w:p>
    <w:p w:rsidR="00B21435" w:rsidRDefault="00F21DBE">
      <w:pPr>
        <w:widowControl/>
        <w:spacing w:line="560" w:lineRule="exact"/>
        <w:jc w:val="center"/>
        <w:rPr>
          <w:rFonts w:ascii="仿宋_GB2312" w:eastAsia="仿宋_GB2312" w:hAnsi="Arial" w:cs="Arial"/>
          <w:color w:val="000000"/>
          <w:spacing w:val="-1"/>
          <w:sz w:val="30"/>
          <w:szCs w:val="30"/>
        </w:rPr>
      </w:pPr>
      <w:r>
        <w:rPr>
          <w:rFonts w:ascii="仿宋_GB2312" w:eastAsia="仿宋_GB2312" w:hAnsi="Arial" w:cs="Arial" w:hint="eastAsia"/>
          <w:color w:val="000000"/>
          <w:spacing w:val="-1"/>
          <w:sz w:val="30"/>
          <w:szCs w:val="30"/>
        </w:rPr>
        <w:t xml:space="preserve">图2 </w:t>
      </w:r>
      <w:r>
        <w:rPr>
          <w:rFonts w:ascii="仿宋_GB2312" w:eastAsia="仿宋_GB2312" w:hAnsi="Arial" w:cs="Arial"/>
          <w:color w:val="000000"/>
          <w:spacing w:val="-1"/>
          <w:sz w:val="30"/>
          <w:szCs w:val="30"/>
        </w:rPr>
        <w:t>碳离子治疗系统</w:t>
      </w:r>
      <w:r>
        <w:rPr>
          <w:rFonts w:ascii="仿宋_GB2312" w:eastAsia="仿宋_GB2312" w:hAnsi="Arial" w:cs="Arial" w:hint="eastAsia"/>
          <w:color w:val="000000"/>
          <w:spacing w:val="-1"/>
          <w:sz w:val="30"/>
          <w:szCs w:val="30"/>
        </w:rPr>
        <w:t>（直线注入器）</w:t>
      </w:r>
      <w:r>
        <w:rPr>
          <w:rFonts w:ascii="仿宋_GB2312" w:eastAsia="仿宋_GB2312" w:hAnsi="Arial" w:cs="Arial"/>
          <w:color w:val="000000"/>
          <w:spacing w:val="-1"/>
          <w:sz w:val="30"/>
          <w:szCs w:val="30"/>
        </w:rPr>
        <w:t>结构组成</w:t>
      </w:r>
      <w:r>
        <w:rPr>
          <w:rFonts w:ascii="仿宋_GB2312" w:eastAsia="仿宋_GB2312" w:hAnsi="Arial" w:cs="Arial" w:hint="eastAsia"/>
          <w:color w:val="000000"/>
          <w:spacing w:val="-1"/>
          <w:sz w:val="30"/>
          <w:szCs w:val="30"/>
        </w:rPr>
        <w:t>示意图</w:t>
      </w:r>
    </w:p>
    <w:p w:rsidR="00B21435" w:rsidRDefault="00F21DBE">
      <w:pPr>
        <w:pStyle w:val="4"/>
        <w:keepNext w:val="0"/>
        <w:keepLines w:val="0"/>
        <w:ind w:firstLine="640"/>
        <w:rPr>
          <w:color w:val="000000"/>
        </w:rPr>
      </w:pPr>
      <w:r>
        <w:rPr>
          <w:rFonts w:hint="eastAsia"/>
        </w:rPr>
        <w:t>2.</w:t>
      </w:r>
      <w:r>
        <w:rPr>
          <w:rFonts w:hint="eastAsia"/>
          <w:color w:val="000000"/>
        </w:rPr>
        <w:t>质子治疗系统（同步加速器）结构组成</w:t>
      </w:r>
    </w:p>
    <w:p w:rsidR="00B21435" w:rsidRDefault="00F21DBE">
      <w:pPr>
        <w:spacing w:line="560" w:lineRule="exact"/>
        <w:ind w:firstLineChars="200" w:firstLine="636"/>
        <w:rPr>
          <w:rFonts w:eastAsia="仿宋_GB2312"/>
        </w:rPr>
      </w:pPr>
      <w:r>
        <w:rPr>
          <w:rFonts w:ascii="仿宋_GB2312" w:eastAsia="仿宋_GB2312" w:hAnsi="Arial" w:cs="Arial" w:hint="eastAsia"/>
          <w:color w:val="000000"/>
          <w:spacing w:val="-1"/>
          <w:sz w:val="32"/>
          <w:szCs w:val="28"/>
        </w:rPr>
        <w:t>质子治疗系统包含加速器子系统和治疗子系统，加速器子系统采用直线注入器系统+同步加速器的结构组成方式；治疗子系统通常由治疗室和相应设备组成。其结构组成示意图见图3所示。</w:t>
      </w:r>
    </w:p>
    <w:p w:rsidR="00B21435" w:rsidRDefault="00F21DBE">
      <w:r>
        <w:rPr>
          <w:noProof/>
        </w:rPr>
        <w:drawing>
          <wp:inline distT="0" distB="0" distL="114300" distR="114300">
            <wp:extent cx="5314315" cy="2335530"/>
            <wp:effectExtent l="0" t="0" r="0" b="1270"/>
            <wp:docPr id="2" name="图片 2" descr="7391851f4e6b71cad9b67e16f2edb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391851f4e6b71cad9b67e16f2edb32"/>
                    <pic:cNvPicPr>
                      <a:picLocks noChangeAspect="1"/>
                    </pic:cNvPicPr>
                  </pic:nvPicPr>
                  <pic:blipFill>
                    <a:blip r:embed="rId10"/>
                    <a:srcRect l="8019" t="16812" r="5858" b="12639"/>
                    <a:stretch>
                      <a:fillRect/>
                    </a:stretch>
                  </pic:blipFill>
                  <pic:spPr>
                    <a:xfrm>
                      <a:off x="0" y="0"/>
                      <a:ext cx="5332093" cy="2343313"/>
                    </a:xfrm>
                    <a:prstGeom prst="rect">
                      <a:avLst/>
                    </a:prstGeom>
                    <a:ln>
                      <a:noFill/>
                    </a:ln>
                  </pic:spPr>
                </pic:pic>
              </a:graphicData>
            </a:graphic>
          </wp:inline>
        </w:drawing>
      </w:r>
    </w:p>
    <w:p w:rsidR="00B21435" w:rsidRDefault="00F21DBE">
      <w:pPr>
        <w:spacing w:line="560" w:lineRule="exact"/>
        <w:jc w:val="center"/>
      </w:pPr>
      <w:r>
        <w:rPr>
          <w:rFonts w:ascii="仿宋_GB2312" w:eastAsia="仿宋_GB2312" w:hAnsi="Arial" w:cs="Arial" w:hint="eastAsia"/>
          <w:color w:val="000000"/>
          <w:spacing w:val="-1"/>
          <w:sz w:val="30"/>
          <w:szCs w:val="30"/>
        </w:rPr>
        <w:t>图3 质子</w:t>
      </w:r>
      <w:r>
        <w:rPr>
          <w:rFonts w:ascii="仿宋_GB2312" w:eastAsia="仿宋_GB2312" w:hAnsi="Arial" w:cs="Arial"/>
          <w:color w:val="000000"/>
          <w:spacing w:val="-1"/>
          <w:sz w:val="30"/>
          <w:szCs w:val="30"/>
        </w:rPr>
        <w:t>治疗系统</w:t>
      </w:r>
      <w:r>
        <w:rPr>
          <w:rFonts w:ascii="仿宋_GB2312" w:eastAsia="仿宋_GB2312" w:hAnsi="Arial" w:cs="Arial" w:hint="eastAsia"/>
          <w:color w:val="000000"/>
          <w:spacing w:val="-1"/>
          <w:sz w:val="30"/>
          <w:szCs w:val="30"/>
        </w:rPr>
        <w:t>（直线注入器）</w:t>
      </w:r>
      <w:r>
        <w:rPr>
          <w:rFonts w:ascii="仿宋_GB2312" w:eastAsia="仿宋_GB2312" w:hAnsi="Arial" w:cs="Arial"/>
          <w:color w:val="000000"/>
          <w:spacing w:val="-1"/>
          <w:sz w:val="30"/>
          <w:szCs w:val="30"/>
        </w:rPr>
        <w:t>结构组成</w:t>
      </w:r>
      <w:r>
        <w:rPr>
          <w:rFonts w:ascii="仿宋_GB2312" w:eastAsia="仿宋_GB2312" w:hAnsi="Arial" w:cs="Arial" w:hint="eastAsia"/>
          <w:color w:val="000000"/>
          <w:spacing w:val="-1"/>
          <w:sz w:val="30"/>
          <w:szCs w:val="30"/>
        </w:rPr>
        <w:t>示意图</w:t>
      </w:r>
    </w:p>
    <w:p w:rsidR="00B21435" w:rsidRDefault="00F21DBE">
      <w:pPr>
        <w:pStyle w:val="4"/>
        <w:keepNext w:val="0"/>
        <w:keepLines w:val="0"/>
        <w:ind w:firstLine="640"/>
      </w:pPr>
      <w:r>
        <w:rPr>
          <w:rFonts w:hint="eastAsia"/>
        </w:rPr>
        <w:t>3.</w:t>
      </w:r>
      <w:r>
        <w:rPr>
          <w:rFonts w:hint="eastAsia"/>
        </w:rPr>
        <w:t>质子治疗系统（超导等时性回旋加速器）结构组成</w:t>
      </w:r>
    </w:p>
    <w:p w:rsidR="00B21435" w:rsidRDefault="00F21DBE">
      <w:pPr>
        <w:pStyle w:val="4"/>
        <w:keepNext w:val="0"/>
        <w:keepLines w:val="0"/>
        <w:widowControl/>
        <w:ind w:firstLineChars="201" w:firstLine="643"/>
        <w:rPr>
          <w:rFonts w:ascii="仿宋_GB2312" w:hAnsi="仿宋_GB2312" w:cs="仿宋_GB2312"/>
          <w:bCs w:val="0"/>
        </w:rPr>
      </w:pPr>
      <w:r>
        <w:rPr>
          <w:rFonts w:ascii="仿宋_GB2312" w:hAnsi="仿宋_GB2312" w:cs="仿宋_GB2312" w:hint="eastAsia"/>
          <w:bCs w:val="0"/>
        </w:rPr>
        <w:lastRenderedPageBreak/>
        <w:t>包含加速器子系统和治疗子系统，加速器子系统采用超导等时性回旋加速器或超导同步加速器作为质子束流的来源。</w:t>
      </w:r>
    </w:p>
    <w:p w:rsidR="00B21435" w:rsidRDefault="00F21DBE">
      <w:pPr>
        <w:widowControl/>
        <w:spacing w:line="560" w:lineRule="exact"/>
        <w:ind w:firstLineChars="200" w:firstLine="640"/>
        <w:rPr>
          <w:rFonts w:ascii="仿宋_GB2312" w:eastAsia="仿宋_GB2312" w:hAnsi="仿宋_GB2312" w:cs="仿宋_GB2312"/>
          <w:sz w:val="32"/>
          <w:szCs w:val="28"/>
        </w:rPr>
      </w:pPr>
      <w:r>
        <w:rPr>
          <w:rFonts w:ascii="仿宋_GB2312" w:eastAsia="仿宋_GB2312" w:hAnsi="仿宋_GB2312" w:cs="仿宋_GB2312" w:hint="eastAsia"/>
          <w:sz w:val="32"/>
          <w:szCs w:val="28"/>
        </w:rPr>
        <w:t>基于超导等时性回旋加速器的质子治疗系统，在加速器引出束流后，由能量选择系统和束流传输系统将质子束流传输至治疗子系统，治疗子系统通常由治疗室和相应设备组成。</w:t>
      </w:r>
      <w:r>
        <w:rPr>
          <w:rFonts w:ascii="仿宋_GB2312" w:eastAsia="仿宋_GB2312" w:hAnsi="仿宋_GB2312" w:cs="仿宋_GB2312"/>
          <w:noProof/>
          <w:sz w:val="32"/>
          <w:szCs w:val="28"/>
        </w:rPr>
        <w:drawing>
          <wp:anchor distT="0" distB="0" distL="114300" distR="114300" simplePos="0" relativeHeight="251659264" behindDoc="0" locked="0" layoutInCell="1" allowOverlap="1">
            <wp:simplePos x="0" y="0"/>
            <wp:positionH relativeFrom="column">
              <wp:posOffset>-20320</wp:posOffset>
            </wp:positionH>
            <wp:positionV relativeFrom="paragraph">
              <wp:posOffset>1428750</wp:posOffset>
            </wp:positionV>
            <wp:extent cx="5271135" cy="2208530"/>
            <wp:effectExtent l="0" t="0" r="1905" b="127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271135" cy="2208530"/>
                    </a:xfrm>
                    <a:prstGeom prst="rect">
                      <a:avLst/>
                    </a:prstGeom>
                    <a:noFill/>
                    <a:ln>
                      <a:noFill/>
                    </a:ln>
                  </pic:spPr>
                </pic:pic>
              </a:graphicData>
            </a:graphic>
          </wp:anchor>
        </w:drawing>
      </w:r>
      <w:r>
        <w:rPr>
          <w:rFonts w:ascii="仿宋_GB2312" w:eastAsia="仿宋_GB2312" w:hAnsi="仿宋_GB2312" w:cs="仿宋_GB2312" w:hint="eastAsia"/>
          <w:sz w:val="32"/>
          <w:szCs w:val="28"/>
        </w:rPr>
        <w:t>其结构组成示意图见图4所示。</w:t>
      </w:r>
    </w:p>
    <w:p w:rsidR="00B21435" w:rsidRDefault="00F21DBE">
      <w:pPr>
        <w:spacing w:line="560" w:lineRule="exact"/>
        <w:jc w:val="center"/>
        <w:rPr>
          <w:rFonts w:ascii="仿宋_GB2312" w:eastAsia="仿宋_GB2312" w:hAnsi="Arial" w:cs="Arial"/>
          <w:color w:val="000000"/>
          <w:spacing w:val="-1"/>
          <w:sz w:val="30"/>
          <w:szCs w:val="30"/>
        </w:rPr>
      </w:pPr>
      <w:r>
        <w:rPr>
          <w:rFonts w:ascii="仿宋_GB2312" w:eastAsia="仿宋_GB2312" w:hAnsi="Arial" w:cs="Arial" w:hint="eastAsia"/>
          <w:color w:val="000000"/>
          <w:spacing w:val="-1"/>
          <w:sz w:val="30"/>
          <w:szCs w:val="30"/>
        </w:rPr>
        <w:t>图4 质子治疗系统（回旋加速器）结构组成示意图</w:t>
      </w:r>
    </w:p>
    <w:p w:rsidR="00B21435" w:rsidRDefault="00F21DBE">
      <w:pPr>
        <w:widowControl/>
        <w:spacing w:line="560" w:lineRule="exact"/>
        <w:ind w:firstLineChars="200" w:firstLine="640"/>
        <w:rPr>
          <w:rFonts w:ascii="仿宋_GB2312" w:eastAsia="仿宋_GB2312" w:hAnsi="仿宋_GB2312" w:cs="仿宋_GB2312"/>
          <w:sz w:val="32"/>
          <w:szCs w:val="28"/>
        </w:rPr>
      </w:pPr>
      <w:r>
        <w:rPr>
          <w:rFonts w:ascii="仿宋_GB2312" w:eastAsia="仿宋_GB2312" w:hAnsi="仿宋_GB2312" w:cs="仿宋_GB2312" w:hint="eastAsia"/>
          <w:sz w:val="32"/>
          <w:szCs w:val="28"/>
        </w:rPr>
        <w:t>4.质子治疗系统（超导同步回旋加速器）结构组成</w:t>
      </w:r>
    </w:p>
    <w:p w:rsidR="00B21435" w:rsidRDefault="00F21DBE">
      <w:pPr>
        <w:widowControl/>
        <w:spacing w:line="560" w:lineRule="exact"/>
        <w:ind w:firstLineChars="200" w:firstLine="640"/>
        <w:rPr>
          <w:rFonts w:ascii="仿宋_GB2312" w:eastAsia="仿宋_GB2312" w:hAnsi="仿宋_GB2312" w:cs="仿宋_GB2312"/>
          <w:sz w:val="32"/>
          <w:szCs w:val="28"/>
        </w:rPr>
      </w:pPr>
      <w:r>
        <w:rPr>
          <w:rFonts w:ascii="仿宋_GB2312" w:eastAsia="仿宋_GB2312" w:hAnsi="仿宋_GB2312" w:cs="仿宋_GB2312" w:hint="eastAsia"/>
          <w:sz w:val="32"/>
          <w:szCs w:val="28"/>
        </w:rPr>
        <w:t>包含加速器子系统和治疗子系统，加速器子系统包含离子源、磁铁单元、射频单元、真空单元、水冷单元、束流引出单元；治疗子系统通常由治疗室和相应设备组成。其结构组成示意图见图5所示。</w:t>
      </w:r>
    </w:p>
    <w:p w:rsidR="00B21435" w:rsidRDefault="00F21DBE">
      <w:pPr>
        <w:jc w:val="center"/>
      </w:pPr>
      <w:r>
        <w:rPr>
          <w:rFonts w:hint="eastAsia"/>
          <w:noProof/>
        </w:rPr>
        <w:lastRenderedPageBreak/>
        <w:drawing>
          <wp:inline distT="0" distB="0" distL="114300" distR="114300">
            <wp:extent cx="4465955" cy="3568065"/>
            <wp:effectExtent l="0" t="0" r="4445" b="635"/>
            <wp:docPr id="7" name="图片 7" descr="迈胜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迈胜图片"/>
                    <pic:cNvPicPr>
                      <a:picLocks noChangeAspect="1"/>
                    </pic:cNvPicPr>
                  </pic:nvPicPr>
                  <pic:blipFill>
                    <a:blip r:embed="rId12"/>
                    <a:stretch>
                      <a:fillRect/>
                    </a:stretch>
                  </pic:blipFill>
                  <pic:spPr>
                    <a:xfrm>
                      <a:off x="0" y="0"/>
                      <a:ext cx="4465955" cy="3568065"/>
                    </a:xfrm>
                    <a:prstGeom prst="rect">
                      <a:avLst/>
                    </a:prstGeom>
                  </pic:spPr>
                </pic:pic>
              </a:graphicData>
            </a:graphic>
          </wp:inline>
        </w:drawing>
      </w:r>
    </w:p>
    <w:p w:rsidR="00B21435" w:rsidRDefault="00F21DBE">
      <w:pPr>
        <w:spacing w:line="560" w:lineRule="exact"/>
        <w:jc w:val="center"/>
        <w:rPr>
          <w:rFonts w:ascii="仿宋_GB2312" w:eastAsia="仿宋_GB2312" w:hAnsi="Arial" w:cs="Arial"/>
          <w:color w:val="000000"/>
          <w:spacing w:val="-1"/>
          <w:sz w:val="30"/>
          <w:szCs w:val="30"/>
        </w:rPr>
      </w:pPr>
      <w:r>
        <w:rPr>
          <w:rFonts w:ascii="仿宋_GB2312" w:eastAsia="仿宋_GB2312" w:hAnsi="Arial" w:cs="Arial" w:hint="eastAsia"/>
          <w:color w:val="000000"/>
          <w:spacing w:val="-1"/>
          <w:sz w:val="30"/>
          <w:szCs w:val="30"/>
        </w:rPr>
        <w:t>图5 集成超导质子治疗系统（回旋加速器）结构组成示意图</w:t>
      </w:r>
    </w:p>
    <w:p w:rsidR="00B21435" w:rsidRDefault="00F21DBE">
      <w:pPr>
        <w:spacing w:line="560" w:lineRule="exact"/>
        <w:ind w:firstLineChars="200" w:firstLine="640"/>
        <w:outlineLvl w:val="2"/>
        <w:rPr>
          <w:rFonts w:ascii="楷体" w:eastAsia="楷体" w:hAnsi="楷体" w:cs="楷体"/>
          <w:sz w:val="32"/>
          <w:szCs w:val="32"/>
        </w:rPr>
      </w:pPr>
      <w:r>
        <w:rPr>
          <w:rFonts w:ascii="楷体" w:eastAsia="楷体" w:hAnsi="楷体" w:cs="楷体" w:hint="eastAsia"/>
          <w:sz w:val="32"/>
          <w:szCs w:val="32"/>
        </w:rPr>
        <w:t>（五）国内外上市情况</w:t>
      </w:r>
      <w:bookmarkEnd w:id="77"/>
      <w:bookmarkEnd w:id="78"/>
      <w:bookmarkEnd w:id="79"/>
      <w:bookmarkEnd w:id="80"/>
      <w:bookmarkEnd w:id="81"/>
      <w:bookmarkEnd w:id="82"/>
      <w:bookmarkEnd w:id="83"/>
      <w:bookmarkEnd w:id="84"/>
      <w:bookmarkEnd w:id="85"/>
      <w:bookmarkEnd w:id="86"/>
      <w:bookmarkEnd w:id="87"/>
      <w:bookmarkEnd w:id="88"/>
      <w:bookmarkEnd w:id="89"/>
    </w:p>
    <w:p w:rsidR="00B21435" w:rsidRDefault="00F21DBE">
      <w:pPr>
        <w:widowControl/>
        <w:spacing w:line="560" w:lineRule="exact"/>
        <w:ind w:firstLineChars="200" w:firstLine="640"/>
        <w:rPr>
          <w:rFonts w:ascii="仿宋_GB2312" w:eastAsia="仿宋_GB2312" w:hAnsi="仿宋_GB2312" w:cs="仿宋_GB2312"/>
          <w:sz w:val="32"/>
          <w:szCs w:val="28"/>
        </w:rPr>
      </w:pPr>
      <w:bookmarkStart w:id="91" w:name="_Toc21047"/>
      <w:bookmarkStart w:id="92" w:name="_Toc1374"/>
      <w:bookmarkStart w:id="93" w:name="_Toc9560"/>
      <w:bookmarkStart w:id="94" w:name="_Toc25640"/>
      <w:bookmarkStart w:id="95" w:name="_Toc10800"/>
      <w:bookmarkStart w:id="96" w:name="_Toc9710"/>
      <w:bookmarkStart w:id="97" w:name="_Toc7097"/>
      <w:bookmarkStart w:id="98" w:name="_Toc19680"/>
      <w:bookmarkStart w:id="99" w:name="_Toc22000"/>
      <w:bookmarkStart w:id="100" w:name="_Toc17709"/>
      <w:bookmarkStart w:id="101" w:name="_Toc29063"/>
      <w:bookmarkStart w:id="102" w:name="_Toc6557"/>
      <w:r>
        <w:rPr>
          <w:rFonts w:ascii="仿宋_GB2312" w:eastAsia="仿宋_GB2312" w:hAnsi="仿宋_GB2312" w:cs="仿宋_GB2312" w:hint="eastAsia"/>
          <w:sz w:val="32"/>
          <w:szCs w:val="28"/>
        </w:rPr>
        <w:t>根据国际粒子治疗合作组织（PTCOG）发布的最新数据，截至2023年底，全球已有近41万名患者接受了粒子放疗，其中，近35万名患者接受了质子放射治疗，约5.6万名患者接受了碳离子治疗，约3500名患者接受了氦离子和其他离子治疗。中国粒子治疗患者总数超过1.7万例，其中中国大陆质子治疗3,867例，碳离子治疗超过7000例；中国台湾质子治疗6,601例，中国台湾碳离子治疗200例，较2022年底(2023年总数为13,553例)增长超过25%。</w:t>
      </w:r>
    </w:p>
    <w:p w:rsidR="00B21435" w:rsidRDefault="00F21DBE">
      <w:pPr>
        <w:spacing w:line="560" w:lineRule="exact"/>
        <w:ind w:firstLineChars="200" w:firstLine="640"/>
        <w:rPr>
          <w:rFonts w:ascii="仿宋_GB2312" w:eastAsia="仿宋_GB2312" w:hAnsi="仿宋_GB2312" w:cs="仿宋_GB2312"/>
          <w:sz w:val="32"/>
          <w:szCs w:val="28"/>
        </w:rPr>
      </w:pPr>
      <w:r>
        <w:rPr>
          <w:rFonts w:ascii="仿宋_GB2312" w:eastAsia="仿宋_GB2312" w:hAnsi="仿宋_GB2312" w:cs="仿宋_GB2312" w:hint="eastAsia"/>
          <w:sz w:val="32"/>
          <w:szCs w:val="28"/>
        </w:rPr>
        <w:t>全球共有128家已运营的质子重离子治疗中心，其中质子治疗中心114家，重离子治疗中心14家。按地域划分，亚洲44家，欧洲39家，北美洲45家。拥有数量较多的国家为：美国45家，日本26家，中国11家（含台湾地区4家），</w:t>
      </w:r>
      <w:r>
        <w:rPr>
          <w:rFonts w:ascii="仿宋_GB2312" w:eastAsia="仿宋_GB2312" w:hAnsi="仿宋_GB2312" w:cs="仿宋_GB2312" w:hint="eastAsia"/>
          <w:sz w:val="32"/>
          <w:szCs w:val="28"/>
        </w:rPr>
        <w:lastRenderedPageBreak/>
        <w:t>德国7家。正在建设中的质子重离子治疗中心共35家，其中，中国10家，美国4家。拟建的质子重离子治疗中心共35家，其中，中国8家（含台湾地区2家），美国6家。</w:t>
      </w:r>
    </w:p>
    <w:p w:rsidR="00B21435" w:rsidRDefault="00F21DBE">
      <w:pPr>
        <w:widowControl/>
        <w:spacing w:line="560" w:lineRule="exact"/>
        <w:ind w:firstLineChars="200" w:firstLine="640"/>
        <w:rPr>
          <w:rFonts w:ascii="仿宋_GB2312" w:eastAsia="仿宋_GB2312" w:hAnsi="仿宋_GB2312" w:cs="仿宋_GB2312"/>
          <w:sz w:val="32"/>
          <w:szCs w:val="28"/>
        </w:rPr>
      </w:pPr>
      <w:r>
        <w:rPr>
          <w:rFonts w:ascii="Times New Roman" w:eastAsia="仿宋_GB2312" w:hAnsi="Times New Roman" w:cs="Times New Roman"/>
          <w:sz w:val="32"/>
          <w:szCs w:val="28"/>
        </w:rPr>
        <w:t>目前</w:t>
      </w:r>
      <w:r>
        <w:rPr>
          <w:rFonts w:ascii="仿宋_GB2312" w:eastAsia="仿宋_GB2312" w:hAnsi="仿宋_GB2312" w:cs="仿宋_GB2312" w:hint="eastAsia"/>
          <w:sz w:val="32"/>
          <w:szCs w:val="28"/>
        </w:rPr>
        <w:t>全球重离子治疗设备供应商共3家：日本的HITACHI（日立）、日本的</w:t>
      </w:r>
      <w:r>
        <w:rPr>
          <w:rFonts w:ascii="仿宋_GB2312" w:eastAsia="仿宋_GB2312" w:hAnsi="仿宋_GB2312" w:cs="仿宋_GB2312" w:hint="eastAsia"/>
          <w:color w:val="000000"/>
          <w:spacing w:val="-1"/>
          <w:sz w:val="32"/>
          <w:szCs w:val="28"/>
        </w:rPr>
        <w:t>TOSHIBA</w:t>
      </w:r>
      <w:r>
        <w:rPr>
          <w:rFonts w:ascii="仿宋_GB2312" w:eastAsia="仿宋_GB2312" w:hAnsi="仿宋_GB2312" w:cs="仿宋_GB2312" w:hint="eastAsia"/>
          <w:sz w:val="32"/>
          <w:szCs w:val="28"/>
        </w:rPr>
        <w:t>（东芝）以及中国的兰州泰基离子技术有限公司。</w:t>
      </w:r>
    </w:p>
    <w:p w:rsidR="00B21435" w:rsidRDefault="00F21DBE">
      <w:pPr>
        <w:widowControl/>
        <w:spacing w:line="560" w:lineRule="exact"/>
        <w:ind w:firstLineChars="200" w:firstLine="640"/>
        <w:rPr>
          <w:rFonts w:ascii="Times New Roman" w:eastAsia="仿宋_GB2312" w:hAnsi="Times New Roman" w:cstheme="majorBidi"/>
          <w:sz w:val="32"/>
          <w:szCs w:val="28"/>
        </w:rPr>
      </w:pPr>
      <w:r>
        <w:rPr>
          <w:rFonts w:ascii="仿宋_GB2312" w:eastAsia="仿宋_GB2312" w:hAnsi="仿宋_GB2312" w:cs="仿宋_GB2312" w:hint="eastAsia"/>
          <w:sz w:val="32"/>
          <w:szCs w:val="28"/>
        </w:rPr>
        <w:t>质子治疗设备主要供应商有比利时的IBA，美国的Varian（瓦里安）、</w:t>
      </w:r>
      <w:proofErr w:type="spellStart"/>
      <w:r>
        <w:rPr>
          <w:rFonts w:ascii="仿宋_GB2312" w:eastAsia="仿宋_GB2312" w:hAnsi="仿宋_GB2312" w:cs="仿宋_GB2312" w:hint="eastAsia"/>
          <w:color w:val="000000"/>
          <w:spacing w:val="-1"/>
          <w:sz w:val="32"/>
          <w:szCs w:val="28"/>
        </w:rPr>
        <w:t>Mevion</w:t>
      </w:r>
      <w:proofErr w:type="spellEnd"/>
      <w:r>
        <w:rPr>
          <w:rFonts w:ascii="仿宋_GB2312" w:eastAsia="仿宋_GB2312" w:hAnsi="仿宋_GB2312" w:cs="仿宋_GB2312" w:hint="eastAsia"/>
          <w:sz w:val="32"/>
          <w:szCs w:val="28"/>
        </w:rPr>
        <w:t>（迈胜）、PROVISION、PROTOM、OPTIVUS，日本的HITACHI（日立）、Sumitomo（住友）、TOSHIBA（东芝），中国的兰州泰基离子技术有限公司、上海艾普强粒子设备有限公司、合肥中科离子医学技术装备有限公司、中广</w:t>
      </w:r>
      <w:proofErr w:type="gramStart"/>
      <w:r>
        <w:rPr>
          <w:rFonts w:ascii="仿宋_GB2312" w:eastAsia="仿宋_GB2312" w:hAnsi="仿宋_GB2312" w:cs="仿宋_GB2312" w:hint="eastAsia"/>
          <w:sz w:val="32"/>
          <w:szCs w:val="28"/>
        </w:rPr>
        <w:t>核医疗</w:t>
      </w:r>
      <w:proofErr w:type="gramEnd"/>
      <w:r>
        <w:rPr>
          <w:rFonts w:ascii="仿宋_GB2312" w:eastAsia="仿宋_GB2312" w:hAnsi="仿宋_GB2312" w:cs="仿宋_GB2312" w:hint="eastAsia"/>
          <w:sz w:val="32"/>
          <w:szCs w:val="28"/>
        </w:rPr>
        <w:t>科技绵阳有限公司、</w:t>
      </w:r>
      <w:proofErr w:type="gramStart"/>
      <w:r>
        <w:rPr>
          <w:rFonts w:ascii="仿宋_GB2312" w:eastAsia="仿宋_GB2312" w:hAnsi="仿宋_GB2312" w:cs="仿宋_GB2312" w:hint="eastAsia"/>
          <w:sz w:val="32"/>
          <w:szCs w:val="28"/>
        </w:rPr>
        <w:t>迈胜医疗</w:t>
      </w:r>
      <w:proofErr w:type="gramEnd"/>
      <w:r>
        <w:rPr>
          <w:rFonts w:ascii="仿宋_GB2312" w:eastAsia="仿宋_GB2312" w:hAnsi="仿宋_GB2312" w:cs="仿宋_GB2312" w:hint="eastAsia"/>
          <w:sz w:val="32"/>
          <w:szCs w:val="28"/>
        </w:rPr>
        <w:t>设备有限公司等</w:t>
      </w:r>
      <w:r>
        <w:rPr>
          <w:rFonts w:ascii="Times New Roman" w:eastAsia="仿宋_GB2312" w:hAnsi="Times New Roman" w:cstheme="majorBidi" w:hint="eastAsia"/>
          <w:sz w:val="32"/>
          <w:szCs w:val="28"/>
        </w:rPr>
        <w:t>。</w:t>
      </w:r>
    </w:p>
    <w:p w:rsidR="00B21435" w:rsidRDefault="00F21DBE">
      <w:pPr>
        <w:pStyle w:val="4"/>
        <w:ind w:firstLine="640"/>
      </w:pPr>
      <w:r>
        <w:rPr>
          <w:rFonts w:hint="eastAsia"/>
        </w:rPr>
        <w:t>1.</w:t>
      </w:r>
      <w:r>
        <w:rPr>
          <w:rFonts w:hint="eastAsia"/>
        </w:rPr>
        <w:t>国外上市情况</w:t>
      </w:r>
      <w:bookmarkEnd w:id="91"/>
      <w:bookmarkEnd w:id="92"/>
      <w:bookmarkEnd w:id="93"/>
      <w:bookmarkEnd w:id="94"/>
      <w:bookmarkEnd w:id="95"/>
      <w:bookmarkEnd w:id="96"/>
      <w:bookmarkEnd w:id="97"/>
      <w:bookmarkEnd w:id="98"/>
      <w:bookmarkEnd w:id="99"/>
      <w:bookmarkEnd w:id="100"/>
      <w:bookmarkEnd w:id="101"/>
      <w:bookmarkEnd w:id="102"/>
    </w:p>
    <w:p w:rsidR="00B21435" w:rsidRDefault="00F21DBE">
      <w:pPr>
        <w:widowControl/>
        <w:spacing w:line="560" w:lineRule="exact"/>
        <w:ind w:firstLineChars="200" w:firstLine="636"/>
        <w:rPr>
          <w:rFonts w:ascii="仿宋_GB2312" w:eastAsia="仿宋_GB2312" w:hAnsi="Arial" w:cs="Arial"/>
          <w:color w:val="000000"/>
          <w:spacing w:val="-1"/>
          <w:sz w:val="32"/>
          <w:szCs w:val="28"/>
        </w:rPr>
      </w:pPr>
      <w:r>
        <w:rPr>
          <w:rFonts w:ascii="仿宋_GB2312" w:eastAsia="仿宋_GB2312" w:hAnsi="Arial" w:cs="Arial" w:hint="eastAsia"/>
          <w:color w:val="000000"/>
          <w:spacing w:val="-1"/>
          <w:sz w:val="32"/>
          <w:szCs w:val="28"/>
        </w:rPr>
        <w:t>质子方面：1946年首先由Bob Wilson发现质子束在物质中的射程末端有一个尖锐的Bragg峰并提出将质子</w:t>
      </w:r>
      <w:proofErr w:type="gramStart"/>
      <w:r>
        <w:rPr>
          <w:rFonts w:ascii="仿宋_GB2312" w:eastAsia="仿宋_GB2312" w:hAnsi="Arial" w:cs="Arial" w:hint="eastAsia"/>
          <w:color w:val="000000"/>
          <w:spacing w:val="-1"/>
          <w:sz w:val="32"/>
          <w:szCs w:val="28"/>
        </w:rPr>
        <w:t>束应用</w:t>
      </w:r>
      <w:proofErr w:type="gramEnd"/>
      <w:r>
        <w:rPr>
          <w:rFonts w:ascii="仿宋_GB2312" w:eastAsia="仿宋_GB2312" w:hAnsi="Arial" w:cs="Arial" w:hint="eastAsia"/>
          <w:color w:val="000000"/>
          <w:spacing w:val="-1"/>
          <w:sz w:val="32"/>
          <w:szCs w:val="28"/>
        </w:rPr>
        <w:t xml:space="preserve">于医学。1954年Tobias等人在美国加州大学Lawrence </w:t>
      </w:r>
      <w:proofErr w:type="spellStart"/>
      <w:r>
        <w:rPr>
          <w:rFonts w:ascii="仿宋_GB2312" w:eastAsia="仿宋_GB2312" w:hAnsi="Arial" w:cs="Arial" w:hint="eastAsia"/>
          <w:color w:val="000000"/>
          <w:spacing w:val="-1"/>
          <w:sz w:val="32"/>
          <w:szCs w:val="28"/>
        </w:rPr>
        <w:t>Berke</w:t>
      </w:r>
      <w:proofErr w:type="spellEnd"/>
      <w:r>
        <w:rPr>
          <w:rFonts w:ascii="仿宋_GB2312" w:eastAsia="仿宋_GB2312" w:hAnsi="Arial" w:cs="Arial" w:hint="eastAsia"/>
          <w:color w:val="000000"/>
          <w:spacing w:val="-1"/>
          <w:sz w:val="32"/>
          <w:szCs w:val="28"/>
        </w:rPr>
        <w:t>-ley实验室(LBL)进行了第一例高能质子射线的脑下垂体瘤治疗治疗乳腺癌。1957年瑞典的</w:t>
      </w:r>
      <w:proofErr w:type="spellStart"/>
      <w:r>
        <w:rPr>
          <w:rFonts w:ascii="仿宋_GB2312" w:eastAsia="仿宋_GB2312" w:hAnsi="Arial" w:cs="Arial" w:hint="eastAsia"/>
          <w:color w:val="000000"/>
          <w:spacing w:val="-1"/>
          <w:sz w:val="32"/>
          <w:szCs w:val="28"/>
        </w:rPr>
        <w:t>Gustaf</w:t>
      </w:r>
      <w:proofErr w:type="spellEnd"/>
      <w:r>
        <w:rPr>
          <w:rFonts w:ascii="仿宋_GB2312" w:eastAsia="仿宋_GB2312" w:hAnsi="Arial" w:cs="Arial" w:hint="eastAsia"/>
          <w:color w:val="000000"/>
          <w:spacing w:val="-1"/>
          <w:sz w:val="32"/>
          <w:szCs w:val="28"/>
        </w:rPr>
        <w:t xml:space="preserve"> Werner研究所基于Uppsala回旋加速器开展了质子治疗，首次使用了专用的扫描磁铁横向扩展束流配合射程调制器来获得扩展Bragg峰。1961年，美国在</w:t>
      </w:r>
      <w:proofErr w:type="spellStart"/>
      <w:r>
        <w:rPr>
          <w:rFonts w:ascii="仿宋_GB2312" w:eastAsia="仿宋_GB2312" w:hAnsi="Arial" w:cs="Arial" w:hint="eastAsia"/>
          <w:color w:val="000000"/>
          <w:spacing w:val="-1"/>
          <w:sz w:val="32"/>
          <w:szCs w:val="28"/>
        </w:rPr>
        <w:t>Havard</w:t>
      </w:r>
      <w:proofErr w:type="spellEnd"/>
      <w:r>
        <w:rPr>
          <w:rFonts w:ascii="仿宋_GB2312" w:eastAsia="仿宋_GB2312" w:hAnsi="Arial" w:cs="Arial" w:hint="eastAsia"/>
          <w:color w:val="000000"/>
          <w:spacing w:val="-1"/>
          <w:sz w:val="32"/>
          <w:szCs w:val="28"/>
        </w:rPr>
        <w:t xml:space="preserve"> cyclotron上首次使用了被动散射的方法获得束流横向扩展，还使用了患者特异的组织补偿器。此后，在前苏联、日本和瑞士等国家的核物理研</w:t>
      </w:r>
      <w:r>
        <w:rPr>
          <w:rFonts w:ascii="仿宋_GB2312" w:eastAsia="仿宋_GB2312" w:hAnsi="Arial" w:cs="Arial" w:hint="eastAsia"/>
          <w:color w:val="000000"/>
          <w:spacing w:val="-1"/>
          <w:sz w:val="32"/>
          <w:szCs w:val="28"/>
        </w:rPr>
        <w:lastRenderedPageBreak/>
        <w:t>究所纷纷建立了水平质子</w:t>
      </w:r>
      <w:proofErr w:type="gramStart"/>
      <w:r>
        <w:rPr>
          <w:rFonts w:ascii="仿宋_GB2312" w:eastAsia="仿宋_GB2312" w:hAnsi="Arial" w:cs="Arial" w:hint="eastAsia"/>
          <w:color w:val="000000"/>
          <w:spacing w:val="-1"/>
          <w:sz w:val="32"/>
          <w:szCs w:val="28"/>
        </w:rPr>
        <w:t>束治疗</w:t>
      </w:r>
      <w:proofErr w:type="gramEnd"/>
      <w:r>
        <w:rPr>
          <w:rFonts w:ascii="仿宋_GB2312" w:eastAsia="仿宋_GB2312" w:hAnsi="Arial" w:cs="Arial" w:hint="eastAsia"/>
          <w:color w:val="000000"/>
          <w:spacing w:val="-1"/>
          <w:sz w:val="32"/>
          <w:szCs w:val="28"/>
        </w:rPr>
        <w:t>装置。1988年，美国</w:t>
      </w:r>
      <w:r>
        <w:rPr>
          <w:rFonts w:ascii="仿宋_GB2312" w:eastAsia="仿宋_GB2312" w:hAnsi="Arial" w:cs="Arial"/>
          <w:color w:val="000000"/>
          <w:spacing w:val="-1"/>
          <w:sz w:val="32"/>
          <w:szCs w:val="28"/>
        </w:rPr>
        <w:t>洛马林达大学质子治疗中心(LLUMC)</w:t>
      </w:r>
      <w:r>
        <w:rPr>
          <w:rFonts w:ascii="仿宋_GB2312" w:eastAsia="仿宋_GB2312" w:hAnsi="Arial" w:cs="Arial" w:hint="eastAsia"/>
          <w:color w:val="000000"/>
          <w:spacing w:val="-1"/>
          <w:sz w:val="32"/>
          <w:szCs w:val="28"/>
        </w:rPr>
        <w:t>成功通过FDA审查，世界上第一台医学专用质子装置批准上市，正式宣告质子放疗进入了医学领域。</w:t>
      </w:r>
    </w:p>
    <w:p w:rsidR="00B21435" w:rsidRDefault="00F21DBE">
      <w:pPr>
        <w:widowControl/>
        <w:spacing w:line="560" w:lineRule="exact"/>
        <w:ind w:firstLineChars="200" w:firstLine="636"/>
        <w:rPr>
          <w:rFonts w:ascii="仿宋_GB2312" w:eastAsia="仿宋_GB2312" w:hAnsi="Arial" w:cs="Arial"/>
          <w:color w:val="000000"/>
          <w:spacing w:val="-1"/>
          <w:sz w:val="32"/>
          <w:szCs w:val="28"/>
        </w:rPr>
      </w:pPr>
      <w:r>
        <w:rPr>
          <w:rFonts w:ascii="仿宋_GB2312" w:eastAsia="仿宋_GB2312" w:hAnsi="Arial" w:cs="Arial" w:hint="eastAsia"/>
          <w:color w:val="000000"/>
          <w:spacing w:val="-1"/>
          <w:sz w:val="32"/>
          <w:szCs w:val="28"/>
        </w:rPr>
        <w:t>从投入使用的国家看，美国以39%占据榜首，日本和德国紧随其后，其他13个国家中发达国家与发展中国家各半。目前，全球质子重离子中心总数突破100家，治疗室超过300间。</w:t>
      </w:r>
    </w:p>
    <w:p w:rsidR="00B21435" w:rsidRDefault="00F21DBE">
      <w:pPr>
        <w:widowControl/>
        <w:spacing w:line="560" w:lineRule="exact"/>
        <w:ind w:firstLineChars="200" w:firstLine="636"/>
        <w:rPr>
          <w:rFonts w:ascii="仿宋_GB2312" w:eastAsia="仿宋_GB2312" w:hAnsi="Arial" w:cs="Arial"/>
          <w:color w:val="000000"/>
          <w:spacing w:val="-1"/>
          <w:sz w:val="32"/>
          <w:szCs w:val="28"/>
        </w:rPr>
      </w:pPr>
      <w:r>
        <w:rPr>
          <w:rFonts w:ascii="仿宋_GB2312" w:eastAsia="仿宋_GB2312" w:hAnsi="Arial" w:cs="Arial"/>
          <w:color w:val="000000"/>
          <w:spacing w:val="-1"/>
          <w:sz w:val="32"/>
          <w:szCs w:val="28"/>
        </w:rPr>
        <w:t>美国最佳肿瘤医院排名前十的癌症中心里，有7家可进行质子治疗，包括MD安德森癌症中心、美国纪念斯隆凯特琳癌症中心、梅奥诊所，以及专门针对儿童的费城儿童医院、波士顿儿童医院等。</w:t>
      </w:r>
    </w:p>
    <w:p w:rsidR="00B21435" w:rsidRDefault="00F21DBE">
      <w:pPr>
        <w:spacing w:line="560" w:lineRule="exact"/>
        <w:ind w:firstLineChars="200" w:firstLine="636"/>
        <w:rPr>
          <w:rFonts w:ascii="仿宋_GB2312" w:eastAsia="仿宋_GB2312" w:hAnsi="Arial" w:cs="Arial"/>
          <w:color w:val="000000"/>
          <w:spacing w:val="-1"/>
          <w:sz w:val="32"/>
          <w:szCs w:val="28"/>
        </w:rPr>
      </w:pPr>
      <w:r>
        <w:rPr>
          <w:rFonts w:ascii="仿宋_GB2312" w:eastAsia="仿宋_GB2312" w:hAnsi="Arial" w:cs="Arial"/>
          <w:color w:val="000000"/>
          <w:spacing w:val="-1"/>
          <w:sz w:val="32"/>
          <w:szCs w:val="28"/>
        </w:rPr>
        <w:t>日本兵库县立粒子束医疗中心（HIBMC）自2001年起开始进行治疗，是日本最早开展质子</w:t>
      </w:r>
      <w:r>
        <w:rPr>
          <w:rFonts w:ascii="仿宋_GB2312" w:eastAsia="仿宋_GB2312" w:hAnsi="Arial" w:cs="Arial" w:hint="eastAsia"/>
          <w:color w:val="000000"/>
          <w:spacing w:val="-1"/>
          <w:sz w:val="32"/>
          <w:szCs w:val="28"/>
        </w:rPr>
        <w:t>重离子</w:t>
      </w:r>
      <w:r>
        <w:rPr>
          <w:rFonts w:ascii="仿宋_GB2312" w:eastAsia="仿宋_GB2312" w:hAnsi="Arial" w:cs="Arial"/>
          <w:color w:val="000000"/>
          <w:spacing w:val="-1"/>
          <w:sz w:val="32"/>
          <w:szCs w:val="28"/>
        </w:rPr>
        <w:t>治疗的医院之一，中心配置日立公司的同步质子加速器及1间旋转机架（Gantry）治疗室，</w:t>
      </w:r>
      <w:r>
        <w:rPr>
          <w:rFonts w:ascii="仿宋_GB2312" w:eastAsia="仿宋_GB2312" w:hAnsi="Arial" w:cs="Arial" w:hint="eastAsia"/>
          <w:color w:val="000000"/>
          <w:spacing w:val="-1"/>
          <w:sz w:val="32"/>
          <w:szCs w:val="28"/>
        </w:rPr>
        <w:t>截止到2024年3月末，</w:t>
      </w:r>
      <w:r>
        <w:rPr>
          <w:rFonts w:ascii="仿宋_GB2312" w:eastAsia="仿宋_GB2312" w:hAnsi="Arial" w:cs="Arial"/>
          <w:color w:val="000000"/>
          <w:spacing w:val="-1"/>
          <w:sz w:val="32"/>
          <w:szCs w:val="28"/>
        </w:rPr>
        <w:t>已累计治疗超过</w:t>
      </w:r>
      <w:r>
        <w:rPr>
          <w:rFonts w:ascii="仿宋_GB2312" w:eastAsia="仿宋_GB2312" w:hAnsi="Arial" w:cs="Arial" w:hint="eastAsia"/>
          <w:color w:val="000000"/>
          <w:spacing w:val="-1"/>
          <w:sz w:val="32"/>
          <w:szCs w:val="28"/>
        </w:rPr>
        <w:t>1042</w:t>
      </w:r>
      <w:r>
        <w:rPr>
          <w:rFonts w:ascii="仿宋_GB2312" w:eastAsia="仿宋_GB2312" w:hAnsi="Arial" w:cs="Arial"/>
          <w:color w:val="000000"/>
          <w:spacing w:val="-1"/>
          <w:sz w:val="32"/>
          <w:szCs w:val="28"/>
        </w:rPr>
        <w:t>0名患者。</w:t>
      </w:r>
    </w:p>
    <w:p w:rsidR="00B21435" w:rsidRDefault="00F21DBE">
      <w:pPr>
        <w:spacing w:line="560" w:lineRule="exact"/>
        <w:ind w:firstLineChars="200" w:firstLine="636"/>
        <w:rPr>
          <w:rFonts w:ascii="仿宋_GB2312" w:eastAsia="仿宋_GB2312" w:hAnsi="Arial" w:cs="Arial"/>
          <w:color w:val="000000"/>
          <w:spacing w:val="-1"/>
          <w:sz w:val="32"/>
          <w:szCs w:val="28"/>
        </w:rPr>
      </w:pPr>
      <w:r>
        <w:rPr>
          <w:rFonts w:ascii="仿宋_GB2312" w:eastAsia="仿宋_GB2312" w:hAnsi="Arial" w:cs="Arial" w:hint="eastAsia"/>
          <w:color w:val="000000"/>
          <w:spacing w:val="-1"/>
          <w:sz w:val="32"/>
          <w:szCs w:val="28"/>
        </w:rPr>
        <w:t>重离子方面：1967年Tobias和Todd首次建议将重离子运用于放射治疗临床试验。1975年，LBL将重离子直线加速器作为注入器和同步加速器BEVATRON组合构成高能同步加速器装置BEVALAC。同年，LBL基于此研究装置开始开展肿瘤重离子临床治疗试验研究。截止1992年BEVALAC加速器关闭，LBL采用重离子（氖离子）放疗方法共治疗了433例肿瘤患者。</w:t>
      </w:r>
    </w:p>
    <w:p w:rsidR="00B21435" w:rsidRDefault="00F21DBE">
      <w:pPr>
        <w:spacing w:line="560" w:lineRule="exact"/>
        <w:ind w:firstLineChars="200" w:firstLine="636"/>
        <w:rPr>
          <w:rFonts w:ascii="仿宋_GB2312" w:eastAsia="仿宋_GB2312" w:hAnsi="Arial" w:cs="Arial"/>
          <w:color w:val="000000"/>
          <w:spacing w:val="-1"/>
          <w:sz w:val="32"/>
          <w:szCs w:val="28"/>
        </w:rPr>
      </w:pPr>
      <w:r>
        <w:rPr>
          <w:rFonts w:ascii="仿宋_GB2312" w:eastAsia="仿宋_GB2312" w:hAnsi="Arial" w:cs="Arial" w:hint="eastAsia"/>
          <w:color w:val="000000"/>
          <w:spacing w:val="-1"/>
          <w:sz w:val="32"/>
          <w:szCs w:val="28"/>
        </w:rPr>
        <w:lastRenderedPageBreak/>
        <w:t>1993年，日本在国立放射医学综合研究所(NIRS)建成一台重离子医用加速器(HIMAC)，专门用于重离子束治癌及放射医学研究。1994年6月21日，第一批病人在HIMAC接受了碳离子束治疗。截至2023年12月，HIMAC总共治疗15500人。日本重离子治癌的进展，从收治的病例和癌症的控制率分布方面表明了重离子束治癌的优越性。</w:t>
      </w:r>
    </w:p>
    <w:p w:rsidR="00B21435" w:rsidRDefault="00F21DBE">
      <w:pPr>
        <w:spacing w:line="560" w:lineRule="exact"/>
        <w:ind w:firstLineChars="200" w:firstLine="636"/>
        <w:rPr>
          <w:rFonts w:ascii="仿宋_GB2312" w:eastAsia="仿宋_GB2312" w:hAnsi="Arial" w:cs="Arial"/>
          <w:color w:val="000000"/>
          <w:spacing w:val="-1"/>
          <w:sz w:val="32"/>
          <w:szCs w:val="28"/>
        </w:rPr>
      </w:pPr>
      <w:r>
        <w:rPr>
          <w:rFonts w:ascii="仿宋_GB2312" w:eastAsia="仿宋_GB2312" w:hAnsi="Arial" w:cs="Arial" w:hint="eastAsia"/>
          <w:color w:val="000000"/>
          <w:spacing w:val="-1"/>
          <w:sz w:val="32"/>
          <w:szCs w:val="28"/>
        </w:rPr>
        <w:t>兵库县离子束医疗中心（HIBMC）2001年成立，是全球第一个质子、重离子治疗兼有的医院。该院2003年开始质子束治疗，2005年开始重离子治疗。截至2023年12月，该院碳离子束治疗患者3497例，质子</w:t>
      </w:r>
      <w:proofErr w:type="gramStart"/>
      <w:r>
        <w:rPr>
          <w:rFonts w:ascii="仿宋_GB2312" w:eastAsia="仿宋_GB2312" w:hAnsi="Arial" w:cs="Arial" w:hint="eastAsia"/>
          <w:color w:val="000000"/>
          <w:spacing w:val="-1"/>
          <w:sz w:val="32"/>
          <w:szCs w:val="28"/>
        </w:rPr>
        <w:t>束治疗</w:t>
      </w:r>
      <w:proofErr w:type="gramEnd"/>
      <w:r>
        <w:rPr>
          <w:rFonts w:ascii="仿宋_GB2312" w:eastAsia="仿宋_GB2312" w:hAnsi="Arial" w:cs="Arial" w:hint="eastAsia"/>
          <w:color w:val="000000"/>
          <w:spacing w:val="-1"/>
          <w:sz w:val="32"/>
          <w:szCs w:val="28"/>
        </w:rPr>
        <w:t>患者6854例。</w:t>
      </w:r>
    </w:p>
    <w:p w:rsidR="00B21435" w:rsidRDefault="00F21DBE">
      <w:pPr>
        <w:spacing w:line="560" w:lineRule="exact"/>
        <w:ind w:firstLineChars="200" w:firstLine="636"/>
        <w:rPr>
          <w:rFonts w:ascii="仿宋_GB2312" w:eastAsia="仿宋_GB2312" w:hAnsi="Arial" w:cs="Arial"/>
          <w:color w:val="000000"/>
          <w:spacing w:val="-1"/>
          <w:sz w:val="32"/>
          <w:szCs w:val="28"/>
        </w:rPr>
      </w:pPr>
      <w:r>
        <w:rPr>
          <w:rFonts w:ascii="仿宋_GB2312" w:eastAsia="仿宋_GB2312" w:hAnsi="Arial" w:cs="Arial" w:hint="eastAsia"/>
          <w:color w:val="000000"/>
          <w:spacing w:val="-1"/>
          <w:sz w:val="32"/>
          <w:szCs w:val="28"/>
        </w:rPr>
        <w:t>此外，截至2023年12月，日本国内多台重离子装置例如群马大学重离子束医学中心（GHMC）、佐贺重离子治疗中心（SAGA HIMAT）、神奈川癌症中心（</w:t>
      </w:r>
      <w:proofErr w:type="spellStart"/>
      <w:r>
        <w:rPr>
          <w:rFonts w:ascii="仿宋_GB2312" w:eastAsia="仿宋_GB2312" w:hAnsi="Arial" w:cs="Arial" w:hint="eastAsia"/>
          <w:color w:val="000000"/>
          <w:spacing w:val="-1"/>
          <w:sz w:val="32"/>
          <w:szCs w:val="28"/>
        </w:rPr>
        <w:t>i</w:t>
      </w:r>
      <w:proofErr w:type="spellEnd"/>
      <w:r>
        <w:rPr>
          <w:rFonts w:ascii="仿宋_GB2312" w:eastAsia="仿宋_GB2312" w:hAnsi="Arial" w:cs="Arial" w:hint="eastAsia"/>
          <w:color w:val="000000"/>
          <w:spacing w:val="-1"/>
          <w:sz w:val="32"/>
          <w:szCs w:val="28"/>
        </w:rPr>
        <w:t>-ROCK）、大阪重离子中心（Osaka HIMAK）、日本山形大学（</w:t>
      </w:r>
      <w:proofErr w:type="spellStart"/>
      <w:r>
        <w:rPr>
          <w:rFonts w:ascii="仿宋_GB2312" w:eastAsia="仿宋_GB2312" w:hAnsi="Arial" w:cs="Arial" w:hint="eastAsia"/>
          <w:color w:val="000000"/>
          <w:spacing w:val="-1"/>
          <w:sz w:val="32"/>
          <w:szCs w:val="28"/>
        </w:rPr>
        <w:t>Yamagama</w:t>
      </w:r>
      <w:proofErr w:type="spellEnd"/>
      <w:r>
        <w:rPr>
          <w:rFonts w:ascii="仿宋_GB2312" w:eastAsia="仿宋_GB2312" w:hAnsi="Arial" w:cs="Arial" w:hint="eastAsia"/>
          <w:color w:val="000000"/>
          <w:spacing w:val="-1"/>
          <w:sz w:val="32"/>
          <w:szCs w:val="28"/>
        </w:rPr>
        <w:t>）医学部东日本重离子中心（EJ-HIC）分别总共治疗癌症患者6939人、8500人、3100人、3500人、583人。</w:t>
      </w:r>
    </w:p>
    <w:p w:rsidR="00B21435" w:rsidRDefault="00F21DBE">
      <w:pPr>
        <w:widowControl/>
        <w:spacing w:line="560" w:lineRule="exact"/>
        <w:ind w:firstLineChars="200" w:firstLine="636"/>
        <w:rPr>
          <w:rFonts w:ascii="仿宋_GB2312" w:eastAsia="仿宋_GB2312" w:hAnsi="Arial" w:cs="Arial"/>
          <w:color w:val="000000"/>
          <w:spacing w:val="-1"/>
          <w:sz w:val="32"/>
          <w:szCs w:val="28"/>
        </w:rPr>
      </w:pPr>
      <w:r>
        <w:rPr>
          <w:rFonts w:ascii="仿宋_GB2312" w:eastAsia="仿宋_GB2312" w:hAnsi="Arial" w:cs="Arial" w:hint="eastAsia"/>
          <w:color w:val="000000"/>
          <w:spacing w:val="-1"/>
          <w:sz w:val="32"/>
          <w:szCs w:val="28"/>
        </w:rPr>
        <w:t>1997年12月，德国重离子研究中心(GSI)、海德堡大学、德国癌症研究中心(DKFZ)以及杜塞尔多夫研究中心合作进行了第一例颅底瘤患者的碳离子束治疗。2001年德国政府批准了海德堡离子治疗中心(HIT)项目，截至2023年12月，总共治疗患者5233人。在欧洲，除了德国外，还有瑞士的PSI-PROSCAN，意大利Roma-TOP、LIBO、CNAO，奥地利的</w:t>
      </w:r>
      <w:proofErr w:type="spellStart"/>
      <w:r>
        <w:rPr>
          <w:rFonts w:ascii="仿宋_GB2312" w:eastAsia="仿宋_GB2312" w:hAnsi="Arial" w:cs="Arial" w:hint="eastAsia"/>
          <w:color w:val="000000"/>
          <w:spacing w:val="-1"/>
          <w:sz w:val="32"/>
          <w:szCs w:val="28"/>
        </w:rPr>
        <w:t>MedAustron</w:t>
      </w:r>
      <w:proofErr w:type="spellEnd"/>
      <w:r>
        <w:rPr>
          <w:rFonts w:ascii="仿宋_GB2312" w:eastAsia="仿宋_GB2312" w:hAnsi="Arial" w:cs="Arial" w:hint="eastAsia"/>
          <w:color w:val="000000"/>
          <w:spacing w:val="-1"/>
          <w:sz w:val="32"/>
          <w:szCs w:val="28"/>
        </w:rPr>
        <w:t>，瑞典的</w:t>
      </w:r>
      <w:proofErr w:type="spellStart"/>
      <w:r>
        <w:rPr>
          <w:rFonts w:ascii="仿宋_GB2312" w:eastAsia="仿宋_GB2312" w:hAnsi="Arial" w:cs="Arial" w:hint="eastAsia"/>
          <w:color w:val="000000"/>
          <w:spacing w:val="-1"/>
          <w:sz w:val="32"/>
          <w:szCs w:val="28"/>
        </w:rPr>
        <w:t>Karolinska</w:t>
      </w:r>
      <w:proofErr w:type="spellEnd"/>
      <w:r>
        <w:rPr>
          <w:rFonts w:ascii="仿宋_GB2312" w:eastAsia="仿宋_GB2312" w:hAnsi="Arial" w:cs="Arial" w:hint="eastAsia"/>
          <w:color w:val="000000"/>
          <w:spacing w:val="-1"/>
          <w:sz w:val="32"/>
          <w:szCs w:val="28"/>
        </w:rPr>
        <w:t>都在准备或已经建造了重离子治疗中心。</w:t>
      </w:r>
    </w:p>
    <w:p w:rsidR="00B21435" w:rsidRDefault="00F21DBE">
      <w:pPr>
        <w:pStyle w:val="4"/>
        <w:keepNext w:val="0"/>
        <w:ind w:firstLine="640"/>
      </w:pPr>
      <w:bookmarkStart w:id="103" w:name="_Toc32411"/>
      <w:bookmarkStart w:id="104" w:name="_Toc10008"/>
      <w:bookmarkStart w:id="105" w:name="_Toc19995"/>
      <w:bookmarkStart w:id="106" w:name="_Toc7981"/>
      <w:bookmarkStart w:id="107" w:name="_Toc29583"/>
      <w:bookmarkStart w:id="108" w:name="_Toc20190"/>
      <w:bookmarkStart w:id="109" w:name="_Toc9880"/>
      <w:bookmarkStart w:id="110" w:name="_Toc17501"/>
      <w:bookmarkStart w:id="111" w:name="_Toc27995"/>
      <w:bookmarkStart w:id="112" w:name="_Toc9489"/>
      <w:bookmarkStart w:id="113" w:name="_Toc3856"/>
      <w:bookmarkStart w:id="114" w:name="_Toc2917"/>
      <w:r>
        <w:rPr>
          <w:rFonts w:hint="eastAsia"/>
        </w:rPr>
        <w:t>2.</w:t>
      </w:r>
      <w:r>
        <w:rPr>
          <w:rFonts w:hint="eastAsia"/>
        </w:rPr>
        <w:t>国内上市情况</w:t>
      </w:r>
      <w:bookmarkEnd w:id="103"/>
      <w:bookmarkEnd w:id="104"/>
      <w:bookmarkEnd w:id="105"/>
      <w:bookmarkEnd w:id="106"/>
      <w:bookmarkEnd w:id="107"/>
      <w:bookmarkEnd w:id="108"/>
      <w:bookmarkEnd w:id="109"/>
      <w:bookmarkEnd w:id="110"/>
      <w:bookmarkEnd w:id="111"/>
      <w:bookmarkEnd w:id="112"/>
      <w:bookmarkEnd w:id="113"/>
      <w:bookmarkEnd w:id="114"/>
    </w:p>
    <w:p w:rsidR="00B21435" w:rsidRDefault="00F21DBE">
      <w:pPr>
        <w:spacing w:line="560" w:lineRule="exact"/>
        <w:ind w:firstLineChars="200" w:firstLine="636"/>
        <w:rPr>
          <w:rFonts w:ascii="仿宋_GB2312" w:eastAsia="仿宋_GB2312" w:hAnsi="Arial" w:cs="Arial"/>
          <w:color w:val="000000"/>
          <w:spacing w:val="-1"/>
          <w:sz w:val="32"/>
          <w:szCs w:val="28"/>
        </w:rPr>
      </w:pPr>
      <w:r>
        <w:rPr>
          <w:rFonts w:ascii="仿宋_GB2312" w:eastAsia="仿宋_GB2312" w:hAnsi="Arial" w:cs="Arial" w:hint="eastAsia"/>
          <w:color w:val="000000"/>
          <w:spacing w:val="-1"/>
          <w:sz w:val="32"/>
          <w:szCs w:val="28"/>
        </w:rPr>
        <w:lastRenderedPageBreak/>
        <w:t>相比发达国家，我国涉足碳离子/质子治疗研究领域较晚。1989年，中国科学院近代物理研究所在兰州建立了重离子研究设施(HIRFL)，并在1995年开始了碳离子治疗肿瘤的基础研究工作。为了实现从科研到临床应用的转变，在2006年到2013年之间，近代物理研究所共对213例患者进行了碳离子放射治疗，在几种类型的肿瘤中取得了令人满意的疗效和</w:t>
      </w:r>
      <w:proofErr w:type="gramStart"/>
      <w:r>
        <w:rPr>
          <w:rFonts w:ascii="仿宋_GB2312" w:eastAsia="仿宋_GB2312" w:hAnsi="Arial" w:cs="Arial" w:hint="eastAsia"/>
          <w:color w:val="000000"/>
          <w:spacing w:val="-1"/>
          <w:sz w:val="32"/>
          <w:szCs w:val="28"/>
        </w:rPr>
        <w:t>可</w:t>
      </w:r>
      <w:proofErr w:type="gramEnd"/>
      <w:r>
        <w:rPr>
          <w:rFonts w:ascii="仿宋_GB2312" w:eastAsia="仿宋_GB2312" w:hAnsi="Arial" w:cs="Arial" w:hint="eastAsia"/>
          <w:color w:val="000000"/>
          <w:spacing w:val="-1"/>
          <w:sz w:val="32"/>
          <w:szCs w:val="28"/>
        </w:rPr>
        <w:t>接受的不良反应。</w:t>
      </w:r>
    </w:p>
    <w:p w:rsidR="00B21435" w:rsidRDefault="00F21DBE">
      <w:pPr>
        <w:spacing w:line="560" w:lineRule="exact"/>
        <w:ind w:firstLineChars="200" w:firstLine="636"/>
        <w:rPr>
          <w:rFonts w:ascii="仿宋_GB2312" w:eastAsia="仿宋_GB2312" w:hAnsi="Arial" w:cs="Arial"/>
          <w:color w:val="000000"/>
          <w:spacing w:val="-1"/>
          <w:sz w:val="32"/>
          <w:szCs w:val="28"/>
        </w:rPr>
      </w:pPr>
      <w:r>
        <w:rPr>
          <w:rFonts w:ascii="仿宋_GB2312" w:eastAsia="仿宋_GB2312" w:hAnsi="Arial" w:cs="Arial" w:hint="eastAsia"/>
          <w:color w:val="000000"/>
          <w:spacing w:val="-1"/>
          <w:sz w:val="32"/>
          <w:szCs w:val="28"/>
        </w:rPr>
        <w:t>2004年，万杰医院治疗中心成为中国第一家开展质子治疗的医院。该院引进IBA质子治疗系统，目前已治疗了4000余例患者。</w:t>
      </w:r>
    </w:p>
    <w:p w:rsidR="00B21435" w:rsidRDefault="00F21DBE">
      <w:pPr>
        <w:spacing w:line="560" w:lineRule="exact"/>
        <w:ind w:firstLineChars="200" w:firstLine="596"/>
        <w:rPr>
          <w:rFonts w:ascii="仿宋_GB2312" w:eastAsia="仿宋_GB2312" w:hAnsi="Arial" w:cs="Arial"/>
          <w:color w:val="000000"/>
          <w:spacing w:val="-1"/>
          <w:sz w:val="32"/>
          <w:szCs w:val="28"/>
        </w:rPr>
      </w:pPr>
      <w:r>
        <w:rPr>
          <w:rFonts w:ascii="仿宋_GB2312" w:eastAsia="仿宋_GB2312" w:hAnsi="Arial" w:cs="Arial" w:hint="eastAsia"/>
          <w:color w:val="000000"/>
          <w:spacing w:val="-1"/>
          <w:sz w:val="30"/>
          <w:szCs w:val="30"/>
        </w:rPr>
        <w:t>上海市质子重离子医院(SPHIC)安装了德国西门子制造的IONTRIS设备，是国内首家、全球第三家同时拥有质子和重离子放射治疗技术的医疗机构。2015年5月8日，医院正式开业。截至2024年9月1日，上海质子重离子医院累计治疗出院患者7197例，其中使用重离子或重离子联合质子治疗的患者5470例。</w:t>
      </w:r>
    </w:p>
    <w:p w:rsidR="00B21435" w:rsidRDefault="00F21DBE">
      <w:pPr>
        <w:spacing w:line="560" w:lineRule="exact"/>
        <w:ind w:firstLineChars="200" w:firstLine="636"/>
        <w:rPr>
          <w:rFonts w:ascii="仿宋_GB2312" w:eastAsia="仿宋_GB2312" w:hAnsi="Arial" w:cs="Arial"/>
          <w:color w:val="000000"/>
          <w:spacing w:val="-1"/>
          <w:sz w:val="32"/>
          <w:szCs w:val="28"/>
        </w:rPr>
      </w:pPr>
      <w:r>
        <w:rPr>
          <w:rFonts w:ascii="仿宋_GB2312" w:eastAsia="仿宋_GB2312" w:hAnsi="Arial" w:cs="Arial" w:hint="eastAsia"/>
          <w:color w:val="000000"/>
          <w:spacing w:val="-1"/>
          <w:sz w:val="32"/>
          <w:szCs w:val="28"/>
        </w:rPr>
        <w:t>上海</w:t>
      </w:r>
      <w:r>
        <w:rPr>
          <w:rFonts w:eastAsia="仿宋_GB2312" w:cs="Calibri" w:hint="eastAsia"/>
          <w:color w:val="000000"/>
          <w:spacing w:val="-1"/>
          <w:sz w:val="32"/>
          <w:szCs w:val="28"/>
        </w:rPr>
        <w:t>交通大学医学院附属瑞金医院</w:t>
      </w:r>
      <w:r>
        <w:rPr>
          <w:rFonts w:ascii="仿宋_GB2312" w:eastAsia="仿宋_GB2312" w:hAnsi="Arial" w:cs="Arial" w:hint="eastAsia"/>
          <w:color w:val="000000"/>
          <w:spacing w:val="-1"/>
          <w:sz w:val="32"/>
          <w:szCs w:val="28"/>
        </w:rPr>
        <w:t>的质子治疗装置由中国科学院上海应用物理研究所、中国科学院上海高等研究院和上海艾普强粒子设备有限公司联合研制，瑞金医院负责临床应用与相关研究，该产品于2022年9月26日获批上市，也是国内首个获得注册许可证的质子治疗系统，上海</w:t>
      </w:r>
      <w:r>
        <w:rPr>
          <w:rFonts w:eastAsia="仿宋_GB2312" w:cs="Calibri" w:hint="eastAsia"/>
          <w:color w:val="000000"/>
          <w:spacing w:val="-1"/>
          <w:sz w:val="32"/>
          <w:szCs w:val="28"/>
        </w:rPr>
        <w:t>交通大学医学院附属瑞金医院</w:t>
      </w:r>
      <w:r>
        <w:rPr>
          <w:rFonts w:ascii="仿宋_GB2312" w:eastAsia="仿宋_GB2312" w:hAnsi="Arial" w:cs="Arial" w:hint="eastAsia"/>
          <w:color w:val="000000"/>
          <w:spacing w:val="-1"/>
          <w:sz w:val="32"/>
          <w:szCs w:val="28"/>
        </w:rPr>
        <w:t>肿瘤质子中心于2023年7月19日开始试运行，治疗收费标准获批后，于2023年11月24日开始正式运营，截止2024年7月31日，已累计治疗出院患者超过200余例。</w:t>
      </w:r>
    </w:p>
    <w:p w:rsidR="00B21435" w:rsidRDefault="00F21DBE">
      <w:pPr>
        <w:widowControl/>
        <w:spacing w:line="560" w:lineRule="exact"/>
        <w:ind w:firstLineChars="200" w:firstLine="636"/>
        <w:rPr>
          <w:rFonts w:ascii="仿宋_GB2312" w:eastAsia="仿宋_GB2312" w:hAnsi="Arial" w:cs="Arial"/>
          <w:color w:val="000000"/>
          <w:spacing w:val="-1"/>
          <w:sz w:val="32"/>
          <w:szCs w:val="28"/>
        </w:rPr>
      </w:pPr>
      <w:r>
        <w:rPr>
          <w:rFonts w:ascii="仿宋_GB2312" w:eastAsia="仿宋_GB2312" w:hAnsi="Arial" w:cs="Arial" w:hint="eastAsia"/>
          <w:color w:val="000000"/>
          <w:spacing w:val="-1"/>
          <w:sz w:val="32"/>
          <w:szCs w:val="28"/>
        </w:rPr>
        <w:lastRenderedPageBreak/>
        <w:t>中国科学技术大学附属第一医院离子医学中心（合肥离子医学中心）以“引进+自主研发”的形式，在一期、二期项目现场配备了2台超导质子治疗系统：一期是由美国瓦里安公司提供质子加速器。2021年12月30日，合肥离子医学中心开始质子治疗系统首例临床试验，2022年8月10日，完成47例肿瘤患者的质子治疗临床试验，2024年4月正式开诊。截至2024年9月，已累计治疗出院患者100例；二期是由合肥中科离子医学技术装备有限公司提供的超导质子治疗系统。目前该产品已顺利完成医院现场交付及整机安装调试工作，即将完成注册检验后正式进入临床试验阶段。</w:t>
      </w:r>
    </w:p>
    <w:p w:rsidR="00B21435" w:rsidRDefault="00F21DBE">
      <w:pPr>
        <w:spacing w:line="560" w:lineRule="exact"/>
        <w:ind w:firstLineChars="200" w:firstLine="636"/>
        <w:rPr>
          <w:rFonts w:ascii="仿宋_GB2312" w:eastAsia="仿宋_GB2312" w:hAnsi="Arial" w:cs="Arial"/>
          <w:color w:val="000000"/>
          <w:spacing w:val="-1"/>
          <w:sz w:val="32"/>
          <w:szCs w:val="28"/>
        </w:rPr>
      </w:pPr>
      <w:r>
        <w:rPr>
          <w:rFonts w:ascii="仿宋_GB2312" w:eastAsia="仿宋_GB2312" w:hAnsi="Arial" w:cs="Arial" w:hint="eastAsia"/>
          <w:color w:val="000000"/>
          <w:spacing w:val="-1"/>
          <w:sz w:val="32"/>
          <w:szCs w:val="28"/>
        </w:rPr>
        <w:t>山东省肿瘤医院质子中心由瓦里安提供质子加速器。2022年7月13日，质子治疗系统启动临床试验。2023年4月，完成47例患者临床试验，2023年11月1日投入临床应用，截至2024年5月，已治疗450余例患者。</w:t>
      </w:r>
    </w:p>
    <w:p w:rsidR="00B21435" w:rsidRDefault="00F21DBE">
      <w:pPr>
        <w:spacing w:line="560" w:lineRule="exact"/>
        <w:ind w:firstLineChars="200" w:firstLine="636"/>
        <w:rPr>
          <w:rFonts w:ascii="仿宋_GB2312" w:eastAsia="仿宋_GB2312" w:hAnsi="Arial" w:cs="Arial"/>
          <w:color w:val="000000"/>
          <w:spacing w:val="-1"/>
          <w:sz w:val="32"/>
          <w:szCs w:val="28"/>
        </w:rPr>
      </w:pPr>
      <w:r>
        <w:rPr>
          <w:rFonts w:ascii="仿宋_GB2312" w:eastAsia="仿宋_GB2312" w:hAnsi="Arial" w:cs="Arial" w:hint="eastAsia"/>
          <w:color w:val="000000"/>
          <w:spacing w:val="-1"/>
          <w:sz w:val="32"/>
          <w:szCs w:val="28"/>
        </w:rPr>
        <w:t>兰州泰基公司在武威市建造了一台用于临床的重离子治疗示范装置，即碳离子治疗系统(HIMM)。HIMM是我国第一台具有自主知识产权的重离子治疗装置。2019年，HIMM完成了47例患者的临床试验。治疗结束后90天，局部控制率为100%，客观反应率为28.26%。根据不良事件评价标准(CTCAE)5.0版评估，未发现</w:t>
      </w:r>
      <w:r>
        <w:rPr>
          <w:rFonts w:ascii="仿宋_GB2312" w:eastAsia="仿宋_GB2312" w:hAnsi="仿宋_GB2312" w:cs="仿宋_GB2312" w:hint="eastAsia"/>
          <w:color w:val="000000"/>
          <w:spacing w:val="-1"/>
          <w:sz w:val="32"/>
          <w:szCs w:val="28"/>
        </w:rPr>
        <w:t>Ⅲ级及</w:t>
      </w:r>
      <w:r>
        <w:rPr>
          <w:rFonts w:ascii="仿宋_GB2312" w:eastAsia="仿宋_GB2312" w:hAnsi="Arial" w:cs="Arial" w:hint="eastAsia"/>
          <w:color w:val="000000"/>
          <w:spacing w:val="-1"/>
          <w:sz w:val="32"/>
          <w:szCs w:val="28"/>
        </w:rPr>
        <w:t>以上不良事件发生。</w:t>
      </w:r>
      <w:r>
        <w:rPr>
          <w:rFonts w:ascii="仿宋_GB2312" w:eastAsia="仿宋_GB2312" w:hAnsi="Arial" w:cs="Arial" w:hint="eastAsia"/>
          <w:spacing w:val="-1"/>
          <w:sz w:val="32"/>
          <w:szCs w:val="28"/>
        </w:rPr>
        <w:t>截至2024年11月，已累计治疗出院患者超过1600例</w:t>
      </w:r>
      <w:r>
        <w:rPr>
          <w:rFonts w:ascii="仿宋_GB2312" w:eastAsia="仿宋_GB2312" w:hAnsi="Arial" w:cs="Arial" w:hint="eastAsia"/>
          <w:color w:val="000000"/>
          <w:spacing w:val="-1"/>
          <w:sz w:val="32"/>
          <w:szCs w:val="28"/>
        </w:rPr>
        <w:t>。</w:t>
      </w:r>
    </w:p>
    <w:p w:rsidR="00B21435" w:rsidRDefault="00F21DBE">
      <w:pPr>
        <w:widowControl/>
        <w:spacing w:line="560" w:lineRule="exact"/>
        <w:ind w:firstLineChars="200" w:firstLine="636"/>
        <w:rPr>
          <w:rFonts w:ascii="仿宋_GB2312" w:eastAsia="仿宋_GB2312" w:hAnsi="Arial" w:cs="Arial"/>
          <w:color w:val="000000"/>
          <w:spacing w:val="-1"/>
          <w:sz w:val="32"/>
          <w:szCs w:val="28"/>
        </w:rPr>
      </w:pPr>
      <w:r>
        <w:rPr>
          <w:rFonts w:ascii="仿宋_GB2312" w:eastAsia="仿宋_GB2312" w:hAnsi="Arial" w:cs="Arial" w:hint="eastAsia"/>
          <w:color w:val="000000"/>
          <w:spacing w:val="-1"/>
          <w:sz w:val="32"/>
          <w:szCs w:val="28"/>
        </w:rPr>
        <w:t>目前</w:t>
      </w:r>
      <w:r>
        <w:rPr>
          <w:rFonts w:ascii="仿宋_GB2312" w:eastAsia="仿宋_GB2312" w:hAnsi="Arial" w:cs="Arial"/>
          <w:color w:val="000000"/>
          <w:spacing w:val="-1"/>
          <w:sz w:val="32"/>
          <w:szCs w:val="28"/>
        </w:rPr>
        <w:t>兰州泰基公司承接了武威、兰州、莆田、武汉、杭州、南京、长春、济南等多套</w:t>
      </w:r>
      <w:r>
        <w:rPr>
          <w:rFonts w:ascii="仿宋_GB2312" w:eastAsia="仿宋_GB2312" w:hAnsi="Arial" w:cs="Arial" w:hint="eastAsia"/>
          <w:color w:val="000000"/>
          <w:spacing w:val="-1"/>
          <w:sz w:val="32"/>
          <w:szCs w:val="28"/>
        </w:rPr>
        <w:t>重离子</w:t>
      </w:r>
      <w:r>
        <w:rPr>
          <w:rFonts w:ascii="仿宋_GB2312" w:eastAsia="仿宋_GB2312" w:hAnsi="Arial" w:cs="Arial"/>
          <w:color w:val="000000"/>
          <w:spacing w:val="-1"/>
          <w:sz w:val="32"/>
          <w:szCs w:val="28"/>
        </w:rPr>
        <w:t>装置的建设任务。</w:t>
      </w:r>
      <w:r>
        <w:rPr>
          <w:rFonts w:ascii="仿宋_GB2312" w:eastAsia="仿宋_GB2312" w:hAnsi="Arial" w:cs="Arial" w:hint="eastAsia"/>
          <w:color w:val="000000"/>
          <w:spacing w:val="-1"/>
          <w:sz w:val="32"/>
          <w:szCs w:val="28"/>
        </w:rPr>
        <w:t>除了甘肃省武威肿瘤医院重离子中心已于2020年3月26日正式</w:t>
      </w:r>
      <w:r>
        <w:rPr>
          <w:rFonts w:ascii="仿宋_GB2312" w:eastAsia="仿宋_GB2312" w:hAnsi="Arial" w:cs="Arial" w:hint="eastAsia"/>
          <w:color w:val="000000"/>
          <w:spacing w:val="-1"/>
          <w:sz w:val="32"/>
          <w:szCs w:val="28"/>
        </w:rPr>
        <w:lastRenderedPageBreak/>
        <w:t>开业运营外，兰州重离子医院已取得注册证，并于2024年8月15日正式接诊；福建省莆田市妈祖健康城质子重离子医院项目、湖北省武汉市汉南区人民医院项目和浙江省肿瘤医院项目已取得注册证；江苏省肿瘤医院项目、吉林长春重离子治疗中心项目、山东省肿瘤医院项目正在按计划进行土建工作。</w:t>
      </w:r>
    </w:p>
    <w:p w:rsidR="00B21435" w:rsidRDefault="00F21DBE">
      <w:pPr>
        <w:spacing w:line="560" w:lineRule="exact"/>
        <w:ind w:firstLineChars="200" w:firstLine="640"/>
        <w:outlineLvl w:val="2"/>
        <w:rPr>
          <w:rFonts w:ascii="楷体" w:eastAsia="楷体" w:hAnsi="楷体" w:cs="楷体"/>
          <w:sz w:val="32"/>
          <w:szCs w:val="32"/>
        </w:rPr>
      </w:pPr>
      <w:bookmarkStart w:id="115" w:name="_Toc24021"/>
      <w:bookmarkStart w:id="116" w:name="_Toc9630"/>
      <w:bookmarkStart w:id="117" w:name="_Toc23474"/>
      <w:bookmarkStart w:id="118" w:name="_Toc25560"/>
      <w:bookmarkStart w:id="119" w:name="_Toc16268"/>
      <w:bookmarkStart w:id="120" w:name="_Toc23593"/>
      <w:bookmarkStart w:id="121" w:name="_Toc4102"/>
      <w:bookmarkStart w:id="122" w:name="_Toc5407"/>
      <w:bookmarkStart w:id="123" w:name="_Toc12054"/>
      <w:bookmarkStart w:id="124" w:name="_Toc13367"/>
      <w:bookmarkStart w:id="125" w:name="_Toc10808"/>
      <w:bookmarkStart w:id="126" w:name="_Toc26131"/>
      <w:bookmarkStart w:id="127" w:name="_Toc5210"/>
      <w:r>
        <w:rPr>
          <w:rFonts w:ascii="楷体" w:eastAsia="楷体" w:hAnsi="楷体" w:cs="楷体" w:hint="eastAsia"/>
          <w:sz w:val="32"/>
          <w:szCs w:val="32"/>
        </w:rPr>
        <w:t>（六）结构组成</w:t>
      </w:r>
      <w:bookmarkEnd w:id="115"/>
      <w:bookmarkEnd w:id="116"/>
      <w:bookmarkEnd w:id="117"/>
      <w:bookmarkEnd w:id="118"/>
      <w:bookmarkEnd w:id="119"/>
      <w:bookmarkEnd w:id="120"/>
      <w:bookmarkEnd w:id="121"/>
      <w:bookmarkEnd w:id="122"/>
      <w:bookmarkEnd w:id="123"/>
      <w:bookmarkEnd w:id="124"/>
      <w:bookmarkEnd w:id="125"/>
      <w:bookmarkEnd w:id="126"/>
      <w:bookmarkEnd w:id="127"/>
    </w:p>
    <w:p w:rsidR="00B21435" w:rsidRDefault="00F21DBE">
      <w:pPr>
        <w:spacing w:line="560" w:lineRule="exact"/>
        <w:ind w:firstLineChars="200" w:firstLine="636"/>
        <w:rPr>
          <w:rFonts w:ascii="仿宋_GB2312" w:eastAsia="仿宋_GB2312" w:hAnsi="Arial" w:cs="Arial"/>
          <w:kern w:val="0"/>
          <w:sz w:val="32"/>
          <w:szCs w:val="28"/>
        </w:rPr>
      </w:pPr>
      <w:r>
        <w:rPr>
          <w:rFonts w:ascii="仿宋_GB2312" w:eastAsia="仿宋_GB2312" w:hAnsi="Arial" w:cs="Arial" w:hint="eastAsia"/>
          <w:color w:val="000000"/>
          <w:spacing w:val="-1"/>
          <w:sz w:val="32"/>
          <w:szCs w:val="28"/>
        </w:rPr>
        <w:t>碳离子/质子治疗系统一般由加速器子系统和治疗子系统及其他配套设备组成。</w:t>
      </w:r>
    </w:p>
    <w:p w:rsidR="00B21435" w:rsidRDefault="00F21DBE">
      <w:pPr>
        <w:widowControl/>
        <w:spacing w:line="560" w:lineRule="exact"/>
        <w:ind w:firstLineChars="200" w:firstLine="636"/>
        <w:rPr>
          <w:rFonts w:ascii="仿宋_GB2312" w:eastAsia="仿宋_GB2312" w:hAnsi="Arial" w:cs="Arial"/>
          <w:color w:val="000000"/>
          <w:spacing w:val="-1"/>
          <w:sz w:val="32"/>
          <w:szCs w:val="28"/>
        </w:rPr>
      </w:pPr>
      <w:r>
        <w:rPr>
          <w:rFonts w:ascii="仿宋_GB2312" w:eastAsia="仿宋_GB2312" w:hAnsi="Arial" w:cs="Arial"/>
          <w:color w:val="000000"/>
          <w:spacing w:val="-1"/>
          <w:sz w:val="32"/>
          <w:szCs w:val="28"/>
        </w:rPr>
        <w:t>1.</w:t>
      </w:r>
      <w:r>
        <w:rPr>
          <w:rFonts w:ascii="仿宋_GB2312" w:eastAsia="仿宋_GB2312" w:hAnsi="Arial" w:cs="Arial" w:hint="eastAsia"/>
          <w:color w:val="000000"/>
          <w:spacing w:val="-1"/>
          <w:sz w:val="32"/>
          <w:szCs w:val="28"/>
        </w:rPr>
        <w:t>加速器子系统。碳离子/质子治疗系统加速器子系统主要包括</w:t>
      </w:r>
      <w:r>
        <w:rPr>
          <w:rFonts w:ascii="仿宋_GB2312" w:eastAsia="仿宋_GB2312" w:hAnsi="Arial" w:cs="Arial"/>
          <w:color w:val="000000"/>
          <w:spacing w:val="-1"/>
          <w:sz w:val="32"/>
          <w:szCs w:val="28"/>
        </w:rPr>
        <w:t>注入</w:t>
      </w:r>
      <w:r>
        <w:rPr>
          <w:rFonts w:ascii="仿宋_GB2312" w:eastAsia="仿宋_GB2312" w:hAnsi="Arial" w:cs="Arial" w:hint="eastAsia"/>
          <w:color w:val="000000"/>
          <w:spacing w:val="-1"/>
          <w:sz w:val="32"/>
          <w:szCs w:val="28"/>
        </w:rPr>
        <w:t>器</w:t>
      </w:r>
      <w:r>
        <w:rPr>
          <w:rFonts w:ascii="仿宋_GB2312" w:eastAsia="仿宋_GB2312" w:hAnsi="Arial" w:cs="Arial"/>
          <w:color w:val="000000"/>
          <w:spacing w:val="-1"/>
          <w:sz w:val="32"/>
          <w:szCs w:val="28"/>
        </w:rPr>
        <w:t>系统</w:t>
      </w:r>
      <w:r>
        <w:rPr>
          <w:rFonts w:ascii="仿宋_GB2312" w:eastAsia="仿宋_GB2312" w:hAnsi="Arial" w:cs="Arial" w:hint="eastAsia"/>
          <w:color w:val="000000"/>
          <w:spacing w:val="-1"/>
          <w:sz w:val="32"/>
          <w:szCs w:val="28"/>
        </w:rPr>
        <w:t>、主加速器系统、束流传输系统（包括中能传输系统和高能传输系统）和加速器辅助系统；超导质子治疗系统加速器子系统通常包括：主加速器系统、能量选择系统、束流传输系统和加速器辅助系统。</w:t>
      </w:r>
    </w:p>
    <w:p w:rsidR="00B21435" w:rsidRDefault="00F21DBE">
      <w:pPr>
        <w:widowControl/>
        <w:spacing w:line="560" w:lineRule="exact"/>
        <w:ind w:firstLineChars="200" w:firstLine="636"/>
        <w:rPr>
          <w:rFonts w:ascii="仿宋_GB2312" w:eastAsia="仿宋_GB2312" w:hAnsi="Arial" w:cs="Arial"/>
          <w:spacing w:val="-1"/>
          <w:sz w:val="32"/>
          <w:szCs w:val="28"/>
        </w:rPr>
      </w:pPr>
      <w:r>
        <w:rPr>
          <w:rFonts w:ascii="仿宋_GB2312" w:eastAsia="仿宋_GB2312" w:hAnsi="Arial" w:cs="Arial" w:hint="eastAsia"/>
          <w:color w:val="000000"/>
          <w:spacing w:val="-1"/>
          <w:sz w:val="32"/>
          <w:szCs w:val="28"/>
        </w:rPr>
        <w:t>2.治疗子系统。治疗子系统主要包括机架（固定机架、离散角度机架、连续旋转机架）、治疗头（扫描方式和散射方式）、图像引导系统、患者支撑系统、呼吸门控与运动管理系统（选配）、肿瘤信息管理系统、治疗控</w:t>
      </w:r>
      <w:r>
        <w:rPr>
          <w:rFonts w:ascii="仿宋_GB2312" w:eastAsia="仿宋_GB2312" w:hAnsi="Arial" w:cs="Arial" w:hint="eastAsia"/>
          <w:spacing w:val="-1"/>
          <w:sz w:val="32"/>
          <w:szCs w:val="28"/>
        </w:rPr>
        <w:t>制系统、激光定位系统、治疗计划系统。</w:t>
      </w:r>
    </w:p>
    <w:p w:rsidR="00B21435" w:rsidRDefault="00F21DBE">
      <w:pPr>
        <w:spacing w:line="560" w:lineRule="exact"/>
        <w:ind w:firstLineChars="200" w:firstLine="640"/>
        <w:rPr>
          <w:rFonts w:ascii="仿宋_GB2312" w:eastAsia="仿宋_GB2312" w:hAnsi="仿宋_GB2312" w:cs="仿宋_GB2312"/>
          <w:sz w:val="32"/>
          <w:szCs w:val="32"/>
        </w:rPr>
      </w:pPr>
      <w:bookmarkStart w:id="128" w:name="_Toc10848"/>
      <w:bookmarkStart w:id="129" w:name="_Toc19555"/>
      <w:bookmarkStart w:id="130" w:name="_Toc9793"/>
      <w:bookmarkStart w:id="131" w:name="_Toc17315"/>
      <w:bookmarkStart w:id="132" w:name="_Toc19692"/>
      <w:bookmarkStart w:id="133" w:name="_Toc26256"/>
      <w:bookmarkStart w:id="134" w:name="_Toc27295"/>
      <w:bookmarkStart w:id="135" w:name="_Toc20144"/>
      <w:bookmarkStart w:id="136" w:name="_Toc30364"/>
      <w:bookmarkStart w:id="137" w:name="_Toc6760"/>
      <w:bookmarkStart w:id="138" w:name="_Toc21383"/>
      <w:bookmarkStart w:id="139" w:name="_Toc25272"/>
      <w:bookmarkStart w:id="140" w:name="_Toc13828"/>
      <w:r>
        <w:rPr>
          <w:rFonts w:ascii="仿宋_GB2312" w:eastAsia="仿宋_GB2312" w:hAnsi="仿宋_GB2312" w:cs="仿宋_GB2312" w:hint="eastAsia"/>
          <w:sz w:val="32"/>
          <w:szCs w:val="32"/>
        </w:rPr>
        <w:t>碳离子</w:t>
      </w:r>
      <w:r>
        <w:rPr>
          <w:rFonts w:ascii="仿宋_GB2312" w:eastAsia="仿宋_GB2312" w:hAnsi="Arial" w:cs="Arial" w:hint="eastAsia"/>
          <w:spacing w:val="-1"/>
          <w:sz w:val="32"/>
          <w:szCs w:val="28"/>
        </w:rPr>
        <w:t>/质子</w:t>
      </w:r>
      <w:r>
        <w:rPr>
          <w:rFonts w:ascii="仿宋_GB2312" w:eastAsia="仿宋_GB2312" w:hAnsi="仿宋_GB2312" w:cs="仿宋_GB2312" w:hint="eastAsia"/>
          <w:sz w:val="32"/>
          <w:szCs w:val="32"/>
        </w:rPr>
        <w:t>治疗系统、超导质子治疗系统推荐的结构组成如下表1和表2所示。</w:t>
      </w:r>
    </w:p>
    <w:p w:rsidR="00B21435" w:rsidRDefault="00F21DBE">
      <w:pPr>
        <w:spacing w:line="560" w:lineRule="exact"/>
        <w:jc w:val="center"/>
        <w:rPr>
          <w:rFonts w:ascii="仿宋_GB2312" w:eastAsia="仿宋_GB2312" w:hAnsi="仿宋_GB2312" w:cs="仿宋_GB2312"/>
          <w:sz w:val="30"/>
          <w:szCs w:val="30"/>
        </w:rPr>
      </w:pPr>
      <w:r>
        <w:rPr>
          <w:rFonts w:ascii="仿宋_GB2312" w:eastAsia="仿宋_GB2312" w:hAnsi="仿宋_GB2312" w:cs="仿宋_GB2312" w:hint="eastAsia"/>
          <w:sz w:val="30"/>
          <w:szCs w:val="30"/>
        </w:rPr>
        <w:t>表1 碳离子</w:t>
      </w:r>
      <w:r>
        <w:rPr>
          <w:rFonts w:ascii="仿宋_GB2312" w:eastAsia="仿宋_GB2312" w:hAnsi="Arial" w:cs="Arial" w:hint="eastAsia"/>
          <w:color w:val="000000"/>
          <w:spacing w:val="-1"/>
          <w:sz w:val="30"/>
          <w:szCs w:val="30"/>
        </w:rPr>
        <w:t>/质子</w:t>
      </w:r>
      <w:r>
        <w:rPr>
          <w:rFonts w:ascii="仿宋_GB2312" w:eastAsia="仿宋_GB2312" w:hAnsi="仿宋_GB2312" w:cs="仿宋_GB2312" w:hint="eastAsia"/>
          <w:sz w:val="30"/>
          <w:szCs w:val="30"/>
        </w:rPr>
        <w:t>治疗系统结构组成</w:t>
      </w:r>
    </w:p>
    <w:tbl>
      <w:tblPr>
        <w:tblW w:w="9217" w:type="dxa"/>
        <w:jc w:val="center"/>
        <w:tblLook w:val="04A0" w:firstRow="1" w:lastRow="0" w:firstColumn="1" w:lastColumn="0" w:noHBand="0" w:noVBand="1"/>
      </w:tblPr>
      <w:tblGrid>
        <w:gridCol w:w="1444"/>
        <w:gridCol w:w="2009"/>
        <w:gridCol w:w="1929"/>
        <w:gridCol w:w="2673"/>
        <w:gridCol w:w="1162"/>
      </w:tblGrid>
      <w:tr w:rsidR="00B21435">
        <w:trPr>
          <w:trHeight w:val="624"/>
          <w:tblHeader/>
          <w:jc w:val="center"/>
        </w:trPr>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b/>
                <w:bCs/>
                <w:color w:val="000000"/>
                <w:sz w:val="24"/>
              </w:rPr>
            </w:pPr>
            <w:r>
              <w:rPr>
                <w:rFonts w:ascii="仿宋_GB2312" w:eastAsia="仿宋_GB2312" w:hAnsi="仿宋_GB2312" w:cs="仿宋_GB2312" w:hint="eastAsia"/>
                <w:b/>
                <w:bCs/>
                <w:color w:val="000000"/>
                <w:kern w:val="0"/>
                <w:sz w:val="24"/>
                <w:lang w:bidi="ar"/>
              </w:rPr>
              <w:t>一级子系统</w:t>
            </w:r>
          </w:p>
        </w:tc>
        <w:tc>
          <w:tcPr>
            <w:tcW w:w="2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b/>
                <w:bCs/>
                <w:color w:val="000000"/>
                <w:sz w:val="24"/>
              </w:rPr>
            </w:pPr>
            <w:r>
              <w:rPr>
                <w:rFonts w:ascii="仿宋_GB2312" w:eastAsia="仿宋_GB2312" w:hAnsi="仿宋_GB2312" w:cs="仿宋_GB2312" w:hint="eastAsia"/>
                <w:b/>
                <w:bCs/>
                <w:color w:val="000000"/>
                <w:kern w:val="0"/>
                <w:sz w:val="24"/>
                <w:lang w:bidi="ar"/>
              </w:rPr>
              <w:t>二级子系统</w:t>
            </w:r>
          </w:p>
        </w:tc>
        <w:tc>
          <w:tcPr>
            <w:tcW w:w="1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b/>
                <w:bCs/>
                <w:color w:val="000000"/>
                <w:sz w:val="24"/>
              </w:rPr>
            </w:pPr>
            <w:r>
              <w:rPr>
                <w:rFonts w:ascii="仿宋_GB2312" w:eastAsia="仿宋_GB2312" w:hAnsi="仿宋_GB2312" w:cs="仿宋_GB2312" w:hint="eastAsia"/>
                <w:b/>
                <w:bCs/>
                <w:color w:val="000000"/>
                <w:kern w:val="0"/>
                <w:sz w:val="24"/>
                <w:lang w:bidi="ar"/>
              </w:rPr>
              <w:t>三级子系统</w:t>
            </w: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b/>
                <w:bCs/>
                <w:color w:val="000000"/>
                <w:sz w:val="24"/>
              </w:rPr>
            </w:pPr>
            <w:r>
              <w:rPr>
                <w:rFonts w:ascii="仿宋_GB2312" w:eastAsia="仿宋_GB2312" w:hAnsi="仿宋_GB2312" w:cs="仿宋_GB2312" w:hint="eastAsia"/>
                <w:b/>
                <w:bCs/>
                <w:color w:val="000000"/>
                <w:kern w:val="0"/>
                <w:sz w:val="24"/>
                <w:lang w:bidi="ar"/>
              </w:rPr>
              <w:t>四级子系统</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b/>
                <w:bCs/>
                <w:color w:val="000000"/>
                <w:sz w:val="24"/>
              </w:rPr>
            </w:pPr>
            <w:proofErr w:type="gramStart"/>
            <w:r>
              <w:rPr>
                <w:rFonts w:ascii="仿宋_GB2312" w:eastAsia="仿宋_GB2312" w:hAnsi="仿宋_GB2312" w:cs="仿宋_GB2312" w:hint="eastAsia"/>
                <w:b/>
                <w:bCs/>
                <w:color w:val="000000"/>
                <w:kern w:val="0"/>
                <w:sz w:val="24"/>
                <w:lang w:bidi="ar"/>
              </w:rPr>
              <w:t>设备级</w:t>
            </w:r>
            <w:proofErr w:type="gramEnd"/>
          </w:p>
        </w:tc>
      </w:tr>
      <w:tr w:rsidR="00B21435">
        <w:trPr>
          <w:trHeight w:val="624"/>
          <w:jc w:val="center"/>
        </w:trPr>
        <w:tc>
          <w:tcPr>
            <w:tcW w:w="14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加速器子系统</w:t>
            </w:r>
          </w:p>
        </w:tc>
        <w:tc>
          <w:tcPr>
            <w:tcW w:w="20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注入系统（形式A）：回旋型注入系统</w:t>
            </w:r>
          </w:p>
        </w:tc>
        <w:tc>
          <w:tcPr>
            <w:tcW w:w="1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离子源系统</w:t>
            </w: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Style w:val="font31"/>
                <w:rFonts w:ascii="仿宋_GB2312" w:eastAsia="仿宋_GB2312" w:hAnsi="仿宋_GB2312" w:cs="仿宋_GB2312" w:hint="default"/>
                <w:color w:val="auto"/>
                <w:lang w:bidi="ar"/>
              </w:rPr>
              <w:t>离子源单元</w:t>
            </w:r>
            <w:r>
              <w:rPr>
                <w:rStyle w:val="font21"/>
                <w:rFonts w:ascii="仿宋_GB2312" w:eastAsia="仿宋_GB2312" w:hAnsi="仿宋_GB2312" w:cs="仿宋_GB2312" w:hint="default"/>
                <w:color w:val="auto"/>
                <w:lang w:bidi="ar"/>
              </w:rPr>
              <w:t>、真空单元、</w:t>
            </w:r>
            <w:r>
              <w:rPr>
                <w:rStyle w:val="font31"/>
                <w:rFonts w:ascii="仿宋_GB2312" w:eastAsia="仿宋_GB2312" w:hAnsi="仿宋_GB2312" w:cs="仿宋_GB2312" w:hint="default"/>
                <w:color w:val="auto"/>
                <w:lang w:bidi="ar"/>
              </w:rPr>
              <w:t>控制单元</w:t>
            </w:r>
          </w:p>
        </w:tc>
        <w:tc>
          <w:tcPr>
            <w:tcW w:w="11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描述每一单元</w:t>
            </w:r>
            <w:r>
              <w:rPr>
                <w:rFonts w:ascii="仿宋_GB2312" w:eastAsia="仿宋_GB2312" w:hAnsi="仿宋_GB2312" w:cs="仿宋_GB2312" w:hint="eastAsia"/>
                <w:color w:val="000000"/>
                <w:kern w:val="0"/>
                <w:sz w:val="24"/>
                <w:lang w:bidi="ar"/>
              </w:rPr>
              <w:lastRenderedPageBreak/>
              <w:t>的具体组成设备、设备数量和关键部件</w:t>
            </w:r>
          </w:p>
        </w:tc>
      </w:tr>
      <w:tr w:rsidR="00B21435">
        <w:trPr>
          <w:trHeight w:val="936"/>
          <w:jc w:val="center"/>
        </w:trPr>
        <w:tc>
          <w:tcPr>
            <w:tcW w:w="14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B21435">
            <w:pPr>
              <w:rPr>
                <w:rFonts w:ascii="仿宋_GB2312" w:eastAsia="仿宋_GB2312" w:hAnsi="仿宋_GB2312" w:cs="仿宋_GB2312"/>
                <w:color w:val="000000"/>
                <w:sz w:val="24"/>
              </w:rPr>
            </w:pPr>
          </w:p>
        </w:tc>
        <w:tc>
          <w:tcPr>
            <w:tcW w:w="20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B21435">
            <w:pPr>
              <w:rPr>
                <w:rFonts w:ascii="仿宋_GB2312" w:eastAsia="仿宋_GB2312" w:hAnsi="仿宋_GB2312" w:cs="仿宋_GB2312"/>
                <w:color w:val="000000"/>
                <w:sz w:val="24"/>
              </w:rPr>
            </w:pPr>
          </w:p>
        </w:tc>
        <w:tc>
          <w:tcPr>
            <w:tcW w:w="1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低能传输系统</w:t>
            </w: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束诊单元、真空单元、磁铁单元、高频单元、控制单元</w:t>
            </w:r>
          </w:p>
        </w:tc>
        <w:tc>
          <w:tcPr>
            <w:tcW w:w="11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B21435">
            <w:pPr>
              <w:rPr>
                <w:rFonts w:ascii="仿宋_GB2312" w:eastAsia="仿宋_GB2312" w:hAnsi="仿宋_GB2312" w:cs="仿宋_GB2312"/>
                <w:color w:val="000000"/>
                <w:sz w:val="24"/>
              </w:rPr>
            </w:pPr>
          </w:p>
        </w:tc>
      </w:tr>
      <w:tr w:rsidR="00B21435">
        <w:trPr>
          <w:trHeight w:val="936"/>
          <w:jc w:val="center"/>
        </w:trPr>
        <w:tc>
          <w:tcPr>
            <w:tcW w:w="14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B21435">
            <w:pPr>
              <w:rPr>
                <w:rFonts w:ascii="仿宋_GB2312" w:eastAsia="仿宋_GB2312" w:hAnsi="仿宋_GB2312" w:cs="仿宋_GB2312"/>
                <w:color w:val="000000"/>
                <w:sz w:val="24"/>
              </w:rPr>
            </w:pPr>
          </w:p>
        </w:tc>
        <w:tc>
          <w:tcPr>
            <w:tcW w:w="20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B21435">
            <w:pPr>
              <w:rPr>
                <w:rFonts w:ascii="仿宋_GB2312" w:eastAsia="仿宋_GB2312" w:hAnsi="仿宋_GB2312" w:cs="仿宋_GB2312"/>
                <w:color w:val="000000"/>
                <w:sz w:val="24"/>
              </w:rPr>
            </w:pPr>
          </w:p>
        </w:tc>
        <w:tc>
          <w:tcPr>
            <w:tcW w:w="1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初级加速器系统</w:t>
            </w: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真空单元、磁铁单元、束诊单元、高频单元、控制单元、电源单元</w:t>
            </w:r>
          </w:p>
        </w:tc>
        <w:tc>
          <w:tcPr>
            <w:tcW w:w="11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B21435">
            <w:pPr>
              <w:rPr>
                <w:rFonts w:ascii="仿宋_GB2312" w:eastAsia="仿宋_GB2312" w:hAnsi="仿宋_GB2312" w:cs="仿宋_GB2312"/>
                <w:color w:val="000000"/>
                <w:sz w:val="24"/>
              </w:rPr>
            </w:pPr>
          </w:p>
        </w:tc>
      </w:tr>
      <w:tr w:rsidR="00B21435">
        <w:trPr>
          <w:trHeight w:val="624"/>
          <w:jc w:val="center"/>
        </w:trPr>
        <w:tc>
          <w:tcPr>
            <w:tcW w:w="14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B21435">
            <w:pPr>
              <w:rPr>
                <w:rFonts w:ascii="仿宋_GB2312" w:eastAsia="仿宋_GB2312" w:hAnsi="仿宋_GB2312" w:cs="仿宋_GB2312"/>
                <w:color w:val="000000"/>
                <w:sz w:val="24"/>
              </w:rPr>
            </w:pPr>
          </w:p>
        </w:tc>
        <w:tc>
          <w:tcPr>
            <w:tcW w:w="20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注入系统（形式B）：直线型注入系统</w:t>
            </w:r>
          </w:p>
        </w:tc>
        <w:tc>
          <w:tcPr>
            <w:tcW w:w="1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离子源系统</w:t>
            </w: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离子源单元、真空单元、控制单元</w:t>
            </w:r>
          </w:p>
        </w:tc>
        <w:tc>
          <w:tcPr>
            <w:tcW w:w="11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B21435">
            <w:pPr>
              <w:rPr>
                <w:rFonts w:ascii="仿宋_GB2312" w:eastAsia="仿宋_GB2312" w:hAnsi="仿宋_GB2312" w:cs="仿宋_GB2312"/>
                <w:color w:val="000000"/>
                <w:sz w:val="24"/>
              </w:rPr>
            </w:pPr>
          </w:p>
        </w:tc>
      </w:tr>
      <w:tr w:rsidR="00B21435">
        <w:trPr>
          <w:trHeight w:val="936"/>
          <w:jc w:val="center"/>
        </w:trPr>
        <w:tc>
          <w:tcPr>
            <w:tcW w:w="14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B21435">
            <w:pPr>
              <w:rPr>
                <w:rFonts w:ascii="仿宋_GB2312" w:eastAsia="仿宋_GB2312" w:hAnsi="仿宋_GB2312" w:cs="仿宋_GB2312"/>
                <w:color w:val="000000"/>
                <w:sz w:val="24"/>
              </w:rPr>
            </w:pPr>
          </w:p>
        </w:tc>
        <w:tc>
          <w:tcPr>
            <w:tcW w:w="20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B21435">
            <w:pPr>
              <w:rPr>
                <w:rFonts w:ascii="仿宋_GB2312" w:eastAsia="仿宋_GB2312" w:hAnsi="仿宋_GB2312" w:cs="仿宋_GB2312"/>
                <w:color w:val="000000"/>
                <w:sz w:val="24"/>
              </w:rPr>
            </w:pPr>
          </w:p>
        </w:tc>
        <w:tc>
          <w:tcPr>
            <w:tcW w:w="1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低能传输系统</w:t>
            </w: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束诊单元、真空单元、磁铁单元、高频单元、控制单元</w:t>
            </w:r>
          </w:p>
        </w:tc>
        <w:tc>
          <w:tcPr>
            <w:tcW w:w="11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B21435">
            <w:pPr>
              <w:rPr>
                <w:rFonts w:ascii="仿宋_GB2312" w:eastAsia="仿宋_GB2312" w:hAnsi="仿宋_GB2312" w:cs="仿宋_GB2312"/>
                <w:color w:val="000000"/>
                <w:sz w:val="24"/>
              </w:rPr>
            </w:pPr>
          </w:p>
        </w:tc>
      </w:tr>
      <w:tr w:rsidR="00B21435">
        <w:trPr>
          <w:trHeight w:val="624"/>
          <w:jc w:val="center"/>
        </w:trPr>
        <w:tc>
          <w:tcPr>
            <w:tcW w:w="14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B21435">
            <w:pPr>
              <w:rPr>
                <w:rFonts w:ascii="仿宋_GB2312" w:eastAsia="仿宋_GB2312" w:hAnsi="仿宋_GB2312" w:cs="仿宋_GB2312"/>
                <w:color w:val="000000"/>
                <w:sz w:val="24"/>
              </w:rPr>
            </w:pPr>
          </w:p>
        </w:tc>
        <w:tc>
          <w:tcPr>
            <w:tcW w:w="20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B21435">
            <w:pPr>
              <w:rPr>
                <w:rFonts w:ascii="仿宋_GB2312" w:eastAsia="仿宋_GB2312" w:hAnsi="仿宋_GB2312" w:cs="仿宋_GB2312"/>
                <w:color w:val="000000"/>
                <w:sz w:val="24"/>
              </w:rPr>
            </w:pPr>
          </w:p>
        </w:tc>
        <w:tc>
          <w:tcPr>
            <w:tcW w:w="1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初级加速系统</w:t>
            </w: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真空单元、磁铁单元、高频单元、控制单元</w:t>
            </w:r>
          </w:p>
        </w:tc>
        <w:tc>
          <w:tcPr>
            <w:tcW w:w="11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B21435">
            <w:pPr>
              <w:rPr>
                <w:rFonts w:ascii="仿宋_GB2312" w:eastAsia="仿宋_GB2312" w:hAnsi="仿宋_GB2312" w:cs="仿宋_GB2312"/>
                <w:color w:val="000000"/>
                <w:sz w:val="24"/>
              </w:rPr>
            </w:pPr>
          </w:p>
        </w:tc>
      </w:tr>
      <w:tr w:rsidR="00B21435">
        <w:trPr>
          <w:trHeight w:val="936"/>
          <w:jc w:val="center"/>
        </w:trPr>
        <w:tc>
          <w:tcPr>
            <w:tcW w:w="14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B21435">
            <w:pPr>
              <w:rPr>
                <w:rFonts w:ascii="仿宋_GB2312" w:eastAsia="仿宋_GB2312" w:hAnsi="仿宋_GB2312" w:cs="仿宋_GB2312"/>
                <w:color w:val="000000"/>
                <w:sz w:val="24"/>
              </w:rPr>
            </w:pPr>
          </w:p>
        </w:tc>
        <w:tc>
          <w:tcPr>
            <w:tcW w:w="2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中能传输系统</w:t>
            </w:r>
          </w:p>
        </w:tc>
        <w:tc>
          <w:tcPr>
            <w:tcW w:w="1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w:t>
            </w: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真空单元、磁铁单元、束诊单元、控制单元</w:t>
            </w:r>
          </w:p>
        </w:tc>
        <w:tc>
          <w:tcPr>
            <w:tcW w:w="11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B21435">
            <w:pPr>
              <w:rPr>
                <w:rFonts w:ascii="仿宋_GB2312" w:eastAsia="仿宋_GB2312" w:hAnsi="仿宋_GB2312" w:cs="仿宋_GB2312"/>
                <w:color w:val="000000"/>
                <w:sz w:val="24"/>
              </w:rPr>
            </w:pPr>
          </w:p>
        </w:tc>
      </w:tr>
      <w:tr w:rsidR="00B21435">
        <w:trPr>
          <w:trHeight w:val="312"/>
          <w:jc w:val="center"/>
        </w:trPr>
        <w:tc>
          <w:tcPr>
            <w:tcW w:w="14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B21435">
            <w:pPr>
              <w:rPr>
                <w:rFonts w:ascii="仿宋_GB2312" w:eastAsia="仿宋_GB2312" w:hAnsi="仿宋_GB2312" w:cs="仿宋_GB2312"/>
                <w:color w:val="000000"/>
                <w:sz w:val="24"/>
              </w:rPr>
            </w:pPr>
          </w:p>
        </w:tc>
        <w:tc>
          <w:tcPr>
            <w:tcW w:w="20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主加速器系统</w:t>
            </w:r>
          </w:p>
        </w:tc>
        <w:tc>
          <w:tcPr>
            <w:tcW w:w="1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注入系统</w:t>
            </w: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w:t>
            </w:r>
          </w:p>
        </w:tc>
        <w:tc>
          <w:tcPr>
            <w:tcW w:w="11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B21435">
            <w:pPr>
              <w:rPr>
                <w:rFonts w:ascii="仿宋_GB2312" w:eastAsia="仿宋_GB2312" w:hAnsi="仿宋_GB2312" w:cs="仿宋_GB2312"/>
                <w:color w:val="000000"/>
                <w:sz w:val="24"/>
              </w:rPr>
            </w:pPr>
          </w:p>
        </w:tc>
      </w:tr>
      <w:tr w:rsidR="00B21435">
        <w:trPr>
          <w:trHeight w:val="936"/>
          <w:jc w:val="center"/>
        </w:trPr>
        <w:tc>
          <w:tcPr>
            <w:tcW w:w="14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B21435">
            <w:pPr>
              <w:rPr>
                <w:rFonts w:ascii="仿宋_GB2312" w:eastAsia="仿宋_GB2312" w:hAnsi="仿宋_GB2312" w:cs="仿宋_GB2312"/>
                <w:color w:val="000000"/>
                <w:sz w:val="24"/>
              </w:rPr>
            </w:pPr>
          </w:p>
        </w:tc>
        <w:tc>
          <w:tcPr>
            <w:tcW w:w="20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B21435">
            <w:pPr>
              <w:rPr>
                <w:rFonts w:ascii="仿宋_GB2312" w:eastAsia="仿宋_GB2312" w:hAnsi="仿宋_GB2312" w:cs="仿宋_GB2312"/>
                <w:color w:val="000000"/>
                <w:sz w:val="24"/>
              </w:rPr>
            </w:pPr>
          </w:p>
        </w:tc>
        <w:tc>
          <w:tcPr>
            <w:tcW w:w="1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同步加速器系统</w:t>
            </w: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真空单元、磁铁单元、束诊单元、控制单元、电源单元、高频单元</w:t>
            </w:r>
          </w:p>
        </w:tc>
        <w:tc>
          <w:tcPr>
            <w:tcW w:w="11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B21435">
            <w:pPr>
              <w:rPr>
                <w:rFonts w:ascii="仿宋_GB2312" w:eastAsia="仿宋_GB2312" w:hAnsi="仿宋_GB2312" w:cs="仿宋_GB2312"/>
                <w:color w:val="000000"/>
                <w:sz w:val="24"/>
              </w:rPr>
            </w:pPr>
          </w:p>
        </w:tc>
      </w:tr>
      <w:tr w:rsidR="00B21435">
        <w:trPr>
          <w:trHeight w:val="312"/>
          <w:jc w:val="center"/>
        </w:trPr>
        <w:tc>
          <w:tcPr>
            <w:tcW w:w="14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B21435">
            <w:pPr>
              <w:rPr>
                <w:rFonts w:ascii="仿宋_GB2312" w:eastAsia="仿宋_GB2312" w:hAnsi="仿宋_GB2312" w:cs="仿宋_GB2312"/>
                <w:color w:val="000000"/>
                <w:sz w:val="24"/>
              </w:rPr>
            </w:pPr>
          </w:p>
        </w:tc>
        <w:tc>
          <w:tcPr>
            <w:tcW w:w="20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B21435">
            <w:pPr>
              <w:rPr>
                <w:rFonts w:ascii="仿宋_GB2312" w:eastAsia="仿宋_GB2312" w:hAnsi="仿宋_GB2312" w:cs="仿宋_GB2312"/>
                <w:color w:val="000000"/>
                <w:sz w:val="24"/>
              </w:rPr>
            </w:pPr>
          </w:p>
        </w:tc>
        <w:tc>
          <w:tcPr>
            <w:tcW w:w="1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引出系统</w:t>
            </w: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w:t>
            </w:r>
          </w:p>
        </w:tc>
        <w:tc>
          <w:tcPr>
            <w:tcW w:w="11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B21435">
            <w:pPr>
              <w:rPr>
                <w:rFonts w:ascii="仿宋_GB2312" w:eastAsia="仿宋_GB2312" w:hAnsi="仿宋_GB2312" w:cs="仿宋_GB2312"/>
                <w:color w:val="000000"/>
                <w:sz w:val="24"/>
              </w:rPr>
            </w:pPr>
          </w:p>
        </w:tc>
      </w:tr>
      <w:tr w:rsidR="00B21435">
        <w:trPr>
          <w:trHeight w:val="624"/>
          <w:jc w:val="center"/>
        </w:trPr>
        <w:tc>
          <w:tcPr>
            <w:tcW w:w="14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B21435">
            <w:pPr>
              <w:rPr>
                <w:rFonts w:ascii="仿宋_GB2312" w:eastAsia="仿宋_GB2312" w:hAnsi="仿宋_GB2312" w:cs="仿宋_GB2312"/>
                <w:color w:val="000000"/>
                <w:sz w:val="24"/>
              </w:rPr>
            </w:pPr>
          </w:p>
        </w:tc>
        <w:tc>
          <w:tcPr>
            <w:tcW w:w="2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高能束流传输系统</w:t>
            </w:r>
          </w:p>
        </w:tc>
        <w:tc>
          <w:tcPr>
            <w:tcW w:w="1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w:t>
            </w: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真空单元、磁铁单元、束诊单元、控制单元</w:t>
            </w:r>
          </w:p>
        </w:tc>
        <w:tc>
          <w:tcPr>
            <w:tcW w:w="11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B21435">
            <w:pPr>
              <w:rPr>
                <w:rFonts w:ascii="仿宋_GB2312" w:eastAsia="仿宋_GB2312" w:hAnsi="仿宋_GB2312" w:cs="仿宋_GB2312"/>
                <w:color w:val="000000"/>
                <w:sz w:val="24"/>
              </w:rPr>
            </w:pPr>
          </w:p>
        </w:tc>
      </w:tr>
      <w:tr w:rsidR="00B21435">
        <w:trPr>
          <w:trHeight w:val="312"/>
          <w:jc w:val="center"/>
        </w:trPr>
        <w:tc>
          <w:tcPr>
            <w:tcW w:w="14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B21435">
            <w:pPr>
              <w:rPr>
                <w:rFonts w:ascii="仿宋_GB2312" w:eastAsia="仿宋_GB2312" w:hAnsi="仿宋_GB2312" w:cs="仿宋_GB2312"/>
                <w:color w:val="000000"/>
                <w:sz w:val="24"/>
              </w:rPr>
            </w:pPr>
          </w:p>
        </w:tc>
        <w:tc>
          <w:tcPr>
            <w:tcW w:w="20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加速器辅助系统</w:t>
            </w:r>
          </w:p>
        </w:tc>
        <w:tc>
          <w:tcPr>
            <w:tcW w:w="1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电源辅助系统</w:t>
            </w: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电源单元</w:t>
            </w:r>
          </w:p>
        </w:tc>
        <w:tc>
          <w:tcPr>
            <w:tcW w:w="11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B21435">
            <w:pPr>
              <w:rPr>
                <w:rFonts w:ascii="仿宋_GB2312" w:eastAsia="仿宋_GB2312" w:hAnsi="仿宋_GB2312" w:cs="仿宋_GB2312"/>
                <w:color w:val="000000"/>
                <w:sz w:val="24"/>
              </w:rPr>
            </w:pPr>
          </w:p>
        </w:tc>
      </w:tr>
      <w:tr w:rsidR="00B21435">
        <w:trPr>
          <w:trHeight w:val="312"/>
          <w:jc w:val="center"/>
        </w:trPr>
        <w:tc>
          <w:tcPr>
            <w:tcW w:w="14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B21435">
            <w:pPr>
              <w:rPr>
                <w:rFonts w:ascii="仿宋_GB2312" w:eastAsia="仿宋_GB2312" w:hAnsi="仿宋_GB2312" w:cs="仿宋_GB2312"/>
                <w:color w:val="000000"/>
                <w:sz w:val="24"/>
              </w:rPr>
            </w:pPr>
          </w:p>
        </w:tc>
        <w:tc>
          <w:tcPr>
            <w:tcW w:w="20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B21435">
            <w:pPr>
              <w:rPr>
                <w:rFonts w:ascii="仿宋_GB2312" w:eastAsia="仿宋_GB2312" w:hAnsi="仿宋_GB2312" w:cs="仿宋_GB2312"/>
                <w:color w:val="000000"/>
                <w:sz w:val="24"/>
              </w:rPr>
            </w:pPr>
          </w:p>
        </w:tc>
        <w:tc>
          <w:tcPr>
            <w:tcW w:w="1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控制辅助系统</w:t>
            </w: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控制单元</w:t>
            </w:r>
          </w:p>
        </w:tc>
        <w:tc>
          <w:tcPr>
            <w:tcW w:w="11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B21435">
            <w:pPr>
              <w:rPr>
                <w:rFonts w:ascii="仿宋_GB2312" w:eastAsia="仿宋_GB2312" w:hAnsi="仿宋_GB2312" w:cs="仿宋_GB2312"/>
                <w:color w:val="000000"/>
                <w:sz w:val="24"/>
              </w:rPr>
            </w:pPr>
          </w:p>
        </w:tc>
      </w:tr>
      <w:tr w:rsidR="00B21435">
        <w:trPr>
          <w:trHeight w:val="312"/>
          <w:jc w:val="center"/>
        </w:trPr>
        <w:tc>
          <w:tcPr>
            <w:tcW w:w="14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治疗子系统</w:t>
            </w:r>
          </w:p>
        </w:tc>
        <w:tc>
          <w:tcPr>
            <w:tcW w:w="661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治疗室情况：</w:t>
            </w:r>
          </w:p>
        </w:tc>
        <w:tc>
          <w:tcPr>
            <w:tcW w:w="11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B21435">
            <w:pPr>
              <w:rPr>
                <w:rFonts w:ascii="仿宋_GB2312" w:eastAsia="仿宋_GB2312" w:hAnsi="仿宋_GB2312" w:cs="仿宋_GB2312"/>
                <w:color w:val="000000"/>
                <w:sz w:val="24"/>
              </w:rPr>
            </w:pPr>
          </w:p>
        </w:tc>
      </w:tr>
      <w:tr w:rsidR="00B21435">
        <w:trPr>
          <w:trHeight w:val="1248"/>
          <w:jc w:val="center"/>
        </w:trPr>
        <w:tc>
          <w:tcPr>
            <w:tcW w:w="14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B21435">
            <w:pPr>
              <w:rPr>
                <w:rFonts w:ascii="仿宋_GB2312" w:eastAsia="仿宋_GB2312" w:hAnsi="仿宋_GB2312" w:cs="仿宋_GB2312"/>
                <w:color w:val="000000"/>
                <w:sz w:val="24"/>
              </w:rPr>
            </w:pPr>
          </w:p>
        </w:tc>
        <w:tc>
          <w:tcPr>
            <w:tcW w:w="2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w:t>
            </w:r>
          </w:p>
        </w:tc>
        <w:tc>
          <w:tcPr>
            <w:tcW w:w="1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旋转机架</w:t>
            </w: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主体结构（旋转部分含配重）、支撑结构、传动与制动单元、控制单元</w:t>
            </w:r>
          </w:p>
        </w:tc>
        <w:tc>
          <w:tcPr>
            <w:tcW w:w="11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B21435">
            <w:pPr>
              <w:rPr>
                <w:rFonts w:ascii="仿宋_GB2312" w:eastAsia="仿宋_GB2312" w:hAnsi="仿宋_GB2312" w:cs="仿宋_GB2312"/>
                <w:color w:val="000000"/>
                <w:sz w:val="24"/>
              </w:rPr>
            </w:pPr>
          </w:p>
        </w:tc>
      </w:tr>
      <w:tr w:rsidR="00B21435">
        <w:trPr>
          <w:trHeight w:val="312"/>
          <w:jc w:val="center"/>
        </w:trPr>
        <w:tc>
          <w:tcPr>
            <w:tcW w:w="14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B21435">
            <w:pPr>
              <w:rPr>
                <w:rFonts w:ascii="仿宋_GB2312" w:eastAsia="仿宋_GB2312" w:hAnsi="仿宋_GB2312" w:cs="仿宋_GB2312"/>
                <w:color w:val="000000"/>
                <w:sz w:val="24"/>
              </w:rPr>
            </w:pPr>
          </w:p>
        </w:tc>
        <w:tc>
          <w:tcPr>
            <w:tcW w:w="2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w:t>
            </w:r>
          </w:p>
        </w:tc>
        <w:tc>
          <w:tcPr>
            <w:tcW w:w="1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固定机架</w:t>
            </w: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w:t>
            </w:r>
          </w:p>
        </w:tc>
        <w:tc>
          <w:tcPr>
            <w:tcW w:w="11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B21435">
            <w:pPr>
              <w:rPr>
                <w:rFonts w:ascii="仿宋_GB2312" w:eastAsia="仿宋_GB2312" w:hAnsi="仿宋_GB2312" w:cs="仿宋_GB2312"/>
                <w:color w:val="000000"/>
                <w:sz w:val="24"/>
              </w:rPr>
            </w:pPr>
          </w:p>
        </w:tc>
      </w:tr>
      <w:tr w:rsidR="00B21435">
        <w:trPr>
          <w:trHeight w:val="312"/>
          <w:jc w:val="center"/>
        </w:trPr>
        <w:tc>
          <w:tcPr>
            <w:tcW w:w="14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B21435">
            <w:pPr>
              <w:rPr>
                <w:rFonts w:ascii="仿宋_GB2312" w:eastAsia="仿宋_GB2312" w:hAnsi="仿宋_GB2312" w:cs="仿宋_GB2312"/>
                <w:color w:val="000000"/>
                <w:sz w:val="24"/>
              </w:rPr>
            </w:pPr>
          </w:p>
        </w:tc>
        <w:tc>
          <w:tcPr>
            <w:tcW w:w="2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w:t>
            </w:r>
          </w:p>
        </w:tc>
        <w:tc>
          <w:tcPr>
            <w:tcW w:w="1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离散角度机架</w:t>
            </w: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w:t>
            </w:r>
          </w:p>
        </w:tc>
        <w:tc>
          <w:tcPr>
            <w:tcW w:w="11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B21435">
            <w:pPr>
              <w:rPr>
                <w:rFonts w:ascii="仿宋_GB2312" w:eastAsia="仿宋_GB2312" w:hAnsi="仿宋_GB2312" w:cs="仿宋_GB2312"/>
                <w:color w:val="000000"/>
                <w:sz w:val="24"/>
              </w:rPr>
            </w:pPr>
          </w:p>
        </w:tc>
      </w:tr>
      <w:tr w:rsidR="00B21435">
        <w:trPr>
          <w:trHeight w:val="1248"/>
          <w:jc w:val="center"/>
        </w:trPr>
        <w:tc>
          <w:tcPr>
            <w:tcW w:w="14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B21435">
            <w:pPr>
              <w:rPr>
                <w:rFonts w:ascii="仿宋_GB2312" w:eastAsia="仿宋_GB2312" w:hAnsi="仿宋_GB2312" w:cs="仿宋_GB2312"/>
                <w:color w:val="000000"/>
                <w:sz w:val="24"/>
              </w:rPr>
            </w:pPr>
          </w:p>
        </w:tc>
        <w:tc>
          <w:tcPr>
            <w:tcW w:w="2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w:t>
            </w:r>
          </w:p>
        </w:tc>
        <w:tc>
          <w:tcPr>
            <w:tcW w:w="1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治疗头（扫描方式）</w:t>
            </w: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剂量监测单元、位置监测单元、束流调制单元、多元限束装置</w:t>
            </w:r>
          </w:p>
        </w:tc>
        <w:tc>
          <w:tcPr>
            <w:tcW w:w="11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B21435">
            <w:pPr>
              <w:rPr>
                <w:rFonts w:ascii="仿宋_GB2312" w:eastAsia="仿宋_GB2312" w:hAnsi="仿宋_GB2312" w:cs="仿宋_GB2312"/>
                <w:color w:val="000000"/>
                <w:sz w:val="24"/>
              </w:rPr>
            </w:pPr>
          </w:p>
        </w:tc>
      </w:tr>
      <w:tr w:rsidR="00B21435">
        <w:trPr>
          <w:trHeight w:val="936"/>
          <w:jc w:val="center"/>
        </w:trPr>
        <w:tc>
          <w:tcPr>
            <w:tcW w:w="14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B21435">
            <w:pPr>
              <w:rPr>
                <w:rFonts w:ascii="仿宋_GB2312" w:eastAsia="仿宋_GB2312" w:hAnsi="仿宋_GB2312" w:cs="仿宋_GB2312"/>
                <w:color w:val="000000"/>
                <w:sz w:val="24"/>
              </w:rPr>
            </w:pPr>
          </w:p>
        </w:tc>
        <w:tc>
          <w:tcPr>
            <w:tcW w:w="2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w:t>
            </w:r>
          </w:p>
        </w:tc>
        <w:tc>
          <w:tcPr>
            <w:tcW w:w="1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治疗头（散射方式）</w:t>
            </w: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剂量监测单元、位置监测单元、束流调制单元、多叶光栅</w:t>
            </w:r>
          </w:p>
        </w:tc>
        <w:tc>
          <w:tcPr>
            <w:tcW w:w="11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B21435">
            <w:pPr>
              <w:rPr>
                <w:rFonts w:ascii="仿宋_GB2312" w:eastAsia="仿宋_GB2312" w:hAnsi="仿宋_GB2312" w:cs="仿宋_GB2312"/>
                <w:color w:val="000000"/>
                <w:sz w:val="24"/>
              </w:rPr>
            </w:pPr>
          </w:p>
        </w:tc>
      </w:tr>
      <w:tr w:rsidR="00B21435">
        <w:trPr>
          <w:trHeight w:val="312"/>
          <w:jc w:val="center"/>
        </w:trPr>
        <w:tc>
          <w:tcPr>
            <w:tcW w:w="14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B21435">
            <w:pPr>
              <w:rPr>
                <w:rFonts w:ascii="仿宋_GB2312" w:eastAsia="仿宋_GB2312" w:hAnsi="仿宋_GB2312" w:cs="仿宋_GB2312"/>
                <w:color w:val="000000"/>
                <w:sz w:val="24"/>
              </w:rPr>
            </w:pPr>
          </w:p>
        </w:tc>
        <w:tc>
          <w:tcPr>
            <w:tcW w:w="2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w:t>
            </w:r>
          </w:p>
        </w:tc>
        <w:tc>
          <w:tcPr>
            <w:tcW w:w="1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图像引导系统</w:t>
            </w: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w:t>
            </w:r>
          </w:p>
        </w:tc>
        <w:tc>
          <w:tcPr>
            <w:tcW w:w="11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B21435">
            <w:pPr>
              <w:rPr>
                <w:rFonts w:ascii="仿宋_GB2312" w:eastAsia="仿宋_GB2312" w:hAnsi="仿宋_GB2312" w:cs="仿宋_GB2312"/>
                <w:color w:val="000000"/>
                <w:sz w:val="24"/>
              </w:rPr>
            </w:pPr>
          </w:p>
        </w:tc>
      </w:tr>
      <w:tr w:rsidR="00B21435">
        <w:trPr>
          <w:trHeight w:val="312"/>
          <w:jc w:val="center"/>
        </w:trPr>
        <w:tc>
          <w:tcPr>
            <w:tcW w:w="14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B21435">
            <w:pPr>
              <w:rPr>
                <w:rFonts w:ascii="仿宋_GB2312" w:eastAsia="仿宋_GB2312" w:hAnsi="仿宋_GB2312" w:cs="仿宋_GB2312"/>
                <w:color w:val="000000"/>
                <w:sz w:val="24"/>
              </w:rPr>
            </w:pPr>
          </w:p>
        </w:tc>
        <w:tc>
          <w:tcPr>
            <w:tcW w:w="2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w:t>
            </w:r>
          </w:p>
        </w:tc>
        <w:tc>
          <w:tcPr>
            <w:tcW w:w="1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患者支撑系统</w:t>
            </w: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w:t>
            </w:r>
          </w:p>
        </w:tc>
        <w:tc>
          <w:tcPr>
            <w:tcW w:w="11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B21435">
            <w:pPr>
              <w:rPr>
                <w:rFonts w:ascii="仿宋_GB2312" w:eastAsia="仿宋_GB2312" w:hAnsi="仿宋_GB2312" w:cs="仿宋_GB2312"/>
                <w:color w:val="000000"/>
                <w:sz w:val="24"/>
              </w:rPr>
            </w:pPr>
          </w:p>
        </w:tc>
      </w:tr>
      <w:tr w:rsidR="00B21435">
        <w:trPr>
          <w:trHeight w:val="616"/>
          <w:jc w:val="center"/>
        </w:trPr>
        <w:tc>
          <w:tcPr>
            <w:tcW w:w="14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B21435">
            <w:pPr>
              <w:rPr>
                <w:rFonts w:ascii="仿宋_GB2312" w:eastAsia="仿宋_GB2312" w:hAnsi="仿宋_GB2312" w:cs="仿宋_GB2312"/>
                <w:color w:val="000000"/>
                <w:sz w:val="24"/>
              </w:rPr>
            </w:pPr>
          </w:p>
        </w:tc>
        <w:tc>
          <w:tcPr>
            <w:tcW w:w="2009" w:type="dxa"/>
            <w:tcBorders>
              <w:top w:val="single" w:sz="4" w:space="0" w:color="000000"/>
              <w:left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w:t>
            </w:r>
          </w:p>
        </w:tc>
        <w:tc>
          <w:tcPr>
            <w:tcW w:w="1929" w:type="dxa"/>
            <w:tcBorders>
              <w:top w:val="single" w:sz="4" w:space="0" w:color="000000"/>
              <w:left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呼吸门控与运动管理系统</w:t>
            </w: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w:t>
            </w:r>
          </w:p>
        </w:tc>
        <w:tc>
          <w:tcPr>
            <w:tcW w:w="11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B21435">
            <w:pPr>
              <w:rPr>
                <w:rFonts w:ascii="仿宋_GB2312" w:eastAsia="仿宋_GB2312" w:hAnsi="仿宋_GB2312" w:cs="仿宋_GB2312"/>
                <w:color w:val="000000"/>
                <w:sz w:val="24"/>
              </w:rPr>
            </w:pPr>
          </w:p>
        </w:tc>
      </w:tr>
      <w:tr w:rsidR="00B21435">
        <w:trPr>
          <w:trHeight w:val="382"/>
          <w:jc w:val="center"/>
        </w:trPr>
        <w:tc>
          <w:tcPr>
            <w:tcW w:w="14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B21435">
            <w:pPr>
              <w:rPr>
                <w:rFonts w:ascii="仿宋_GB2312" w:eastAsia="仿宋_GB2312" w:hAnsi="仿宋_GB2312" w:cs="仿宋_GB2312"/>
                <w:color w:val="000000"/>
                <w:sz w:val="24"/>
              </w:rPr>
            </w:pPr>
          </w:p>
        </w:tc>
        <w:tc>
          <w:tcPr>
            <w:tcW w:w="2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w:t>
            </w:r>
          </w:p>
        </w:tc>
        <w:tc>
          <w:tcPr>
            <w:tcW w:w="1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肿瘤信息系统</w:t>
            </w: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硬件配置、软件模块</w:t>
            </w:r>
          </w:p>
        </w:tc>
        <w:tc>
          <w:tcPr>
            <w:tcW w:w="11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B21435">
            <w:pPr>
              <w:rPr>
                <w:rFonts w:ascii="仿宋_GB2312" w:eastAsia="仿宋_GB2312" w:hAnsi="仿宋_GB2312" w:cs="仿宋_GB2312"/>
                <w:color w:val="000000"/>
                <w:sz w:val="24"/>
              </w:rPr>
            </w:pPr>
          </w:p>
        </w:tc>
      </w:tr>
      <w:tr w:rsidR="00B21435">
        <w:trPr>
          <w:trHeight w:val="312"/>
          <w:jc w:val="center"/>
        </w:trPr>
        <w:tc>
          <w:tcPr>
            <w:tcW w:w="14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B21435">
            <w:pPr>
              <w:rPr>
                <w:rFonts w:ascii="仿宋_GB2312" w:eastAsia="仿宋_GB2312" w:hAnsi="仿宋_GB2312" w:cs="仿宋_GB2312"/>
                <w:color w:val="000000"/>
                <w:sz w:val="24"/>
              </w:rPr>
            </w:pPr>
          </w:p>
        </w:tc>
        <w:tc>
          <w:tcPr>
            <w:tcW w:w="2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w:t>
            </w:r>
          </w:p>
        </w:tc>
        <w:tc>
          <w:tcPr>
            <w:tcW w:w="1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激光定位系统</w:t>
            </w: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w:t>
            </w:r>
          </w:p>
        </w:tc>
        <w:tc>
          <w:tcPr>
            <w:tcW w:w="11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B21435">
            <w:pPr>
              <w:rPr>
                <w:rFonts w:ascii="仿宋_GB2312" w:eastAsia="仿宋_GB2312" w:hAnsi="仿宋_GB2312" w:cs="仿宋_GB2312"/>
                <w:color w:val="000000"/>
                <w:sz w:val="24"/>
              </w:rPr>
            </w:pPr>
          </w:p>
        </w:tc>
      </w:tr>
      <w:tr w:rsidR="00B21435">
        <w:trPr>
          <w:trHeight w:val="312"/>
          <w:jc w:val="center"/>
        </w:trPr>
        <w:tc>
          <w:tcPr>
            <w:tcW w:w="14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B21435">
            <w:pPr>
              <w:rPr>
                <w:rFonts w:ascii="仿宋_GB2312" w:eastAsia="仿宋_GB2312" w:hAnsi="仿宋_GB2312" w:cs="仿宋_GB2312"/>
                <w:color w:val="000000"/>
                <w:sz w:val="24"/>
              </w:rPr>
            </w:pPr>
          </w:p>
        </w:tc>
        <w:tc>
          <w:tcPr>
            <w:tcW w:w="2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B21435">
            <w:pPr>
              <w:widowControl/>
              <w:textAlignment w:val="center"/>
              <w:rPr>
                <w:rFonts w:ascii="仿宋_GB2312" w:eastAsia="仿宋_GB2312" w:hAnsi="仿宋_GB2312" w:cs="仿宋_GB2312"/>
                <w:color w:val="000000"/>
                <w:kern w:val="0"/>
                <w:sz w:val="24"/>
                <w:lang w:bidi="ar"/>
              </w:rPr>
            </w:pPr>
          </w:p>
        </w:tc>
        <w:tc>
          <w:tcPr>
            <w:tcW w:w="1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治疗计划系统</w:t>
            </w: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硬件配置、软件模块</w:t>
            </w:r>
          </w:p>
        </w:tc>
        <w:tc>
          <w:tcPr>
            <w:tcW w:w="11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B21435">
            <w:pPr>
              <w:rPr>
                <w:rFonts w:ascii="仿宋_GB2312" w:eastAsia="仿宋_GB2312" w:hAnsi="仿宋_GB2312" w:cs="仿宋_GB2312"/>
                <w:color w:val="000000"/>
                <w:sz w:val="24"/>
              </w:rPr>
            </w:pPr>
          </w:p>
        </w:tc>
      </w:tr>
      <w:tr w:rsidR="00B21435">
        <w:trPr>
          <w:trHeight w:val="312"/>
          <w:jc w:val="center"/>
        </w:trPr>
        <w:tc>
          <w:tcPr>
            <w:tcW w:w="14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B21435">
            <w:pPr>
              <w:rPr>
                <w:rFonts w:ascii="仿宋_GB2312" w:eastAsia="仿宋_GB2312" w:hAnsi="仿宋_GB2312" w:cs="仿宋_GB2312"/>
                <w:color w:val="000000"/>
                <w:sz w:val="24"/>
              </w:rPr>
            </w:pPr>
          </w:p>
        </w:tc>
        <w:tc>
          <w:tcPr>
            <w:tcW w:w="2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w:t>
            </w:r>
          </w:p>
        </w:tc>
        <w:tc>
          <w:tcPr>
            <w:tcW w:w="1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治疗控制系统</w:t>
            </w:r>
          </w:p>
        </w:tc>
        <w:tc>
          <w:tcPr>
            <w:tcW w:w="2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F21DBE">
            <w:pPr>
              <w:widowControl/>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硬件配置、软件模块</w:t>
            </w:r>
          </w:p>
        </w:tc>
        <w:tc>
          <w:tcPr>
            <w:tcW w:w="11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21435" w:rsidRDefault="00B21435">
            <w:pPr>
              <w:rPr>
                <w:rFonts w:ascii="仿宋_GB2312" w:eastAsia="仿宋_GB2312" w:hAnsi="仿宋_GB2312" w:cs="仿宋_GB2312"/>
                <w:color w:val="000000"/>
                <w:sz w:val="24"/>
              </w:rPr>
            </w:pPr>
          </w:p>
        </w:tc>
      </w:tr>
    </w:tbl>
    <w:p w:rsidR="00B21435" w:rsidRDefault="00F21DBE">
      <w:pPr>
        <w:spacing w:line="560" w:lineRule="exact"/>
        <w:jc w:val="center"/>
        <w:rPr>
          <w:rFonts w:ascii="仿宋_GB2312" w:eastAsia="仿宋_GB2312" w:hAnsi="Arial" w:cs="Arial"/>
          <w:color w:val="000000"/>
          <w:spacing w:val="-1"/>
          <w:sz w:val="30"/>
          <w:szCs w:val="30"/>
        </w:rPr>
      </w:pPr>
      <w:r>
        <w:rPr>
          <w:rFonts w:ascii="仿宋_GB2312" w:eastAsia="仿宋_GB2312" w:hAnsi="Arial" w:cs="Arial" w:hint="eastAsia"/>
          <w:color w:val="000000"/>
          <w:spacing w:val="-1"/>
          <w:sz w:val="30"/>
          <w:szCs w:val="30"/>
        </w:rPr>
        <w:t>表2</w:t>
      </w:r>
      <w:r>
        <w:rPr>
          <w:rFonts w:ascii="仿宋_GB2312" w:eastAsia="仿宋_GB2312" w:hAnsi="Arial" w:cs="Arial"/>
          <w:color w:val="000000"/>
          <w:spacing w:val="-1"/>
          <w:sz w:val="30"/>
          <w:szCs w:val="30"/>
        </w:rPr>
        <w:t xml:space="preserve"> </w:t>
      </w:r>
      <w:r>
        <w:rPr>
          <w:rFonts w:ascii="仿宋_GB2312" w:eastAsia="仿宋_GB2312" w:hAnsi="Arial" w:cs="Arial" w:hint="eastAsia"/>
          <w:color w:val="000000"/>
          <w:spacing w:val="-1"/>
          <w:sz w:val="30"/>
          <w:szCs w:val="30"/>
        </w:rPr>
        <w:t>超导质子治疗系统结构组成</w:t>
      </w:r>
    </w:p>
    <w:tbl>
      <w:tblPr>
        <w:tblW w:w="9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3"/>
        <w:gridCol w:w="2187"/>
        <w:gridCol w:w="2271"/>
        <w:gridCol w:w="2802"/>
      </w:tblGrid>
      <w:tr w:rsidR="00B21435">
        <w:trPr>
          <w:trHeight w:val="525"/>
          <w:tblHeader/>
          <w:jc w:val="center"/>
        </w:trPr>
        <w:tc>
          <w:tcPr>
            <w:tcW w:w="1993" w:type="dxa"/>
            <w:vAlign w:val="center"/>
          </w:tcPr>
          <w:p w:rsidR="00B21435" w:rsidRDefault="00F21DBE">
            <w:pPr>
              <w:rPr>
                <w:rFonts w:ascii="Times New Roman" w:eastAsia="仿宋_GB2312" w:hAnsi="Times New Roman" w:cs="Times New Roman"/>
                <w:b/>
                <w:sz w:val="24"/>
              </w:rPr>
            </w:pPr>
            <w:bookmarkStart w:id="141" w:name="OLE_LINK2"/>
            <w:r>
              <w:rPr>
                <w:rFonts w:ascii="Times New Roman" w:eastAsia="仿宋_GB2312" w:hAnsi="Times New Roman" w:cs="Times New Roman"/>
                <w:b/>
                <w:sz w:val="24"/>
              </w:rPr>
              <w:t>一级子系统</w:t>
            </w:r>
          </w:p>
        </w:tc>
        <w:tc>
          <w:tcPr>
            <w:tcW w:w="2187" w:type="dxa"/>
            <w:vAlign w:val="center"/>
          </w:tcPr>
          <w:p w:rsidR="00B21435" w:rsidRDefault="00F21DBE">
            <w:pPr>
              <w:rPr>
                <w:rFonts w:ascii="Times New Roman" w:eastAsia="仿宋_GB2312" w:hAnsi="Times New Roman" w:cs="Times New Roman"/>
                <w:b/>
                <w:sz w:val="24"/>
              </w:rPr>
            </w:pPr>
            <w:r>
              <w:rPr>
                <w:rFonts w:ascii="Times New Roman" w:eastAsia="仿宋_GB2312" w:hAnsi="Times New Roman" w:cs="Times New Roman"/>
                <w:b/>
                <w:sz w:val="24"/>
              </w:rPr>
              <w:t>二级子系统</w:t>
            </w:r>
          </w:p>
        </w:tc>
        <w:tc>
          <w:tcPr>
            <w:tcW w:w="2271" w:type="dxa"/>
            <w:vAlign w:val="center"/>
          </w:tcPr>
          <w:p w:rsidR="00B21435" w:rsidRDefault="00F21DBE">
            <w:pPr>
              <w:rPr>
                <w:rFonts w:ascii="Times New Roman" w:eastAsia="仿宋_GB2312" w:hAnsi="Times New Roman" w:cs="Times New Roman"/>
                <w:b/>
                <w:sz w:val="24"/>
              </w:rPr>
            </w:pPr>
            <w:r>
              <w:rPr>
                <w:rFonts w:ascii="Times New Roman" w:eastAsia="仿宋_GB2312" w:hAnsi="Times New Roman" w:cs="Times New Roman"/>
                <w:b/>
                <w:sz w:val="24"/>
              </w:rPr>
              <w:t>三级子系统</w:t>
            </w:r>
          </w:p>
        </w:tc>
        <w:tc>
          <w:tcPr>
            <w:tcW w:w="2802" w:type="dxa"/>
            <w:vAlign w:val="center"/>
          </w:tcPr>
          <w:p w:rsidR="00B21435" w:rsidRDefault="00F21DBE">
            <w:pPr>
              <w:rPr>
                <w:rFonts w:ascii="Times New Roman" w:eastAsia="仿宋_GB2312" w:hAnsi="Times New Roman" w:cs="Times New Roman"/>
                <w:b/>
                <w:sz w:val="24"/>
              </w:rPr>
            </w:pPr>
            <w:proofErr w:type="gramStart"/>
            <w:r>
              <w:rPr>
                <w:rFonts w:ascii="Times New Roman" w:eastAsia="仿宋_GB2312" w:hAnsi="Times New Roman" w:cs="Times New Roman" w:hint="eastAsia"/>
                <w:b/>
                <w:sz w:val="24"/>
              </w:rPr>
              <w:t>设备级</w:t>
            </w:r>
            <w:proofErr w:type="gramEnd"/>
          </w:p>
        </w:tc>
      </w:tr>
      <w:tr w:rsidR="00B21435">
        <w:trPr>
          <w:trHeight w:val="90"/>
          <w:jc w:val="center"/>
        </w:trPr>
        <w:tc>
          <w:tcPr>
            <w:tcW w:w="1993" w:type="dxa"/>
            <w:vMerge w:val="restart"/>
            <w:vAlign w:val="center"/>
          </w:tcPr>
          <w:p w:rsidR="00B21435" w:rsidRDefault="00F21DBE">
            <w:pPr>
              <w:rPr>
                <w:rFonts w:ascii="Times New Roman" w:eastAsia="仿宋_GB2312" w:hAnsi="Times New Roman" w:cs="Times New Roman"/>
                <w:sz w:val="24"/>
              </w:rPr>
            </w:pPr>
            <w:r>
              <w:rPr>
                <w:rFonts w:ascii="Times New Roman" w:eastAsia="仿宋_GB2312" w:hAnsi="Times New Roman" w:cs="Times New Roman"/>
                <w:sz w:val="24"/>
              </w:rPr>
              <w:t>加速器子系统</w:t>
            </w:r>
          </w:p>
        </w:tc>
        <w:tc>
          <w:tcPr>
            <w:tcW w:w="2187" w:type="dxa"/>
            <w:vMerge w:val="restart"/>
            <w:vAlign w:val="center"/>
          </w:tcPr>
          <w:p w:rsidR="00B21435" w:rsidRDefault="00F21DBE">
            <w:pPr>
              <w:rPr>
                <w:rFonts w:ascii="Times New Roman" w:eastAsia="仿宋_GB2312" w:hAnsi="Times New Roman" w:cs="Times New Roman"/>
                <w:sz w:val="24"/>
              </w:rPr>
            </w:pPr>
            <w:r>
              <w:rPr>
                <w:rFonts w:ascii="Times New Roman" w:eastAsia="仿宋_GB2312" w:hAnsi="Times New Roman" w:cs="Times New Roman"/>
                <w:sz w:val="24"/>
              </w:rPr>
              <w:t>主加速器系统</w:t>
            </w:r>
          </w:p>
        </w:tc>
        <w:tc>
          <w:tcPr>
            <w:tcW w:w="2271" w:type="dxa"/>
            <w:vAlign w:val="center"/>
          </w:tcPr>
          <w:p w:rsidR="00B21435" w:rsidRDefault="00F21DBE">
            <w:pPr>
              <w:rPr>
                <w:rFonts w:ascii="Times New Roman" w:eastAsia="仿宋_GB2312" w:hAnsi="Times New Roman" w:cs="Times New Roman"/>
                <w:sz w:val="24"/>
              </w:rPr>
            </w:pPr>
            <w:r>
              <w:rPr>
                <w:rFonts w:ascii="Times New Roman" w:eastAsia="仿宋_GB2312" w:hAnsi="Times New Roman" w:cs="Times New Roman"/>
                <w:sz w:val="24"/>
              </w:rPr>
              <w:t>离子源</w:t>
            </w:r>
            <w:r>
              <w:rPr>
                <w:rFonts w:ascii="Times New Roman" w:eastAsia="仿宋_GB2312" w:hAnsi="Times New Roman" w:cs="Times New Roman" w:hint="eastAsia"/>
                <w:sz w:val="24"/>
              </w:rPr>
              <w:t>系统</w:t>
            </w:r>
          </w:p>
        </w:tc>
        <w:tc>
          <w:tcPr>
            <w:tcW w:w="2802" w:type="dxa"/>
            <w:vMerge w:val="restart"/>
            <w:vAlign w:val="center"/>
          </w:tcPr>
          <w:p w:rsidR="00B21435" w:rsidRDefault="00F21DBE">
            <w:pPr>
              <w:rPr>
                <w:rFonts w:ascii="Times New Roman" w:eastAsia="仿宋_GB2312" w:hAnsi="Times New Roman" w:cs="Times New Roman"/>
                <w:sz w:val="24"/>
              </w:rPr>
            </w:pPr>
            <w:bookmarkStart w:id="142" w:name="OLE_LINK3"/>
            <w:r>
              <w:rPr>
                <w:rFonts w:ascii="Times New Roman" w:eastAsia="仿宋_GB2312" w:hAnsi="Times New Roman" w:cs="Times New Roman"/>
                <w:sz w:val="24"/>
              </w:rPr>
              <w:t>描述各</w:t>
            </w:r>
            <w:r>
              <w:rPr>
                <w:rFonts w:ascii="Times New Roman" w:eastAsia="仿宋_GB2312" w:hAnsi="Times New Roman" w:cs="Times New Roman" w:hint="eastAsia"/>
                <w:sz w:val="24"/>
              </w:rPr>
              <w:t>系统</w:t>
            </w:r>
            <w:r>
              <w:rPr>
                <w:rFonts w:ascii="Times New Roman" w:eastAsia="仿宋_GB2312" w:hAnsi="Times New Roman" w:cs="Times New Roman"/>
                <w:sz w:val="24"/>
              </w:rPr>
              <w:t>的具体组成设备、设备数量和关键部件</w:t>
            </w:r>
            <w:bookmarkEnd w:id="142"/>
          </w:p>
        </w:tc>
      </w:tr>
      <w:tr w:rsidR="00B21435">
        <w:trPr>
          <w:trHeight w:val="490"/>
          <w:jc w:val="center"/>
        </w:trPr>
        <w:tc>
          <w:tcPr>
            <w:tcW w:w="1993" w:type="dxa"/>
            <w:vMerge/>
            <w:vAlign w:val="center"/>
          </w:tcPr>
          <w:p w:rsidR="00B21435" w:rsidRDefault="00B21435">
            <w:pPr>
              <w:rPr>
                <w:rFonts w:ascii="Times New Roman" w:eastAsia="仿宋_GB2312" w:hAnsi="Times New Roman" w:cs="Times New Roman"/>
                <w:sz w:val="24"/>
              </w:rPr>
            </w:pPr>
          </w:p>
        </w:tc>
        <w:tc>
          <w:tcPr>
            <w:tcW w:w="2187" w:type="dxa"/>
            <w:vMerge/>
            <w:vAlign w:val="center"/>
          </w:tcPr>
          <w:p w:rsidR="00B21435" w:rsidRDefault="00B21435">
            <w:pPr>
              <w:rPr>
                <w:rFonts w:ascii="Times New Roman" w:eastAsia="仿宋_GB2312" w:hAnsi="Times New Roman" w:cs="Times New Roman"/>
                <w:sz w:val="24"/>
              </w:rPr>
            </w:pPr>
          </w:p>
        </w:tc>
        <w:tc>
          <w:tcPr>
            <w:tcW w:w="2271" w:type="dxa"/>
            <w:vAlign w:val="center"/>
          </w:tcPr>
          <w:p w:rsidR="00B21435" w:rsidRDefault="00F21DBE">
            <w:pPr>
              <w:rPr>
                <w:rFonts w:ascii="Times New Roman" w:eastAsia="仿宋_GB2312" w:hAnsi="Times New Roman" w:cs="Times New Roman"/>
                <w:sz w:val="24"/>
              </w:rPr>
            </w:pPr>
            <w:r>
              <w:rPr>
                <w:rFonts w:ascii="Times New Roman" w:eastAsia="仿宋_GB2312" w:hAnsi="Times New Roman" w:cs="Times New Roman"/>
                <w:sz w:val="24"/>
              </w:rPr>
              <w:t>磁铁</w:t>
            </w:r>
            <w:r>
              <w:rPr>
                <w:rFonts w:ascii="Times New Roman" w:eastAsia="仿宋_GB2312" w:hAnsi="Times New Roman" w:cs="Times New Roman" w:hint="eastAsia"/>
                <w:sz w:val="24"/>
              </w:rPr>
              <w:t>系统</w:t>
            </w:r>
          </w:p>
        </w:tc>
        <w:tc>
          <w:tcPr>
            <w:tcW w:w="2802" w:type="dxa"/>
            <w:vMerge/>
            <w:vAlign w:val="center"/>
          </w:tcPr>
          <w:p w:rsidR="00B21435" w:rsidRDefault="00B21435">
            <w:pPr>
              <w:rPr>
                <w:rFonts w:ascii="Times New Roman" w:eastAsia="仿宋_GB2312" w:hAnsi="Times New Roman" w:cs="Times New Roman"/>
                <w:sz w:val="24"/>
              </w:rPr>
            </w:pPr>
          </w:p>
        </w:tc>
      </w:tr>
      <w:tr w:rsidR="00B21435">
        <w:trPr>
          <w:trHeight w:val="470"/>
          <w:jc w:val="center"/>
        </w:trPr>
        <w:tc>
          <w:tcPr>
            <w:tcW w:w="1993" w:type="dxa"/>
            <w:vMerge/>
            <w:vAlign w:val="center"/>
          </w:tcPr>
          <w:p w:rsidR="00B21435" w:rsidRDefault="00B21435">
            <w:pPr>
              <w:rPr>
                <w:rFonts w:ascii="Times New Roman" w:eastAsia="仿宋_GB2312" w:hAnsi="Times New Roman" w:cs="Times New Roman"/>
                <w:sz w:val="24"/>
              </w:rPr>
            </w:pPr>
          </w:p>
        </w:tc>
        <w:tc>
          <w:tcPr>
            <w:tcW w:w="2187" w:type="dxa"/>
            <w:vMerge/>
            <w:vAlign w:val="center"/>
          </w:tcPr>
          <w:p w:rsidR="00B21435" w:rsidRDefault="00B21435">
            <w:pPr>
              <w:rPr>
                <w:rFonts w:ascii="Times New Roman" w:eastAsia="仿宋_GB2312" w:hAnsi="Times New Roman" w:cs="Times New Roman"/>
                <w:sz w:val="24"/>
              </w:rPr>
            </w:pPr>
          </w:p>
        </w:tc>
        <w:tc>
          <w:tcPr>
            <w:tcW w:w="2271" w:type="dxa"/>
            <w:vAlign w:val="center"/>
          </w:tcPr>
          <w:p w:rsidR="00B21435" w:rsidRDefault="00F21DBE">
            <w:pPr>
              <w:rPr>
                <w:rFonts w:ascii="Times New Roman" w:eastAsia="仿宋_GB2312" w:hAnsi="Times New Roman" w:cs="Times New Roman"/>
                <w:sz w:val="24"/>
              </w:rPr>
            </w:pPr>
            <w:r>
              <w:rPr>
                <w:rFonts w:ascii="Times New Roman" w:eastAsia="仿宋_GB2312" w:hAnsi="Times New Roman" w:cs="Times New Roman"/>
                <w:sz w:val="24"/>
              </w:rPr>
              <w:t>射频</w:t>
            </w:r>
            <w:r>
              <w:rPr>
                <w:rFonts w:ascii="Times New Roman" w:eastAsia="仿宋_GB2312" w:hAnsi="Times New Roman" w:cs="Times New Roman" w:hint="eastAsia"/>
                <w:sz w:val="24"/>
              </w:rPr>
              <w:t>系统</w:t>
            </w:r>
          </w:p>
        </w:tc>
        <w:tc>
          <w:tcPr>
            <w:tcW w:w="2802" w:type="dxa"/>
            <w:vMerge/>
            <w:vAlign w:val="center"/>
          </w:tcPr>
          <w:p w:rsidR="00B21435" w:rsidRDefault="00B21435">
            <w:pPr>
              <w:rPr>
                <w:rFonts w:ascii="Times New Roman" w:eastAsia="仿宋_GB2312" w:hAnsi="Times New Roman" w:cs="Times New Roman"/>
                <w:sz w:val="24"/>
              </w:rPr>
            </w:pPr>
          </w:p>
        </w:tc>
      </w:tr>
      <w:tr w:rsidR="00B21435">
        <w:trPr>
          <w:trHeight w:val="310"/>
          <w:jc w:val="center"/>
        </w:trPr>
        <w:tc>
          <w:tcPr>
            <w:tcW w:w="1993" w:type="dxa"/>
            <w:vMerge/>
            <w:vAlign w:val="center"/>
          </w:tcPr>
          <w:p w:rsidR="00B21435" w:rsidRDefault="00B21435">
            <w:pPr>
              <w:rPr>
                <w:rFonts w:ascii="Times New Roman" w:eastAsia="仿宋_GB2312" w:hAnsi="Times New Roman" w:cs="Times New Roman"/>
                <w:sz w:val="24"/>
              </w:rPr>
            </w:pPr>
          </w:p>
        </w:tc>
        <w:tc>
          <w:tcPr>
            <w:tcW w:w="2187" w:type="dxa"/>
            <w:vMerge/>
            <w:vAlign w:val="center"/>
          </w:tcPr>
          <w:p w:rsidR="00B21435" w:rsidRDefault="00B21435">
            <w:pPr>
              <w:rPr>
                <w:rFonts w:ascii="Times New Roman" w:eastAsia="仿宋_GB2312" w:hAnsi="Times New Roman" w:cs="Times New Roman"/>
                <w:sz w:val="24"/>
              </w:rPr>
            </w:pPr>
          </w:p>
        </w:tc>
        <w:tc>
          <w:tcPr>
            <w:tcW w:w="2271" w:type="dxa"/>
            <w:vAlign w:val="center"/>
          </w:tcPr>
          <w:p w:rsidR="00B21435" w:rsidRDefault="00F21DBE">
            <w:pPr>
              <w:rPr>
                <w:rFonts w:ascii="Times New Roman" w:eastAsia="仿宋_GB2312" w:hAnsi="Times New Roman" w:cs="Times New Roman"/>
                <w:sz w:val="24"/>
              </w:rPr>
            </w:pPr>
            <w:proofErr w:type="gramStart"/>
            <w:r>
              <w:rPr>
                <w:rFonts w:ascii="Times New Roman" w:eastAsia="仿宋_GB2312" w:hAnsi="Times New Roman" w:cs="Times New Roman"/>
                <w:sz w:val="24"/>
              </w:rPr>
              <w:t>束测</w:t>
            </w:r>
            <w:r>
              <w:rPr>
                <w:rFonts w:ascii="Times New Roman" w:eastAsia="仿宋_GB2312" w:hAnsi="Times New Roman" w:cs="Times New Roman" w:hint="eastAsia"/>
                <w:sz w:val="24"/>
              </w:rPr>
              <w:t>系统</w:t>
            </w:r>
            <w:proofErr w:type="gramEnd"/>
          </w:p>
        </w:tc>
        <w:tc>
          <w:tcPr>
            <w:tcW w:w="2802" w:type="dxa"/>
            <w:vMerge/>
            <w:vAlign w:val="center"/>
          </w:tcPr>
          <w:p w:rsidR="00B21435" w:rsidRDefault="00B21435">
            <w:pPr>
              <w:rPr>
                <w:rFonts w:ascii="Times New Roman" w:eastAsia="仿宋_GB2312" w:hAnsi="Times New Roman" w:cs="Times New Roman"/>
                <w:sz w:val="24"/>
              </w:rPr>
            </w:pPr>
          </w:p>
        </w:tc>
      </w:tr>
      <w:tr w:rsidR="00B21435">
        <w:trPr>
          <w:trHeight w:val="450"/>
          <w:jc w:val="center"/>
        </w:trPr>
        <w:tc>
          <w:tcPr>
            <w:tcW w:w="1993" w:type="dxa"/>
            <w:vMerge/>
            <w:vAlign w:val="center"/>
          </w:tcPr>
          <w:p w:rsidR="00B21435" w:rsidRDefault="00B21435">
            <w:pPr>
              <w:rPr>
                <w:rFonts w:ascii="Times New Roman" w:eastAsia="仿宋_GB2312" w:hAnsi="Times New Roman" w:cs="Times New Roman"/>
                <w:sz w:val="24"/>
              </w:rPr>
            </w:pPr>
          </w:p>
        </w:tc>
        <w:tc>
          <w:tcPr>
            <w:tcW w:w="2187" w:type="dxa"/>
            <w:vMerge/>
            <w:vAlign w:val="center"/>
          </w:tcPr>
          <w:p w:rsidR="00B21435" w:rsidRDefault="00B21435">
            <w:pPr>
              <w:rPr>
                <w:rFonts w:ascii="Times New Roman" w:eastAsia="仿宋_GB2312" w:hAnsi="Times New Roman" w:cs="Times New Roman"/>
                <w:sz w:val="24"/>
              </w:rPr>
            </w:pPr>
          </w:p>
        </w:tc>
        <w:tc>
          <w:tcPr>
            <w:tcW w:w="2271" w:type="dxa"/>
            <w:vAlign w:val="center"/>
          </w:tcPr>
          <w:p w:rsidR="00B21435" w:rsidRDefault="00F21DBE">
            <w:pPr>
              <w:rPr>
                <w:rFonts w:ascii="Times New Roman" w:eastAsia="仿宋_GB2312" w:hAnsi="Times New Roman" w:cs="Times New Roman"/>
                <w:sz w:val="24"/>
              </w:rPr>
            </w:pPr>
            <w:r>
              <w:rPr>
                <w:rFonts w:ascii="Times New Roman" w:eastAsia="仿宋_GB2312" w:hAnsi="Times New Roman" w:cs="Times New Roman"/>
                <w:sz w:val="24"/>
              </w:rPr>
              <w:t>真空</w:t>
            </w:r>
            <w:r>
              <w:rPr>
                <w:rFonts w:ascii="Times New Roman" w:eastAsia="仿宋_GB2312" w:hAnsi="Times New Roman" w:cs="Times New Roman" w:hint="eastAsia"/>
                <w:sz w:val="24"/>
              </w:rPr>
              <w:t>系统</w:t>
            </w:r>
          </w:p>
        </w:tc>
        <w:tc>
          <w:tcPr>
            <w:tcW w:w="2802" w:type="dxa"/>
            <w:vMerge/>
            <w:vAlign w:val="center"/>
          </w:tcPr>
          <w:p w:rsidR="00B21435" w:rsidRDefault="00B21435">
            <w:pPr>
              <w:rPr>
                <w:rFonts w:ascii="Times New Roman" w:eastAsia="仿宋_GB2312" w:hAnsi="Times New Roman" w:cs="Times New Roman"/>
                <w:sz w:val="24"/>
              </w:rPr>
            </w:pPr>
          </w:p>
        </w:tc>
      </w:tr>
      <w:tr w:rsidR="00B21435">
        <w:trPr>
          <w:trHeight w:val="385"/>
          <w:jc w:val="center"/>
        </w:trPr>
        <w:tc>
          <w:tcPr>
            <w:tcW w:w="1993" w:type="dxa"/>
            <w:vMerge/>
            <w:vAlign w:val="center"/>
          </w:tcPr>
          <w:p w:rsidR="00B21435" w:rsidRDefault="00B21435">
            <w:pPr>
              <w:rPr>
                <w:rFonts w:ascii="Times New Roman" w:eastAsia="仿宋_GB2312" w:hAnsi="Times New Roman" w:cs="Times New Roman"/>
                <w:sz w:val="24"/>
              </w:rPr>
            </w:pPr>
          </w:p>
        </w:tc>
        <w:tc>
          <w:tcPr>
            <w:tcW w:w="2187" w:type="dxa"/>
            <w:vMerge/>
            <w:vAlign w:val="center"/>
          </w:tcPr>
          <w:p w:rsidR="00B21435" w:rsidRDefault="00B21435">
            <w:pPr>
              <w:rPr>
                <w:rFonts w:ascii="Times New Roman" w:eastAsia="仿宋_GB2312" w:hAnsi="Times New Roman" w:cs="Times New Roman"/>
                <w:sz w:val="24"/>
              </w:rPr>
            </w:pPr>
          </w:p>
        </w:tc>
        <w:tc>
          <w:tcPr>
            <w:tcW w:w="2271" w:type="dxa"/>
            <w:vAlign w:val="center"/>
          </w:tcPr>
          <w:p w:rsidR="00B21435" w:rsidRDefault="00F21DBE">
            <w:pPr>
              <w:rPr>
                <w:rFonts w:ascii="Times New Roman" w:eastAsia="仿宋_GB2312" w:hAnsi="Times New Roman" w:cs="Times New Roman"/>
                <w:color w:val="FF0000"/>
                <w:sz w:val="24"/>
              </w:rPr>
            </w:pPr>
            <w:r>
              <w:rPr>
                <w:rFonts w:ascii="Times New Roman" w:eastAsia="仿宋_GB2312" w:hAnsi="Times New Roman" w:cs="Times New Roman"/>
                <w:color w:val="000000" w:themeColor="text1"/>
                <w:sz w:val="24"/>
              </w:rPr>
              <w:t>束流引出</w:t>
            </w:r>
            <w:r>
              <w:rPr>
                <w:rFonts w:ascii="Times New Roman" w:eastAsia="仿宋_GB2312" w:hAnsi="Times New Roman" w:cs="Times New Roman" w:hint="eastAsia"/>
                <w:color w:val="000000" w:themeColor="text1"/>
                <w:sz w:val="24"/>
              </w:rPr>
              <w:t>系统</w:t>
            </w:r>
          </w:p>
        </w:tc>
        <w:tc>
          <w:tcPr>
            <w:tcW w:w="2802" w:type="dxa"/>
            <w:vMerge/>
            <w:vAlign w:val="center"/>
          </w:tcPr>
          <w:p w:rsidR="00B21435" w:rsidRDefault="00B21435">
            <w:pPr>
              <w:rPr>
                <w:rFonts w:ascii="Times New Roman" w:eastAsia="仿宋_GB2312" w:hAnsi="Times New Roman" w:cs="Times New Roman"/>
                <w:sz w:val="24"/>
              </w:rPr>
            </w:pPr>
          </w:p>
        </w:tc>
      </w:tr>
      <w:tr w:rsidR="00B21435">
        <w:trPr>
          <w:trHeight w:val="385"/>
          <w:jc w:val="center"/>
        </w:trPr>
        <w:tc>
          <w:tcPr>
            <w:tcW w:w="1993" w:type="dxa"/>
            <w:vMerge/>
            <w:vAlign w:val="center"/>
          </w:tcPr>
          <w:p w:rsidR="00B21435" w:rsidRDefault="00B21435">
            <w:pPr>
              <w:rPr>
                <w:rFonts w:ascii="Times New Roman" w:eastAsia="仿宋_GB2312" w:hAnsi="Times New Roman" w:cs="Times New Roman"/>
                <w:sz w:val="24"/>
              </w:rPr>
            </w:pPr>
          </w:p>
        </w:tc>
        <w:tc>
          <w:tcPr>
            <w:tcW w:w="2187" w:type="dxa"/>
            <w:vMerge/>
            <w:vAlign w:val="center"/>
          </w:tcPr>
          <w:p w:rsidR="00B21435" w:rsidRDefault="00B21435">
            <w:pPr>
              <w:rPr>
                <w:rFonts w:ascii="Times New Roman" w:eastAsia="仿宋_GB2312" w:hAnsi="Times New Roman" w:cs="Times New Roman"/>
                <w:sz w:val="24"/>
              </w:rPr>
            </w:pPr>
          </w:p>
        </w:tc>
        <w:tc>
          <w:tcPr>
            <w:tcW w:w="2271" w:type="dxa"/>
            <w:vAlign w:val="center"/>
          </w:tcPr>
          <w:p w:rsidR="00B21435" w:rsidRDefault="00F21DBE">
            <w:pPr>
              <w:rPr>
                <w:rFonts w:ascii="Times New Roman" w:eastAsia="仿宋_GB2312" w:hAnsi="Times New Roman" w:cs="Times New Roman"/>
                <w:sz w:val="24"/>
              </w:rPr>
            </w:pPr>
            <w:r>
              <w:rPr>
                <w:rFonts w:ascii="Times New Roman" w:eastAsia="仿宋_GB2312" w:hAnsi="Times New Roman" w:cs="Times New Roman" w:hint="eastAsia"/>
                <w:sz w:val="24"/>
              </w:rPr>
              <w:t>加速器辅助系统</w:t>
            </w:r>
          </w:p>
        </w:tc>
        <w:tc>
          <w:tcPr>
            <w:tcW w:w="2802" w:type="dxa"/>
            <w:vMerge/>
            <w:vAlign w:val="center"/>
          </w:tcPr>
          <w:p w:rsidR="00B21435" w:rsidRDefault="00B21435">
            <w:pPr>
              <w:rPr>
                <w:rFonts w:ascii="Times New Roman" w:eastAsia="仿宋_GB2312" w:hAnsi="Times New Roman" w:cs="Times New Roman"/>
                <w:sz w:val="24"/>
              </w:rPr>
            </w:pPr>
          </w:p>
        </w:tc>
      </w:tr>
      <w:tr w:rsidR="00B21435">
        <w:trPr>
          <w:trHeight w:val="385"/>
          <w:jc w:val="center"/>
        </w:trPr>
        <w:tc>
          <w:tcPr>
            <w:tcW w:w="1993" w:type="dxa"/>
            <w:vMerge/>
            <w:vAlign w:val="center"/>
          </w:tcPr>
          <w:p w:rsidR="00B21435" w:rsidRDefault="00B21435">
            <w:pPr>
              <w:rPr>
                <w:rFonts w:ascii="Times New Roman" w:eastAsia="仿宋_GB2312" w:hAnsi="Times New Roman" w:cs="Times New Roman"/>
                <w:sz w:val="24"/>
              </w:rPr>
            </w:pPr>
          </w:p>
        </w:tc>
        <w:tc>
          <w:tcPr>
            <w:tcW w:w="2187" w:type="dxa"/>
            <w:vMerge/>
            <w:vAlign w:val="center"/>
          </w:tcPr>
          <w:p w:rsidR="00B21435" w:rsidRDefault="00B21435">
            <w:pPr>
              <w:rPr>
                <w:rFonts w:ascii="Times New Roman" w:eastAsia="仿宋_GB2312" w:hAnsi="Times New Roman" w:cs="Times New Roman"/>
                <w:sz w:val="24"/>
              </w:rPr>
            </w:pPr>
          </w:p>
        </w:tc>
        <w:tc>
          <w:tcPr>
            <w:tcW w:w="2271" w:type="dxa"/>
            <w:vAlign w:val="center"/>
          </w:tcPr>
          <w:p w:rsidR="00B21435" w:rsidRDefault="00F21DBE">
            <w:pPr>
              <w:rPr>
                <w:rFonts w:ascii="Times New Roman" w:eastAsia="仿宋_GB2312" w:hAnsi="Times New Roman" w:cs="Times New Roman"/>
                <w:sz w:val="24"/>
              </w:rPr>
            </w:pPr>
            <w:r>
              <w:rPr>
                <w:rFonts w:ascii="Times New Roman" w:eastAsia="仿宋_GB2312" w:hAnsi="Times New Roman" w:cs="Times New Roman" w:hint="eastAsia"/>
                <w:sz w:val="24"/>
              </w:rPr>
              <w:t>加速器控制系统</w:t>
            </w:r>
          </w:p>
        </w:tc>
        <w:tc>
          <w:tcPr>
            <w:tcW w:w="2802" w:type="dxa"/>
            <w:vMerge/>
            <w:vAlign w:val="center"/>
          </w:tcPr>
          <w:p w:rsidR="00B21435" w:rsidRDefault="00B21435">
            <w:pPr>
              <w:rPr>
                <w:rFonts w:ascii="Times New Roman" w:eastAsia="仿宋_GB2312" w:hAnsi="Times New Roman" w:cs="Times New Roman"/>
                <w:sz w:val="24"/>
              </w:rPr>
            </w:pPr>
          </w:p>
        </w:tc>
      </w:tr>
      <w:tr w:rsidR="00B21435">
        <w:trPr>
          <w:trHeight w:val="385"/>
          <w:jc w:val="center"/>
        </w:trPr>
        <w:tc>
          <w:tcPr>
            <w:tcW w:w="1993" w:type="dxa"/>
            <w:vMerge/>
            <w:vAlign w:val="center"/>
          </w:tcPr>
          <w:p w:rsidR="00B21435" w:rsidRDefault="00B21435">
            <w:pPr>
              <w:rPr>
                <w:rFonts w:ascii="Times New Roman" w:eastAsia="仿宋_GB2312" w:hAnsi="Times New Roman" w:cs="Times New Roman"/>
                <w:sz w:val="24"/>
              </w:rPr>
            </w:pPr>
          </w:p>
        </w:tc>
        <w:tc>
          <w:tcPr>
            <w:tcW w:w="2187" w:type="dxa"/>
            <w:vMerge/>
            <w:vAlign w:val="center"/>
          </w:tcPr>
          <w:p w:rsidR="00B21435" w:rsidRDefault="00B21435">
            <w:pPr>
              <w:rPr>
                <w:rFonts w:ascii="Times New Roman" w:eastAsia="仿宋_GB2312" w:hAnsi="Times New Roman" w:cs="Times New Roman"/>
                <w:sz w:val="24"/>
              </w:rPr>
            </w:pPr>
          </w:p>
        </w:tc>
        <w:tc>
          <w:tcPr>
            <w:tcW w:w="2271" w:type="dxa"/>
            <w:vAlign w:val="center"/>
          </w:tcPr>
          <w:p w:rsidR="00B21435" w:rsidRDefault="00F21DBE">
            <w:pPr>
              <w:rPr>
                <w:rFonts w:ascii="Times New Roman" w:eastAsia="仿宋_GB2312" w:hAnsi="Times New Roman" w:cs="Times New Roman"/>
                <w:sz w:val="24"/>
              </w:rPr>
            </w:pPr>
            <w:r>
              <w:rPr>
                <w:rFonts w:ascii="Times New Roman" w:eastAsia="仿宋_GB2312" w:hAnsi="Times New Roman" w:cs="Times New Roman" w:hint="eastAsia"/>
                <w:sz w:val="24"/>
              </w:rPr>
              <w:t>加速器安全联锁系统</w:t>
            </w:r>
          </w:p>
        </w:tc>
        <w:tc>
          <w:tcPr>
            <w:tcW w:w="2802" w:type="dxa"/>
            <w:vMerge/>
            <w:vAlign w:val="center"/>
          </w:tcPr>
          <w:p w:rsidR="00B21435" w:rsidRDefault="00B21435">
            <w:pPr>
              <w:rPr>
                <w:rFonts w:ascii="Times New Roman" w:eastAsia="仿宋_GB2312" w:hAnsi="Times New Roman" w:cs="Times New Roman"/>
                <w:sz w:val="24"/>
              </w:rPr>
            </w:pPr>
          </w:p>
        </w:tc>
      </w:tr>
      <w:tr w:rsidR="00B21435">
        <w:trPr>
          <w:trHeight w:val="299"/>
          <w:jc w:val="center"/>
        </w:trPr>
        <w:tc>
          <w:tcPr>
            <w:tcW w:w="1993" w:type="dxa"/>
            <w:vMerge/>
            <w:vAlign w:val="center"/>
          </w:tcPr>
          <w:p w:rsidR="00B21435" w:rsidRDefault="00B21435">
            <w:pPr>
              <w:rPr>
                <w:rFonts w:ascii="Times New Roman" w:eastAsia="仿宋_GB2312" w:hAnsi="Times New Roman" w:cs="Times New Roman"/>
                <w:sz w:val="24"/>
              </w:rPr>
            </w:pPr>
          </w:p>
        </w:tc>
        <w:tc>
          <w:tcPr>
            <w:tcW w:w="2187" w:type="dxa"/>
            <w:vMerge w:val="restart"/>
            <w:vAlign w:val="center"/>
          </w:tcPr>
          <w:p w:rsidR="00B21435" w:rsidRDefault="00F21DBE">
            <w:pPr>
              <w:rPr>
                <w:rFonts w:ascii="Times New Roman" w:eastAsia="仿宋_GB2312" w:hAnsi="Times New Roman" w:cs="Times New Roman"/>
                <w:sz w:val="24"/>
              </w:rPr>
            </w:pPr>
            <w:r>
              <w:rPr>
                <w:rFonts w:ascii="Times New Roman" w:eastAsia="仿宋_GB2312" w:hAnsi="Times New Roman" w:cs="Times New Roman"/>
                <w:sz w:val="24"/>
              </w:rPr>
              <w:t>能量选择系统</w:t>
            </w:r>
          </w:p>
        </w:tc>
        <w:tc>
          <w:tcPr>
            <w:tcW w:w="2271" w:type="dxa"/>
            <w:vAlign w:val="center"/>
          </w:tcPr>
          <w:p w:rsidR="00B21435" w:rsidRDefault="00F21DBE">
            <w:pPr>
              <w:rPr>
                <w:rFonts w:ascii="Times New Roman" w:eastAsia="Times New Roman" w:hAnsi="Times New Roman" w:cs="Times New Roman"/>
                <w:sz w:val="24"/>
              </w:rPr>
            </w:pPr>
            <w:r>
              <w:rPr>
                <w:rFonts w:ascii="Times New Roman" w:eastAsia="仿宋_GB2312" w:hAnsi="Times New Roman" w:cs="Times New Roman" w:hint="eastAsia"/>
                <w:sz w:val="24"/>
              </w:rPr>
              <w:t>磁铁单元</w:t>
            </w:r>
          </w:p>
        </w:tc>
        <w:tc>
          <w:tcPr>
            <w:tcW w:w="2802" w:type="dxa"/>
            <w:vMerge/>
            <w:vAlign w:val="center"/>
          </w:tcPr>
          <w:p w:rsidR="00B21435" w:rsidRDefault="00B21435">
            <w:pPr>
              <w:rPr>
                <w:rFonts w:ascii="Times New Roman" w:eastAsia="仿宋_GB2312" w:hAnsi="Times New Roman" w:cs="Times New Roman"/>
                <w:sz w:val="24"/>
              </w:rPr>
            </w:pPr>
          </w:p>
        </w:tc>
      </w:tr>
      <w:tr w:rsidR="00B21435">
        <w:trPr>
          <w:trHeight w:val="365"/>
          <w:jc w:val="center"/>
        </w:trPr>
        <w:tc>
          <w:tcPr>
            <w:tcW w:w="1993" w:type="dxa"/>
            <w:vMerge/>
            <w:vAlign w:val="center"/>
          </w:tcPr>
          <w:p w:rsidR="00B21435" w:rsidRDefault="00B21435">
            <w:pPr>
              <w:rPr>
                <w:rFonts w:ascii="Times New Roman" w:eastAsia="仿宋_GB2312" w:hAnsi="Times New Roman" w:cs="Times New Roman"/>
                <w:sz w:val="24"/>
              </w:rPr>
            </w:pPr>
          </w:p>
        </w:tc>
        <w:tc>
          <w:tcPr>
            <w:tcW w:w="2187" w:type="dxa"/>
            <w:vMerge/>
            <w:vAlign w:val="center"/>
          </w:tcPr>
          <w:p w:rsidR="00B21435" w:rsidRDefault="00B21435">
            <w:pPr>
              <w:rPr>
                <w:rFonts w:ascii="Times New Roman" w:eastAsia="仿宋_GB2312" w:hAnsi="Times New Roman" w:cs="Times New Roman"/>
                <w:sz w:val="24"/>
              </w:rPr>
            </w:pPr>
          </w:p>
        </w:tc>
        <w:tc>
          <w:tcPr>
            <w:tcW w:w="2271" w:type="dxa"/>
            <w:vAlign w:val="center"/>
          </w:tcPr>
          <w:p w:rsidR="00B21435" w:rsidRDefault="00F21DBE">
            <w:pPr>
              <w:rPr>
                <w:rFonts w:ascii="Times New Roman" w:eastAsia="Times New Roman" w:hAnsi="Times New Roman" w:cs="Times New Roman"/>
                <w:sz w:val="24"/>
              </w:rPr>
            </w:pPr>
            <w:proofErr w:type="gramStart"/>
            <w:r>
              <w:rPr>
                <w:rFonts w:ascii="Times New Roman" w:eastAsia="仿宋_GB2312" w:hAnsi="Times New Roman" w:cs="Times New Roman" w:hint="eastAsia"/>
                <w:sz w:val="24"/>
              </w:rPr>
              <w:t>降能器系统</w:t>
            </w:r>
            <w:proofErr w:type="gramEnd"/>
          </w:p>
        </w:tc>
        <w:tc>
          <w:tcPr>
            <w:tcW w:w="2802" w:type="dxa"/>
            <w:vMerge/>
            <w:vAlign w:val="center"/>
          </w:tcPr>
          <w:p w:rsidR="00B21435" w:rsidRDefault="00B21435">
            <w:pPr>
              <w:rPr>
                <w:rFonts w:ascii="Times New Roman" w:eastAsia="仿宋_GB2312" w:hAnsi="Times New Roman" w:cs="Times New Roman"/>
                <w:sz w:val="24"/>
              </w:rPr>
            </w:pPr>
          </w:p>
        </w:tc>
      </w:tr>
      <w:tr w:rsidR="00B21435">
        <w:trPr>
          <w:trHeight w:val="360"/>
          <w:jc w:val="center"/>
        </w:trPr>
        <w:tc>
          <w:tcPr>
            <w:tcW w:w="1993" w:type="dxa"/>
            <w:vMerge/>
            <w:vAlign w:val="center"/>
          </w:tcPr>
          <w:p w:rsidR="00B21435" w:rsidRDefault="00B21435">
            <w:pPr>
              <w:rPr>
                <w:rFonts w:ascii="Times New Roman" w:eastAsia="仿宋_GB2312" w:hAnsi="Times New Roman" w:cs="Times New Roman"/>
                <w:sz w:val="24"/>
              </w:rPr>
            </w:pPr>
          </w:p>
        </w:tc>
        <w:tc>
          <w:tcPr>
            <w:tcW w:w="2187" w:type="dxa"/>
            <w:vMerge/>
            <w:vAlign w:val="center"/>
          </w:tcPr>
          <w:p w:rsidR="00B21435" w:rsidRDefault="00B21435">
            <w:pPr>
              <w:rPr>
                <w:rFonts w:ascii="Times New Roman" w:eastAsia="仿宋_GB2312" w:hAnsi="Times New Roman" w:cs="Times New Roman"/>
                <w:sz w:val="24"/>
              </w:rPr>
            </w:pPr>
          </w:p>
        </w:tc>
        <w:tc>
          <w:tcPr>
            <w:tcW w:w="2271" w:type="dxa"/>
            <w:vAlign w:val="center"/>
          </w:tcPr>
          <w:p w:rsidR="00B21435" w:rsidRDefault="00F21DBE">
            <w:pPr>
              <w:rPr>
                <w:rFonts w:ascii="Times New Roman" w:eastAsia="Times New Roman" w:hAnsi="Times New Roman" w:cs="Times New Roman"/>
                <w:sz w:val="24"/>
              </w:rPr>
            </w:pPr>
            <w:proofErr w:type="gramStart"/>
            <w:r>
              <w:rPr>
                <w:rFonts w:ascii="Times New Roman" w:eastAsia="仿宋_GB2312" w:hAnsi="Times New Roman" w:cs="Times New Roman" w:hint="eastAsia"/>
                <w:sz w:val="24"/>
              </w:rPr>
              <w:t>束测单元</w:t>
            </w:r>
            <w:proofErr w:type="gramEnd"/>
            <w:r>
              <w:rPr>
                <w:rFonts w:ascii="Times New Roman" w:eastAsia="仿宋_GB2312" w:hAnsi="Times New Roman" w:cs="Times New Roman" w:hint="eastAsia"/>
                <w:sz w:val="24"/>
              </w:rPr>
              <w:t xml:space="preserve"> </w:t>
            </w:r>
          </w:p>
        </w:tc>
        <w:tc>
          <w:tcPr>
            <w:tcW w:w="2802" w:type="dxa"/>
            <w:vMerge/>
            <w:vAlign w:val="center"/>
          </w:tcPr>
          <w:p w:rsidR="00B21435" w:rsidRDefault="00B21435">
            <w:pPr>
              <w:rPr>
                <w:rFonts w:ascii="Times New Roman" w:eastAsia="仿宋_GB2312" w:hAnsi="Times New Roman" w:cs="Times New Roman"/>
                <w:sz w:val="24"/>
              </w:rPr>
            </w:pPr>
          </w:p>
        </w:tc>
      </w:tr>
      <w:tr w:rsidR="00B21435">
        <w:trPr>
          <w:trHeight w:val="360"/>
          <w:jc w:val="center"/>
        </w:trPr>
        <w:tc>
          <w:tcPr>
            <w:tcW w:w="1993" w:type="dxa"/>
            <w:vMerge/>
            <w:vAlign w:val="center"/>
          </w:tcPr>
          <w:p w:rsidR="00B21435" w:rsidRDefault="00B21435">
            <w:pPr>
              <w:rPr>
                <w:rFonts w:ascii="Times New Roman" w:eastAsia="仿宋_GB2312" w:hAnsi="Times New Roman" w:cs="Times New Roman"/>
                <w:sz w:val="24"/>
              </w:rPr>
            </w:pPr>
          </w:p>
        </w:tc>
        <w:tc>
          <w:tcPr>
            <w:tcW w:w="2187" w:type="dxa"/>
            <w:vMerge/>
            <w:vAlign w:val="center"/>
          </w:tcPr>
          <w:p w:rsidR="00B21435" w:rsidRDefault="00B21435">
            <w:pPr>
              <w:rPr>
                <w:rFonts w:ascii="Times New Roman" w:eastAsia="仿宋_GB2312" w:hAnsi="Times New Roman" w:cs="Times New Roman"/>
                <w:sz w:val="24"/>
              </w:rPr>
            </w:pPr>
          </w:p>
        </w:tc>
        <w:tc>
          <w:tcPr>
            <w:tcW w:w="2271" w:type="dxa"/>
            <w:vAlign w:val="center"/>
          </w:tcPr>
          <w:p w:rsidR="00B21435" w:rsidRDefault="00F21DBE">
            <w:pPr>
              <w:rPr>
                <w:rFonts w:ascii="Times New Roman" w:eastAsia="Times New Roman" w:hAnsi="Times New Roman" w:cs="Times New Roman"/>
                <w:sz w:val="24"/>
              </w:rPr>
            </w:pPr>
            <w:r>
              <w:rPr>
                <w:rFonts w:ascii="Times New Roman" w:eastAsia="仿宋_GB2312" w:hAnsi="Times New Roman" w:cs="Times New Roman" w:hint="eastAsia"/>
                <w:sz w:val="24"/>
              </w:rPr>
              <w:t>真空单元</w:t>
            </w:r>
          </w:p>
        </w:tc>
        <w:tc>
          <w:tcPr>
            <w:tcW w:w="2802" w:type="dxa"/>
            <w:vMerge/>
            <w:vAlign w:val="center"/>
          </w:tcPr>
          <w:p w:rsidR="00B21435" w:rsidRDefault="00B21435">
            <w:pPr>
              <w:rPr>
                <w:rFonts w:ascii="Times New Roman" w:eastAsia="仿宋_GB2312" w:hAnsi="Times New Roman" w:cs="Times New Roman"/>
                <w:sz w:val="24"/>
              </w:rPr>
            </w:pPr>
          </w:p>
        </w:tc>
      </w:tr>
      <w:tr w:rsidR="00B21435">
        <w:trPr>
          <w:trHeight w:val="360"/>
          <w:jc w:val="center"/>
        </w:trPr>
        <w:tc>
          <w:tcPr>
            <w:tcW w:w="1993" w:type="dxa"/>
            <w:vMerge/>
            <w:vAlign w:val="center"/>
          </w:tcPr>
          <w:p w:rsidR="00B21435" w:rsidRDefault="00B21435">
            <w:pPr>
              <w:rPr>
                <w:rFonts w:ascii="Times New Roman" w:eastAsia="仿宋_GB2312" w:hAnsi="Times New Roman" w:cs="Times New Roman"/>
                <w:sz w:val="24"/>
              </w:rPr>
            </w:pPr>
          </w:p>
        </w:tc>
        <w:tc>
          <w:tcPr>
            <w:tcW w:w="2187" w:type="dxa"/>
            <w:vMerge/>
            <w:vAlign w:val="center"/>
          </w:tcPr>
          <w:p w:rsidR="00B21435" w:rsidRDefault="00B21435">
            <w:pPr>
              <w:rPr>
                <w:rFonts w:ascii="Times New Roman" w:eastAsia="仿宋_GB2312" w:hAnsi="Times New Roman" w:cs="Times New Roman"/>
                <w:sz w:val="24"/>
              </w:rPr>
            </w:pPr>
          </w:p>
        </w:tc>
        <w:tc>
          <w:tcPr>
            <w:tcW w:w="2271" w:type="dxa"/>
            <w:vAlign w:val="center"/>
          </w:tcPr>
          <w:p w:rsidR="00B21435" w:rsidRDefault="00F21DBE">
            <w:pPr>
              <w:rPr>
                <w:rFonts w:ascii="Times New Roman" w:eastAsia="Times New Roman" w:hAnsi="Times New Roman" w:cs="Times New Roman"/>
                <w:sz w:val="24"/>
              </w:rPr>
            </w:pPr>
            <w:r>
              <w:rPr>
                <w:rFonts w:ascii="Times New Roman" w:eastAsia="仿宋_GB2312" w:hAnsi="Times New Roman" w:cs="Times New Roman" w:hint="eastAsia"/>
                <w:sz w:val="24"/>
              </w:rPr>
              <w:t>束流阻断器</w:t>
            </w:r>
          </w:p>
        </w:tc>
        <w:tc>
          <w:tcPr>
            <w:tcW w:w="2802" w:type="dxa"/>
            <w:vMerge/>
            <w:vAlign w:val="center"/>
          </w:tcPr>
          <w:p w:rsidR="00B21435" w:rsidRDefault="00B21435">
            <w:pPr>
              <w:rPr>
                <w:rFonts w:ascii="Times New Roman" w:eastAsia="仿宋_GB2312" w:hAnsi="Times New Roman" w:cs="Times New Roman"/>
                <w:sz w:val="24"/>
              </w:rPr>
            </w:pPr>
          </w:p>
        </w:tc>
      </w:tr>
      <w:tr w:rsidR="00B21435">
        <w:trPr>
          <w:trHeight w:val="360"/>
          <w:jc w:val="center"/>
        </w:trPr>
        <w:tc>
          <w:tcPr>
            <w:tcW w:w="1993" w:type="dxa"/>
            <w:vMerge/>
            <w:vAlign w:val="center"/>
          </w:tcPr>
          <w:p w:rsidR="00B21435" w:rsidRDefault="00B21435">
            <w:pPr>
              <w:rPr>
                <w:rFonts w:ascii="Times New Roman" w:eastAsia="仿宋_GB2312" w:hAnsi="Times New Roman" w:cs="Times New Roman"/>
                <w:sz w:val="24"/>
              </w:rPr>
            </w:pPr>
          </w:p>
        </w:tc>
        <w:tc>
          <w:tcPr>
            <w:tcW w:w="2187" w:type="dxa"/>
            <w:vMerge/>
            <w:vAlign w:val="center"/>
          </w:tcPr>
          <w:p w:rsidR="00B21435" w:rsidRDefault="00B21435">
            <w:pPr>
              <w:rPr>
                <w:rFonts w:ascii="Times New Roman" w:eastAsia="仿宋_GB2312" w:hAnsi="Times New Roman" w:cs="Times New Roman"/>
                <w:sz w:val="24"/>
              </w:rPr>
            </w:pPr>
          </w:p>
        </w:tc>
        <w:tc>
          <w:tcPr>
            <w:tcW w:w="2271" w:type="dxa"/>
            <w:vAlign w:val="center"/>
          </w:tcPr>
          <w:p w:rsidR="00B21435" w:rsidRDefault="00F21DBE">
            <w:pPr>
              <w:rPr>
                <w:rFonts w:ascii="Times New Roman" w:eastAsia="仿宋_GB2312" w:hAnsi="Times New Roman" w:cs="Times New Roman"/>
                <w:sz w:val="24"/>
              </w:rPr>
            </w:pPr>
            <w:r>
              <w:rPr>
                <w:rFonts w:ascii="Times New Roman" w:eastAsia="仿宋_GB2312" w:hAnsi="Times New Roman" w:cs="Times New Roman" w:hint="eastAsia"/>
                <w:sz w:val="24"/>
              </w:rPr>
              <w:t>限制狭缝</w:t>
            </w:r>
          </w:p>
        </w:tc>
        <w:tc>
          <w:tcPr>
            <w:tcW w:w="2802" w:type="dxa"/>
            <w:vMerge/>
            <w:vAlign w:val="center"/>
          </w:tcPr>
          <w:p w:rsidR="00B21435" w:rsidRDefault="00B21435">
            <w:pPr>
              <w:rPr>
                <w:rFonts w:ascii="Times New Roman" w:eastAsia="仿宋_GB2312" w:hAnsi="Times New Roman" w:cs="Times New Roman"/>
                <w:sz w:val="24"/>
              </w:rPr>
            </w:pPr>
          </w:p>
        </w:tc>
      </w:tr>
      <w:tr w:rsidR="00B21435">
        <w:trPr>
          <w:trHeight w:val="372"/>
          <w:jc w:val="center"/>
        </w:trPr>
        <w:tc>
          <w:tcPr>
            <w:tcW w:w="1993" w:type="dxa"/>
            <w:vMerge/>
            <w:vAlign w:val="center"/>
          </w:tcPr>
          <w:p w:rsidR="00B21435" w:rsidRDefault="00B21435">
            <w:pPr>
              <w:rPr>
                <w:rFonts w:ascii="Times New Roman" w:eastAsia="仿宋_GB2312" w:hAnsi="Times New Roman" w:cs="Times New Roman"/>
                <w:sz w:val="24"/>
              </w:rPr>
            </w:pPr>
          </w:p>
        </w:tc>
        <w:tc>
          <w:tcPr>
            <w:tcW w:w="2187" w:type="dxa"/>
            <w:vMerge w:val="restart"/>
            <w:vAlign w:val="center"/>
          </w:tcPr>
          <w:p w:rsidR="00B21435" w:rsidRDefault="00F21DBE">
            <w:pPr>
              <w:rPr>
                <w:rFonts w:ascii="Times New Roman" w:eastAsia="仿宋_GB2312" w:hAnsi="Times New Roman" w:cs="Times New Roman"/>
                <w:sz w:val="24"/>
              </w:rPr>
            </w:pPr>
            <w:r>
              <w:rPr>
                <w:rFonts w:ascii="Times New Roman" w:eastAsia="仿宋_GB2312" w:hAnsi="Times New Roman" w:cs="Times New Roman" w:hint="eastAsia"/>
                <w:sz w:val="24"/>
              </w:rPr>
              <w:t>束流传输系统</w:t>
            </w:r>
          </w:p>
        </w:tc>
        <w:tc>
          <w:tcPr>
            <w:tcW w:w="2271" w:type="dxa"/>
            <w:vAlign w:val="center"/>
          </w:tcPr>
          <w:p w:rsidR="00B21435" w:rsidRDefault="00F21DBE">
            <w:pPr>
              <w:rPr>
                <w:rFonts w:ascii="Times New Roman" w:eastAsia="仿宋_GB2312" w:hAnsi="Times New Roman" w:cs="Times New Roman"/>
                <w:sz w:val="24"/>
              </w:rPr>
            </w:pPr>
            <w:r>
              <w:rPr>
                <w:rFonts w:ascii="Times New Roman" w:eastAsia="仿宋_GB2312" w:hAnsi="Times New Roman" w:cs="Times New Roman" w:hint="eastAsia"/>
                <w:sz w:val="24"/>
              </w:rPr>
              <w:t>磁铁单元</w:t>
            </w:r>
          </w:p>
        </w:tc>
        <w:tc>
          <w:tcPr>
            <w:tcW w:w="2802" w:type="dxa"/>
            <w:vMerge/>
            <w:vAlign w:val="center"/>
          </w:tcPr>
          <w:p w:rsidR="00B21435" w:rsidRDefault="00B21435">
            <w:pPr>
              <w:rPr>
                <w:rFonts w:ascii="Times New Roman" w:eastAsia="仿宋_GB2312" w:hAnsi="Times New Roman" w:cs="Times New Roman"/>
                <w:sz w:val="24"/>
              </w:rPr>
            </w:pPr>
          </w:p>
        </w:tc>
      </w:tr>
      <w:tr w:rsidR="00B21435">
        <w:trPr>
          <w:trHeight w:val="372"/>
          <w:jc w:val="center"/>
        </w:trPr>
        <w:tc>
          <w:tcPr>
            <w:tcW w:w="1993" w:type="dxa"/>
            <w:vMerge/>
            <w:vAlign w:val="center"/>
          </w:tcPr>
          <w:p w:rsidR="00B21435" w:rsidRDefault="00B21435">
            <w:pPr>
              <w:rPr>
                <w:rFonts w:ascii="Times New Roman" w:eastAsia="仿宋_GB2312" w:hAnsi="Times New Roman" w:cs="Times New Roman"/>
                <w:sz w:val="24"/>
              </w:rPr>
            </w:pPr>
          </w:p>
        </w:tc>
        <w:tc>
          <w:tcPr>
            <w:tcW w:w="2187" w:type="dxa"/>
            <w:vMerge/>
            <w:vAlign w:val="center"/>
          </w:tcPr>
          <w:p w:rsidR="00B21435" w:rsidRDefault="00B21435">
            <w:pPr>
              <w:rPr>
                <w:rFonts w:ascii="Times New Roman" w:eastAsia="仿宋_GB2312" w:hAnsi="Times New Roman" w:cs="Times New Roman"/>
                <w:sz w:val="24"/>
              </w:rPr>
            </w:pPr>
          </w:p>
        </w:tc>
        <w:tc>
          <w:tcPr>
            <w:tcW w:w="2271" w:type="dxa"/>
            <w:vAlign w:val="center"/>
          </w:tcPr>
          <w:p w:rsidR="00B21435" w:rsidRDefault="00F21DBE">
            <w:pPr>
              <w:rPr>
                <w:rFonts w:ascii="Times New Roman" w:eastAsia="仿宋_GB2312" w:hAnsi="Times New Roman" w:cs="Times New Roman"/>
                <w:sz w:val="24"/>
              </w:rPr>
            </w:pPr>
            <w:proofErr w:type="gramStart"/>
            <w:r>
              <w:rPr>
                <w:rFonts w:ascii="Times New Roman" w:eastAsia="仿宋_GB2312" w:hAnsi="Times New Roman" w:cs="Times New Roman" w:hint="eastAsia"/>
                <w:sz w:val="24"/>
              </w:rPr>
              <w:t>束测单元</w:t>
            </w:r>
            <w:proofErr w:type="gramEnd"/>
            <w:r>
              <w:rPr>
                <w:rFonts w:ascii="Times New Roman" w:eastAsia="仿宋_GB2312" w:hAnsi="Times New Roman" w:cs="Times New Roman" w:hint="eastAsia"/>
                <w:sz w:val="24"/>
              </w:rPr>
              <w:t xml:space="preserve"> </w:t>
            </w:r>
          </w:p>
        </w:tc>
        <w:tc>
          <w:tcPr>
            <w:tcW w:w="2802" w:type="dxa"/>
            <w:vMerge/>
            <w:vAlign w:val="center"/>
          </w:tcPr>
          <w:p w:rsidR="00B21435" w:rsidRDefault="00B21435">
            <w:pPr>
              <w:rPr>
                <w:rFonts w:ascii="Times New Roman" w:eastAsia="仿宋_GB2312" w:hAnsi="Times New Roman" w:cs="Times New Roman"/>
                <w:sz w:val="24"/>
              </w:rPr>
            </w:pPr>
          </w:p>
        </w:tc>
      </w:tr>
      <w:tr w:rsidR="00B21435">
        <w:trPr>
          <w:trHeight w:val="372"/>
          <w:jc w:val="center"/>
        </w:trPr>
        <w:tc>
          <w:tcPr>
            <w:tcW w:w="1993" w:type="dxa"/>
            <w:vMerge/>
            <w:vAlign w:val="center"/>
          </w:tcPr>
          <w:p w:rsidR="00B21435" w:rsidRDefault="00B21435">
            <w:pPr>
              <w:rPr>
                <w:rFonts w:ascii="Times New Roman" w:eastAsia="仿宋_GB2312" w:hAnsi="Times New Roman" w:cs="Times New Roman"/>
                <w:sz w:val="24"/>
              </w:rPr>
            </w:pPr>
          </w:p>
        </w:tc>
        <w:tc>
          <w:tcPr>
            <w:tcW w:w="2187" w:type="dxa"/>
            <w:vMerge/>
            <w:vAlign w:val="center"/>
          </w:tcPr>
          <w:p w:rsidR="00B21435" w:rsidRDefault="00B21435">
            <w:pPr>
              <w:rPr>
                <w:rFonts w:ascii="Times New Roman" w:eastAsia="仿宋_GB2312" w:hAnsi="Times New Roman" w:cs="Times New Roman"/>
                <w:sz w:val="24"/>
              </w:rPr>
            </w:pPr>
          </w:p>
        </w:tc>
        <w:tc>
          <w:tcPr>
            <w:tcW w:w="2271" w:type="dxa"/>
            <w:vAlign w:val="center"/>
          </w:tcPr>
          <w:p w:rsidR="00B21435" w:rsidRDefault="00F21DBE">
            <w:pPr>
              <w:rPr>
                <w:rFonts w:ascii="Times New Roman" w:eastAsia="仿宋_GB2312" w:hAnsi="Times New Roman" w:cs="Times New Roman"/>
                <w:sz w:val="24"/>
              </w:rPr>
            </w:pPr>
            <w:r>
              <w:rPr>
                <w:rFonts w:ascii="Times New Roman" w:eastAsia="仿宋_GB2312" w:hAnsi="Times New Roman" w:cs="Times New Roman" w:hint="eastAsia"/>
                <w:sz w:val="24"/>
              </w:rPr>
              <w:t>真空单元</w:t>
            </w:r>
          </w:p>
        </w:tc>
        <w:tc>
          <w:tcPr>
            <w:tcW w:w="2802" w:type="dxa"/>
            <w:vMerge/>
            <w:vAlign w:val="center"/>
          </w:tcPr>
          <w:p w:rsidR="00B21435" w:rsidRDefault="00B21435">
            <w:pPr>
              <w:rPr>
                <w:rFonts w:ascii="Times New Roman" w:eastAsia="仿宋_GB2312" w:hAnsi="Times New Roman" w:cs="Times New Roman"/>
                <w:sz w:val="24"/>
              </w:rPr>
            </w:pPr>
          </w:p>
        </w:tc>
      </w:tr>
      <w:tr w:rsidR="00B21435">
        <w:trPr>
          <w:trHeight w:val="353"/>
          <w:jc w:val="center"/>
        </w:trPr>
        <w:tc>
          <w:tcPr>
            <w:tcW w:w="1993" w:type="dxa"/>
            <w:vMerge/>
            <w:vAlign w:val="center"/>
          </w:tcPr>
          <w:p w:rsidR="00B21435" w:rsidRDefault="00B21435">
            <w:pPr>
              <w:rPr>
                <w:rFonts w:ascii="Times New Roman" w:eastAsia="仿宋_GB2312" w:hAnsi="Times New Roman" w:cs="Times New Roman"/>
                <w:sz w:val="24"/>
              </w:rPr>
            </w:pPr>
          </w:p>
        </w:tc>
        <w:tc>
          <w:tcPr>
            <w:tcW w:w="2187" w:type="dxa"/>
            <w:vMerge/>
            <w:vAlign w:val="center"/>
          </w:tcPr>
          <w:p w:rsidR="00B21435" w:rsidRDefault="00B21435">
            <w:pPr>
              <w:rPr>
                <w:rFonts w:ascii="Times New Roman" w:eastAsia="仿宋_GB2312" w:hAnsi="Times New Roman" w:cs="Times New Roman"/>
                <w:sz w:val="24"/>
              </w:rPr>
            </w:pPr>
          </w:p>
        </w:tc>
        <w:tc>
          <w:tcPr>
            <w:tcW w:w="2271" w:type="dxa"/>
            <w:vAlign w:val="center"/>
          </w:tcPr>
          <w:p w:rsidR="00B21435" w:rsidRDefault="00F21DBE">
            <w:pPr>
              <w:rPr>
                <w:rFonts w:ascii="Times New Roman" w:eastAsia="仿宋_GB2312" w:hAnsi="Times New Roman" w:cs="Times New Roman"/>
                <w:sz w:val="24"/>
              </w:rPr>
            </w:pPr>
            <w:r>
              <w:rPr>
                <w:rFonts w:ascii="Times New Roman" w:eastAsia="仿宋_GB2312" w:hAnsi="Times New Roman" w:cs="Times New Roman" w:hint="eastAsia"/>
                <w:sz w:val="24"/>
              </w:rPr>
              <w:t>束流阻断器</w:t>
            </w:r>
          </w:p>
        </w:tc>
        <w:tc>
          <w:tcPr>
            <w:tcW w:w="2802" w:type="dxa"/>
            <w:vMerge/>
            <w:vAlign w:val="center"/>
          </w:tcPr>
          <w:p w:rsidR="00B21435" w:rsidRDefault="00B21435">
            <w:pPr>
              <w:rPr>
                <w:rFonts w:ascii="Times New Roman" w:eastAsia="仿宋_GB2312" w:hAnsi="Times New Roman" w:cs="Times New Roman"/>
                <w:sz w:val="24"/>
              </w:rPr>
            </w:pPr>
          </w:p>
        </w:tc>
      </w:tr>
      <w:tr w:rsidR="00B21435">
        <w:trPr>
          <w:trHeight w:val="333"/>
          <w:jc w:val="center"/>
        </w:trPr>
        <w:tc>
          <w:tcPr>
            <w:tcW w:w="1993" w:type="dxa"/>
            <w:vMerge/>
            <w:vAlign w:val="center"/>
          </w:tcPr>
          <w:p w:rsidR="00B21435" w:rsidRDefault="00B21435">
            <w:pPr>
              <w:rPr>
                <w:rFonts w:ascii="Times New Roman" w:eastAsia="仿宋_GB2312" w:hAnsi="Times New Roman" w:cs="Times New Roman"/>
                <w:sz w:val="24"/>
              </w:rPr>
            </w:pPr>
          </w:p>
        </w:tc>
        <w:tc>
          <w:tcPr>
            <w:tcW w:w="2187" w:type="dxa"/>
            <w:vMerge/>
            <w:vAlign w:val="center"/>
          </w:tcPr>
          <w:p w:rsidR="00B21435" w:rsidRDefault="00B21435">
            <w:pPr>
              <w:rPr>
                <w:rFonts w:ascii="Times New Roman" w:eastAsia="仿宋_GB2312" w:hAnsi="Times New Roman" w:cs="Times New Roman"/>
                <w:sz w:val="24"/>
              </w:rPr>
            </w:pPr>
          </w:p>
        </w:tc>
        <w:tc>
          <w:tcPr>
            <w:tcW w:w="2271" w:type="dxa"/>
            <w:vAlign w:val="center"/>
          </w:tcPr>
          <w:p w:rsidR="00B21435" w:rsidRDefault="00F21DBE">
            <w:pPr>
              <w:rPr>
                <w:rFonts w:ascii="Times New Roman" w:eastAsia="仿宋_GB2312" w:hAnsi="Times New Roman" w:cs="Times New Roman"/>
                <w:sz w:val="24"/>
              </w:rPr>
            </w:pPr>
            <w:r>
              <w:rPr>
                <w:rFonts w:ascii="Times New Roman" w:eastAsia="仿宋_GB2312" w:hAnsi="Times New Roman" w:cs="Times New Roman" w:hint="eastAsia"/>
                <w:sz w:val="24"/>
              </w:rPr>
              <w:t>控制系统</w:t>
            </w:r>
          </w:p>
        </w:tc>
        <w:tc>
          <w:tcPr>
            <w:tcW w:w="2802" w:type="dxa"/>
            <w:vMerge/>
            <w:vAlign w:val="center"/>
          </w:tcPr>
          <w:p w:rsidR="00B21435" w:rsidRDefault="00B21435">
            <w:pPr>
              <w:rPr>
                <w:rFonts w:ascii="Times New Roman" w:eastAsia="仿宋_GB2312" w:hAnsi="Times New Roman" w:cs="Times New Roman"/>
                <w:sz w:val="24"/>
              </w:rPr>
            </w:pPr>
          </w:p>
        </w:tc>
      </w:tr>
      <w:tr w:rsidR="00B21435">
        <w:trPr>
          <w:trHeight w:val="403"/>
          <w:jc w:val="center"/>
        </w:trPr>
        <w:tc>
          <w:tcPr>
            <w:tcW w:w="1993" w:type="dxa"/>
            <w:vMerge/>
            <w:vAlign w:val="center"/>
          </w:tcPr>
          <w:p w:rsidR="00B21435" w:rsidRDefault="00B21435">
            <w:pPr>
              <w:rPr>
                <w:rFonts w:ascii="Times New Roman" w:eastAsia="仿宋_GB2312" w:hAnsi="Times New Roman" w:cs="Times New Roman"/>
                <w:sz w:val="24"/>
              </w:rPr>
            </w:pPr>
          </w:p>
        </w:tc>
        <w:tc>
          <w:tcPr>
            <w:tcW w:w="2187" w:type="dxa"/>
            <w:vMerge/>
            <w:vAlign w:val="center"/>
          </w:tcPr>
          <w:p w:rsidR="00B21435" w:rsidRDefault="00B21435">
            <w:pPr>
              <w:rPr>
                <w:rFonts w:ascii="Times New Roman" w:eastAsia="仿宋_GB2312" w:hAnsi="Times New Roman" w:cs="Times New Roman"/>
                <w:sz w:val="24"/>
              </w:rPr>
            </w:pPr>
          </w:p>
        </w:tc>
        <w:tc>
          <w:tcPr>
            <w:tcW w:w="2271" w:type="dxa"/>
            <w:vAlign w:val="center"/>
          </w:tcPr>
          <w:p w:rsidR="00B21435" w:rsidRDefault="00F21DBE">
            <w:pPr>
              <w:rPr>
                <w:rFonts w:ascii="Times New Roman" w:eastAsia="仿宋_GB2312" w:hAnsi="Times New Roman" w:cs="Times New Roman"/>
                <w:sz w:val="24"/>
              </w:rPr>
            </w:pPr>
            <w:r>
              <w:rPr>
                <w:rFonts w:ascii="Times New Roman" w:eastAsia="仿宋_GB2312" w:hAnsi="Times New Roman" w:cs="Times New Roman" w:hint="eastAsia"/>
                <w:sz w:val="24"/>
              </w:rPr>
              <w:t>安全联锁系统</w:t>
            </w:r>
          </w:p>
        </w:tc>
        <w:tc>
          <w:tcPr>
            <w:tcW w:w="2802" w:type="dxa"/>
            <w:vMerge/>
            <w:vAlign w:val="center"/>
          </w:tcPr>
          <w:p w:rsidR="00B21435" w:rsidRDefault="00B21435">
            <w:pPr>
              <w:rPr>
                <w:rFonts w:ascii="Times New Roman" w:eastAsia="仿宋_GB2312" w:hAnsi="Times New Roman" w:cs="Times New Roman"/>
                <w:sz w:val="24"/>
              </w:rPr>
            </w:pPr>
          </w:p>
        </w:tc>
      </w:tr>
      <w:tr w:rsidR="00B21435">
        <w:trPr>
          <w:trHeight w:val="413"/>
          <w:jc w:val="center"/>
        </w:trPr>
        <w:tc>
          <w:tcPr>
            <w:tcW w:w="1993" w:type="dxa"/>
            <w:vMerge w:val="restart"/>
            <w:vAlign w:val="center"/>
          </w:tcPr>
          <w:p w:rsidR="00B21435" w:rsidRDefault="00F21DBE">
            <w:pPr>
              <w:rPr>
                <w:rFonts w:ascii="Times New Roman" w:eastAsia="仿宋_GB2312" w:hAnsi="Times New Roman" w:cs="Times New Roman"/>
                <w:sz w:val="24"/>
              </w:rPr>
            </w:pPr>
            <w:r>
              <w:rPr>
                <w:rFonts w:ascii="Times New Roman" w:eastAsia="仿宋_GB2312" w:hAnsi="Times New Roman" w:cs="Times New Roman" w:hint="eastAsia"/>
                <w:sz w:val="24"/>
              </w:rPr>
              <w:t>治疗子系统</w:t>
            </w:r>
          </w:p>
        </w:tc>
        <w:tc>
          <w:tcPr>
            <w:tcW w:w="7260" w:type="dxa"/>
            <w:gridSpan w:val="3"/>
            <w:vAlign w:val="center"/>
          </w:tcPr>
          <w:p w:rsidR="00B21435" w:rsidRDefault="00F21DBE">
            <w:pPr>
              <w:rPr>
                <w:rFonts w:ascii="Times New Roman" w:eastAsia="仿宋_GB2312" w:hAnsi="Times New Roman" w:cs="Times New Roman"/>
                <w:sz w:val="24"/>
              </w:rPr>
            </w:pPr>
            <w:r>
              <w:rPr>
                <w:rFonts w:ascii="Times New Roman" w:eastAsia="仿宋_GB2312" w:hAnsi="Times New Roman" w:cs="Times New Roman" w:hint="eastAsia"/>
                <w:sz w:val="24"/>
              </w:rPr>
              <w:t>治疗室情况：</w:t>
            </w:r>
          </w:p>
        </w:tc>
      </w:tr>
      <w:tr w:rsidR="00B21435">
        <w:trPr>
          <w:trHeight w:val="413"/>
          <w:jc w:val="center"/>
        </w:trPr>
        <w:tc>
          <w:tcPr>
            <w:tcW w:w="1993" w:type="dxa"/>
            <w:vMerge/>
            <w:vAlign w:val="center"/>
          </w:tcPr>
          <w:p w:rsidR="00B21435" w:rsidRDefault="00B21435">
            <w:pPr>
              <w:rPr>
                <w:rFonts w:ascii="Times New Roman" w:eastAsia="仿宋_GB2312" w:hAnsi="Times New Roman" w:cs="Times New Roman"/>
                <w:sz w:val="24"/>
              </w:rPr>
            </w:pPr>
          </w:p>
        </w:tc>
        <w:tc>
          <w:tcPr>
            <w:tcW w:w="2187" w:type="dxa"/>
            <w:vAlign w:val="center"/>
          </w:tcPr>
          <w:p w:rsidR="00B21435" w:rsidRDefault="00F21DBE">
            <w:pPr>
              <w:rPr>
                <w:rFonts w:ascii="Times New Roman" w:eastAsia="仿宋_GB2312" w:hAnsi="Times New Roman" w:cs="Times New Roman"/>
                <w:sz w:val="24"/>
              </w:rPr>
            </w:pPr>
            <w:r>
              <w:rPr>
                <w:rFonts w:ascii="Times New Roman" w:eastAsia="仿宋_GB2312" w:hAnsi="Times New Roman" w:cs="Times New Roman" w:hint="eastAsia"/>
                <w:sz w:val="24"/>
              </w:rPr>
              <w:t>/</w:t>
            </w:r>
          </w:p>
        </w:tc>
        <w:tc>
          <w:tcPr>
            <w:tcW w:w="2271" w:type="dxa"/>
            <w:vAlign w:val="center"/>
          </w:tcPr>
          <w:p w:rsidR="00B21435" w:rsidRDefault="00F21DBE">
            <w:pPr>
              <w:rPr>
                <w:rFonts w:ascii="Times New Roman" w:eastAsia="仿宋_GB2312" w:hAnsi="Times New Roman" w:cs="Times New Roman"/>
                <w:sz w:val="24"/>
              </w:rPr>
            </w:pPr>
            <w:r>
              <w:rPr>
                <w:rFonts w:ascii="Times New Roman" w:eastAsia="仿宋_GB2312" w:hAnsi="Times New Roman" w:cs="Times New Roman" w:hint="eastAsia"/>
                <w:sz w:val="24"/>
              </w:rPr>
              <w:t>旋转机架</w:t>
            </w:r>
          </w:p>
        </w:tc>
        <w:tc>
          <w:tcPr>
            <w:tcW w:w="2802" w:type="dxa"/>
            <w:vMerge w:val="restart"/>
            <w:vAlign w:val="center"/>
          </w:tcPr>
          <w:p w:rsidR="00B21435" w:rsidRDefault="00F21DBE">
            <w:pPr>
              <w:rPr>
                <w:rFonts w:ascii="Times New Roman" w:eastAsia="仿宋_GB2312" w:hAnsi="Times New Roman" w:cs="Times New Roman"/>
                <w:sz w:val="24"/>
              </w:rPr>
            </w:pPr>
            <w:r>
              <w:rPr>
                <w:rFonts w:ascii="Times New Roman" w:eastAsia="仿宋_GB2312" w:hAnsi="Times New Roman" w:cs="Times New Roman"/>
                <w:sz w:val="24"/>
              </w:rPr>
              <w:t>描述各</w:t>
            </w:r>
            <w:r>
              <w:rPr>
                <w:rFonts w:ascii="Times New Roman" w:eastAsia="仿宋_GB2312" w:hAnsi="Times New Roman" w:cs="Times New Roman" w:hint="eastAsia"/>
                <w:sz w:val="24"/>
              </w:rPr>
              <w:t>系统</w:t>
            </w:r>
            <w:r>
              <w:rPr>
                <w:rFonts w:ascii="Times New Roman" w:eastAsia="仿宋_GB2312" w:hAnsi="Times New Roman" w:cs="Times New Roman"/>
                <w:sz w:val="24"/>
              </w:rPr>
              <w:t>的具体组成设备、设备数量和关键部件</w:t>
            </w:r>
          </w:p>
        </w:tc>
      </w:tr>
      <w:tr w:rsidR="00B21435">
        <w:trPr>
          <w:trHeight w:val="423"/>
          <w:jc w:val="center"/>
        </w:trPr>
        <w:tc>
          <w:tcPr>
            <w:tcW w:w="1993" w:type="dxa"/>
            <w:vMerge/>
            <w:vAlign w:val="center"/>
          </w:tcPr>
          <w:p w:rsidR="00B21435" w:rsidRDefault="00B21435">
            <w:pPr>
              <w:rPr>
                <w:rFonts w:ascii="Times New Roman" w:eastAsia="仿宋_GB2312" w:hAnsi="Times New Roman" w:cs="Times New Roman"/>
                <w:sz w:val="24"/>
              </w:rPr>
            </w:pPr>
          </w:p>
        </w:tc>
        <w:tc>
          <w:tcPr>
            <w:tcW w:w="2187" w:type="dxa"/>
            <w:vAlign w:val="center"/>
          </w:tcPr>
          <w:p w:rsidR="00B21435" w:rsidRDefault="00F21DBE">
            <w:pPr>
              <w:rPr>
                <w:rFonts w:ascii="Times New Roman" w:eastAsia="仿宋_GB2312" w:hAnsi="Times New Roman" w:cs="Times New Roman"/>
                <w:sz w:val="24"/>
              </w:rPr>
            </w:pPr>
            <w:r>
              <w:rPr>
                <w:rFonts w:ascii="Times New Roman" w:eastAsia="仿宋_GB2312" w:hAnsi="Times New Roman" w:cs="Times New Roman" w:hint="eastAsia"/>
                <w:sz w:val="24"/>
              </w:rPr>
              <w:t>/</w:t>
            </w:r>
          </w:p>
        </w:tc>
        <w:tc>
          <w:tcPr>
            <w:tcW w:w="2271" w:type="dxa"/>
            <w:vAlign w:val="center"/>
          </w:tcPr>
          <w:p w:rsidR="00B21435" w:rsidRDefault="00F21DBE">
            <w:pPr>
              <w:rPr>
                <w:rFonts w:ascii="Times New Roman" w:eastAsia="仿宋_GB2312" w:hAnsi="Times New Roman" w:cs="Times New Roman"/>
                <w:sz w:val="24"/>
              </w:rPr>
            </w:pPr>
            <w:r>
              <w:rPr>
                <w:rFonts w:ascii="Times New Roman" w:eastAsia="仿宋_GB2312" w:hAnsi="Times New Roman" w:cs="Times New Roman" w:hint="eastAsia"/>
                <w:sz w:val="24"/>
              </w:rPr>
              <w:t>固定机架</w:t>
            </w:r>
          </w:p>
        </w:tc>
        <w:tc>
          <w:tcPr>
            <w:tcW w:w="2802" w:type="dxa"/>
            <w:vMerge/>
            <w:vAlign w:val="center"/>
          </w:tcPr>
          <w:p w:rsidR="00B21435" w:rsidRDefault="00B21435">
            <w:pPr>
              <w:rPr>
                <w:rFonts w:ascii="Times New Roman" w:eastAsia="仿宋_GB2312" w:hAnsi="Times New Roman" w:cs="Times New Roman"/>
                <w:sz w:val="24"/>
              </w:rPr>
            </w:pPr>
          </w:p>
        </w:tc>
      </w:tr>
      <w:tr w:rsidR="00B21435">
        <w:trPr>
          <w:trHeight w:val="383"/>
          <w:jc w:val="center"/>
        </w:trPr>
        <w:tc>
          <w:tcPr>
            <w:tcW w:w="1993" w:type="dxa"/>
            <w:vMerge/>
            <w:vAlign w:val="center"/>
          </w:tcPr>
          <w:p w:rsidR="00B21435" w:rsidRDefault="00B21435">
            <w:pPr>
              <w:rPr>
                <w:rFonts w:ascii="Times New Roman" w:eastAsia="仿宋_GB2312" w:hAnsi="Times New Roman" w:cs="Times New Roman"/>
                <w:sz w:val="24"/>
              </w:rPr>
            </w:pPr>
          </w:p>
        </w:tc>
        <w:tc>
          <w:tcPr>
            <w:tcW w:w="2187" w:type="dxa"/>
            <w:vAlign w:val="center"/>
          </w:tcPr>
          <w:p w:rsidR="00B21435" w:rsidRDefault="00F21DBE">
            <w:pPr>
              <w:rPr>
                <w:rFonts w:ascii="Times New Roman" w:eastAsia="仿宋_GB2312" w:hAnsi="Times New Roman" w:cs="Times New Roman"/>
                <w:sz w:val="24"/>
              </w:rPr>
            </w:pPr>
            <w:r>
              <w:rPr>
                <w:rFonts w:ascii="Times New Roman" w:eastAsia="仿宋_GB2312" w:hAnsi="Times New Roman" w:cs="Times New Roman" w:hint="eastAsia"/>
                <w:sz w:val="24"/>
              </w:rPr>
              <w:t>/</w:t>
            </w:r>
          </w:p>
        </w:tc>
        <w:tc>
          <w:tcPr>
            <w:tcW w:w="2271" w:type="dxa"/>
            <w:vAlign w:val="center"/>
          </w:tcPr>
          <w:p w:rsidR="00B21435" w:rsidRDefault="00F21DBE">
            <w:pPr>
              <w:rPr>
                <w:rFonts w:ascii="Times New Roman" w:eastAsia="仿宋_GB2312" w:hAnsi="Times New Roman" w:cs="Times New Roman"/>
                <w:sz w:val="24"/>
              </w:rPr>
            </w:pPr>
            <w:r>
              <w:rPr>
                <w:rFonts w:ascii="Times New Roman" w:eastAsia="仿宋_GB2312" w:hAnsi="Times New Roman" w:cs="Times New Roman" w:hint="eastAsia"/>
                <w:sz w:val="24"/>
              </w:rPr>
              <w:t>治疗头</w:t>
            </w:r>
          </w:p>
        </w:tc>
        <w:tc>
          <w:tcPr>
            <w:tcW w:w="2802" w:type="dxa"/>
            <w:vMerge/>
            <w:vAlign w:val="center"/>
          </w:tcPr>
          <w:p w:rsidR="00B21435" w:rsidRDefault="00B21435">
            <w:pPr>
              <w:rPr>
                <w:rFonts w:ascii="Times New Roman" w:eastAsia="仿宋_GB2312" w:hAnsi="Times New Roman" w:cs="Times New Roman"/>
                <w:sz w:val="24"/>
              </w:rPr>
            </w:pPr>
          </w:p>
        </w:tc>
      </w:tr>
      <w:tr w:rsidR="00B21435">
        <w:trPr>
          <w:trHeight w:val="383"/>
          <w:jc w:val="center"/>
        </w:trPr>
        <w:tc>
          <w:tcPr>
            <w:tcW w:w="1993" w:type="dxa"/>
            <w:vMerge/>
            <w:vAlign w:val="center"/>
          </w:tcPr>
          <w:p w:rsidR="00B21435" w:rsidRDefault="00B21435">
            <w:pPr>
              <w:rPr>
                <w:rFonts w:ascii="Times New Roman" w:eastAsia="仿宋_GB2312" w:hAnsi="Times New Roman" w:cs="Times New Roman"/>
                <w:sz w:val="24"/>
              </w:rPr>
            </w:pPr>
          </w:p>
        </w:tc>
        <w:tc>
          <w:tcPr>
            <w:tcW w:w="2187" w:type="dxa"/>
            <w:vAlign w:val="center"/>
          </w:tcPr>
          <w:p w:rsidR="00B21435" w:rsidRDefault="00F21DBE">
            <w:pPr>
              <w:rPr>
                <w:rFonts w:ascii="Times New Roman" w:eastAsia="仿宋_GB2312" w:hAnsi="Times New Roman" w:cs="Times New Roman"/>
                <w:sz w:val="24"/>
              </w:rPr>
            </w:pPr>
            <w:r>
              <w:rPr>
                <w:rFonts w:ascii="Times New Roman" w:eastAsia="仿宋_GB2312" w:hAnsi="Times New Roman" w:cs="Times New Roman" w:hint="eastAsia"/>
                <w:sz w:val="24"/>
              </w:rPr>
              <w:t>/</w:t>
            </w:r>
          </w:p>
        </w:tc>
        <w:tc>
          <w:tcPr>
            <w:tcW w:w="2271" w:type="dxa"/>
            <w:vAlign w:val="center"/>
          </w:tcPr>
          <w:p w:rsidR="00B21435" w:rsidRDefault="00F21DBE">
            <w:pPr>
              <w:rPr>
                <w:rFonts w:ascii="Times New Roman" w:eastAsia="仿宋_GB2312" w:hAnsi="Times New Roman" w:cs="Times New Roman"/>
                <w:sz w:val="24"/>
              </w:rPr>
            </w:pPr>
            <w:r>
              <w:rPr>
                <w:rFonts w:ascii="Times New Roman" w:eastAsia="仿宋_GB2312" w:hAnsi="Times New Roman" w:cs="Times New Roman" w:hint="eastAsia"/>
                <w:sz w:val="24"/>
              </w:rPr>
              <w:t>图像引导系统</w:t>
            </w:r>
          </w:p>
        </w:tc>
        <w:tc>
          <w:tcPr>
            <w:tcW w:w="2802" w:type="dxa"/>
            <w:vMerge/>
            <w:vAlign w:val="center"/>
          </w:tcPr>
          <w:p w:rsidR="00B21435" w:rsidRDefault="00B21435">
            <w:pPr>
              <w:rPr>
                <w:rFonts w:ascii="Times New Roman" w:eastAsia="仿宋_GB2312" w:hAnsi="Times New Roman" w:cs="Times New Roman"/>
                <w:sz w:val="24"/>
              </w:rPr>
            </w:pPr>
          </w:p>
        </w:tc>
      </w:tr>
      <w:tr w:rsidR="00B21435">
        <w:trPr>
          <w:trHeight w:val="383"/>
          <w:jc w:val="center"/>
        </w:trPr>
        <w:tc>
          <w:tcPr>
            <w:tcW w:w="1993" w:type="dxa"/>
            <w:vMerge/>
            <w:vAlign w:val="center"/>
          </w:tcPr>
          <w:p w:rsidR="00B21435" w:rsidRDefault="00B21435">
            <w:pPr>
              <w:rPr>
                <w:rFonts w:ascii="Times New Roman" w:eastAsia="仿宋_GB2312" w:hAnsi="Times New Roman" w:cs="Times New Roman"/>
                <w:sz w:val="24"/>
              </w:rPr>
            </w:pPr>
          </w:p>
        </w:tc>
        <w:tc>
          <w:tcPr>
            <w:tcW w:w="2187" w:type="dxa"/>
            <w:vAlign w:val="center"/>
          </w:tcPr>
          <w:p w:rsidR="00B21435" w:rsidRDefault="00F21DBE">
            <w:pPr>
              <w:rPr>
                <w:rFonts w:ascii="Times New Roman" w:eastAsia="仿宋_GB2312" w:hAnsi="Times New Roman" w:cs="Times New Roman"/>
                <w:sz w:val="24"/>
              </w:rPr>
            </w:pPr>
            <w:r>
              <w:rPr>
                <w:rFonts w:ascii="Times New Roman" w:eastAsia="仿宋_GB2312" w:hAnsi="Times New Roman" w:cs="Times New Roman" w:hint="eastAsia"/>
                <w:sz w:val="24"/>
              </w:rPr>
              <w:t>/</w:t>
            </w:r>
          </w:p>
        </w:tc>
        <w:tc>
          <w:tcPr>
            <w:tcW w:w="2271" w:type="dxa"/>
            <w:vAlign w:val="center"/>
          </w:tcPr>
          <w:p w:rsidR="00B21435" w:rsidRDefault="00F21DBE">
            <w:pPr>
              <w:rPr>
                <w:rFonts w:ascii="Times New Roman" w:eastAsia="仿宋_GB2312" w:hAnsi="Times New Roman" w:cs="Times New Roman"/>
                <w:sz w:val="24"/>
              </w:rPr>
            </w:pPr>
            <w:bookmarkStart w:id="143" w:name="OLE_LINK5"/>
            <w:r>
              <w:rPr>
                <w:rFonts w:ascii="Times New Roman" w:eastAsia="仿宋_GB2312" w:hAnsi="Times New Roman" w:cs="Times New Roman" w:hint="eastAsia"/>
                <w:sz w:val="24"/>
              </w:rPr>
              <w:t>患者支撑系统</w:t>
            </w:r>
            <w:bookmarkEnd w:id="143"/>
          </w:p>
        </w:tc>
        <w:tc>
          <w:tcPr>
            <w:tcW w:w="2802" w:type="dxa"/>
            <w:vMerge/>
            <w:vAlign w:val="center"/>
          </w:tcPr>
          <w:p w:rsidR="00B21435" w:rsidRDefault="00B21435">
            <w:pPr>
              <w:rPr>
                <w:rFonts w:ascii="Times New Roman" w:eastAsia="仿宋_GB2312" w:hAnsi="Times New Roman" w:cs="Times New Roman"/>
                <w:sz w:val="24"/>
              </w:rPr>
            </w:pPr>
          </w:p>
        </w:tc>
      </w:tr>
      <w:tr w:rsidR="00B21435">
        <w:trPr>
          <w:trHeight w:val="383"/>
          <w:jc w:val="center"/>
        </w:trPr>
        <w:tc>
          <w:tcPr>
            <w:tcW w:w="1993" w:type="dxa"/>
            <w:vMerge/>
            <w:vAlign w:val="center"/>
          </w:tcPr>
          <w:p w:rsidR="00B21435" w:rsidRDefault="00B21435">
            <w:pPr>
              <w:rPr>
                <w:rFonts w:ascii="Times New Roman" w:eastAsia="仿宋_GB2312" w:hAnsi="Times New Roman" w:cs="Times New Roman"/>
                <w:sz w:val="24"/>
              </w:rPr>
            </w:pPr>
          </w:p>
        </w:tc>
        <w:tc>
          <w:tcPr>
            <w:tcW w:w="2187" w:type="dxa"/>
            <w:vAlign w:val="center"/>
          </w:tcPr>
          <w:p w:rsidR="00B21435" w:rsidRDefault="00F21DBE">
            <w:pPr>
              <w:rPr>
                <w:rFonts w:ascii="Times New Roman" w:eastAsia="仿宋_GB2312" w:hAnsi="Times New Roman" w:cs="Times New Roman"/>
                <w:sz w:val="24"/>
              </w:rPr>
            </w:pPr>
            <w:r>
              <w:rPr>
                <w:rFonts w:ascii="Times New Roman" w:eastAsia="仿宋_GB2312" w:hAnsi="Times New Roman" w:cs="Times New Roman" w:hint="eastAsia"/>
                <w:sz w:val="24"/>
              </w:rPr>
              <w:t>/</w:t>
            </w:r>
          </w:p>
        </w:tc>
        <w:tc>
          <w:tcPr>
            <w:tcW w:w="2271" w:type="dxa"/>
            <w:vAlign w:val="center"/>
          </w:tcPr>
          <w:p w:rsidR="00B21435" w:rsidRDefault="00F21DBE">
            <w:pPr>
              <w:rPr>
                <w:rFonts w:ascii="Times New Roman" w:eastAsia="仿宋_GB2312" w:hAnsi="Times New Roman" w:cs="Times New Roman"/>
                <w:sz w:val="24"/>
              </w:rPr>
            </w:pPr>
            <w:r>
              <w:rPr>
                <w:rFonts w:ascii="Times New Roman" w:eastAsia="仿宋_GB2312" w:hAnsi="Times New Roman" w:cs="Times New Roman" w:hint="eastAsia"/>
                <w:sz w:val="24"/>
              </w:rPr>
              <w:t>呼吸门控与运动管理系统</w:t>
            </w:r>
          </w:p>
        </w:tc>
        <w:tc>
          <w:tcPr>
            <w:tcW w:w="2802" w:type="dxa"/>
            <w:vMerge/>
            <w:vAlign w:val="center"/>
          </w:tcPr>
          <w:p w:rsidR="00B21435" w:rsidRDefault="00B21435">
            <w:pPr>
              <w:rPr>
                <w:rFonts w:ascii="Times New Roman" w:eastAsia="仿宋_GB2312" w:hAnsi="Times New Roman" w:cs="Times New Roman"/>
                <w:sz w:val="24"/>
              </w:rPr>
            </w:pPr>
          </w:p>
        </w:tc>
      </w:tr>
      <w:tr w:rsidR="00B21435">
        <w:trPr>
          <w:trHeight w:val="383"/>
          <w:jc w:val="center"/>
        </w:trPr>
        <w:tc>
          <w:tcPr>
            <w:tcW w:w="1993" w:type="dxa"/>
            <w:vMerge/>
            <w:vAlign w:val="center"/>
          </w:tcPr>
          <w:p w:rsidR="00B21435" w:rsidRDefault="00B21435">
            <w:pPr>
              <w:rPr>
                <w:rFonts w:ascii="Times New Roman" w:eastAsia="仿宋_GB2312" w:hAnsi="Times New Roman" w:cs="Times New Roman"/>
                <w:sz w:val="24"/>
              </w:rPr>
            </w:pPr>
          </w:p>
        </w:tc>
        <w:tc>
          <w:tcPr>
            <w:tcW w:w="2187" w:type="dxa"/>
            <w:vAlign w:val="center"/>
          </w:tcPr>
          <w:p w:rsidR="00B21435" w:rsidRDefault="00F21DBE">
            <w:pPr>
              <w:rPr>
                <w:rFonts w:ascii="Times New Roman" w:eastAsia="仿宋_GB2312" w:hAnsi="Times New Roman" w:cs="Times New Roman"/>
                <w:sz w:val="24"/>
              </w:rPr>
            </w:pPr>
            <w:r>
              <w:rPr>
                <w:rFonts w:ascii="Times New Roman" w:eastAsia="仿宋_GB2312" w:hAnsi="Times New Roman" w:cs="Times New Roman" w:hint="eastAsia"/>
                <w:sz w:val="24"/>
              </w:rPr>
              <w:t>/</w:t>
            </w:r>
          </w:p>
        </w:tc>
        <w:tc>
          <w:tcPr>
            <w:tcW w:w="2271" w:type="dxa"/>
            <w:vAlign w:val="center"/>
          </w:tcPr>
          <w:p w:rsidR="00B21435" w:rsidRDefault="00F21DBE">
            <w:pPr>
              <w:rPr>
                <w:rFonts w:ascii="Times New Roman" w:eastAsia="仿宋_GB2312" w:hAnsi="Times New Roman" w:cs="Times New Roman"/>
                <w:sz w:val="24"/>
              </w:rPr>
            </w:pPr>
            <w:r>
              <w:rPr>
                <w:rFonts w:ascii="Times New Roman" w:eastAsia="仿宋_GB2312" w:hAnsi="Times New Roman" w:cs="Times New Roman" w:hint="eastAsia"/>
                <w:sz w:val="24"/>
              </w:rPr>
              <w:t>激光定位系统</w:t>
            </w:r>
          </w:p>
        </w:tc>
        <w:tc>
          <w:tcPr>
            <w:tcW w:w="2802" w:type="dxa"/>
            <w:vMerge/>
            <w:vAlign w:val="center"/>
          </w:tcPr>
          <w:p w:rsidR="00B21435" w:rsidRDefault="00B21435">
            <w:pPr>
              <w:rPr>
                <w:rFonts w:ascii="Times New Roman" w:eastAsia="仿宋_GB2312" w:hAnsi="Times New Roman" w:cs="Times New Roman"/>
                <w:sz w:val="24"/>
              </w:rPr>
            </w:pPr>
          </w:p>
        </w:tc>
      </w:tr>
      <w:tr w:rsidR="00B21435">
        <w:trPr>
          <w:trHeight w:val="383"/>
          <w:jc w:val="center"/>
        </w:trPr>
        <w:tc>
          <w:tcPr>
            <w:tcW w:w="1993" w:type="dxa"/>
            <w:vMerge/>
            <w:vAlign w:val="center"/>
          </w:tcPr>
          <w:p w:rsidR="00B21435" w:rsidRDefault="00B21435">
            <w:pPr>
              <w:rPr>
                <w:rFonts w:ascii="Times New Roman" w:eastAsia="仿宋_GB2312" w:hAnsi="Times New Roman" w:cs="Times New Roman"/>
                <w:sz w:val="24"/>
              </w:rPr>
            </w:pPr>
          </w:p>
        </w:tc>
        <w:tc>
          <w:tcPr>
            <w:tcW w:w="2187" w:type="dxa"/>
            <w:vAlign w:val="center"/>
          </w:tcPr>
          <w:p w:rsidR="00B21435" w:rsidRDefault="00F21DBE">
            <w:pPr>
              <w:rPr>
                <w:rFonts w:ascii="Times New Roman" w:eastAsia="仿宋_GB2312" w:hAnsi="Times New Roman" w:cs="Times New Roman"/>
                <w:sz w:val="24"/>
              </w:rPr>
            </w:pPr>
            <w:r>
              <w:rPr>
                <w:rFonts w:ascii="Times New Roman" w:eastAsia="仿宋_GB2312" w:hAnsi="Times New Roman" w:cs="Times New Roman" w:hint="eastAsia"/>
                <w:sz w:val="24"/>
              </w:rPr>
              <w:t>/</w:t>
            </w:r>
          </w:p>
        </w:tc>
        <w:tc>
          <w:tcPr>
            <w:tcW w:w="2271" w:type="dxa"/>
            <w:vAlign w:val="center"/>
          </w:tcPr>
          <w:p w:rsidR="00B21435" w:rsidRDefault="00F21DBE">
            <w:pPr>
              <w:rPr>
                <w:rFonts w:ascii="Times New Roman" w:eastAsia="仿宋_GB2312" w:hAnsi="Times New Roman" w:cs="Times New Roman"/>
                <w:sz w:val="24"/>
              </w:rPr>
            </w:pPr>
            <w:r>
              <w:rPr>
                <w:rFonts w:ascii="Times New Roman" w:eastAsia="仿宋_GB2312" w:hAnsi="Times New Roman" w:cs="Times New Roman" w:hint="eastAsia"/>
                <w:sz w:val="24"/>
              </w:rPr>
              <w:t>治疗控制系统</w:t>
            </w:r>
          </w:p>
        </w:tc>
        <w:tc>
          <w:tcPr>
            <w:tcW w:w="2802" w:type="dxa"/>
            <w:vMerge/>
            <w:vAlign w:val="center"/>
          </w:tcPr>
          <w:p w:rsidR="00B21435" w:rsidRDefault="00B21435">
            <w:pPr>
              <w:rPr>
                <w:rFonts w:ascii="Times New Roman" w:eastAsia="仿宋_GB2312" w:hAnsi="Times New Roman" w:cs="Times New Roman"/>
                <w:sz w:val="24"/>
              </w:rPr>
            </w:pPr>
          </w:p>
        </w:tc>
      </w:tr>
      <w:tr w:rsidR="00B21435">
        <w:trPr>
          <w:trHeight w:val="383"/>
          <w:jc w:val="center"/>
        </w:trPr>
        <w:tc>
          <w:tcPr>
            <w:tcW w:w="1993" w:type="dxa"/>
            <w:vMerge/>
            <w:vAlign w:val="center"/>
          </w:tcPr>
          <w:p w:rsidR="00B21435" w:rsidRDefault="00B21435">
            <w:pPr>
              <w:rPr>
                <w:rFonts w:ascii="Times New Roman" w:eastAsia="仿宋_GB2312" w:hAnsi="Times New Roman" w:cs="Times New Roman"/>
                <w:sz w:val="24"/>
              </w:rPr>
            </w:pPr>
          </w:p>
        </w:tc>
        <w:tc>
          <w:tcPr>
            <w:tcW w:w="2187" w:type="dxa"/>
            <w:vAlign w:val="center"/>
          </w:tcPr>
          <w:p w:rsidR="00B21435" w:rsidRDefault="00F21DBE">
            <w:pPr>
              <w:rPr>
                <w:rFonts w:ascii="Times New Roman" w:eastAsia="仿宋_GB2312" w:hAnsi="Times New Roman" w:cs="Times New Roman"/>
                <w:sz w:val="24"/>
              </w:rPr>
            </w:pPr>
            <w:r>
              <w:rPr>
                <w:rFonts w:ascii="Times New Roman" w:eastAsia="仿宋_GB2312" w:hAnsi="Times New Roman" w:cs="Times New Roman" w:hint="eastAsia"/>
                <w:sz w:val="24"/>
              </w:rPr>
              <w:t>/</w:t>
            </w:r>
          </w:p>
        </w:tc>
        <w:tc>
          <w:tcPr>
            <w:tcW w:w="2271" w:type="dxa"/>
            <w:vAlign w:val="center"/>
          </w:tcPr>
          <w:p w:rsidR="00B21435" w:rsidRDefault="00F21DBE">
            <w:pPr>
              <w:rPr>
                <w:rFonts w:ascii="Times New Roman" w:eastAsia="仿宋_GB2312" w:hAnsi="Times New Roman" w:cs="Times New Roman"/>
                <w:sz w:val="24"/>
              </w:rPr>
            </w:pPr>
            <w:r>
              <w:rPr>
                <w:rFonts w:ascii="Times New Roman" w:eastAsia="仿宋_GB2312" w:hAnsi="Times New Roman" w:cs="Times New Roman" w:hint="eastAsia"/>
                <w:sz w:val="24"/>
              </w:rPr>
              <w:t>治疗计划系统</w:t>
            </w:r>
          </w:p>
        </w:tc>
        <w:tc>
          <w:tcPr>
            <w:tcW w:w="2802" w:type="dxa"/>
            <w:vMerge/>
            <w:vAlign w:val="center"/>
          </w:tcPr>
          <w:p w:rsidR="00B21435" w:rsidRDefault="00B21435">
            <w:pPr>
              <w:rPr>
                <w:rFonts w:ascii="Times New Roman" w:eastAsia="仿宋_GB2312" w:hAnsi="Times New Roman" w:cs="Times New Roman"/>
                <w:sz w:val="24"/>
              </w:rPr>
            </w:pPr>
          </w:p>
        </w:tc>
      </w:tr>
      <w:bookmarkEnd w:id="141"/>
      <w:tr w:rsidR="00B21435">
        <w:trPr>
          <w:trHeight w:val="383"/>
          <w:jc w:val="center"/>
        </w:trPr>
        <w:tc>
          <w:tcPr>
            <w:tcW w:w="1993" w:type="dxa"/>
            <w:vMerge/>
          </w:tcPr>
          <w:p w:rsidR="00B21435" w:rsidRDefault="00B21435">
            <w:pPr>
              <w:rPr>
                <w:rFonts w:ascii="Times New Roman" w:eastAsia="仿宋_GB2312" w:hAnsi="Times New Roman" w:cs="Times New Roman"/>
                <w:sz w:val="24"/>
              </w:rPr>
            </w:pPr>
          </w:p>
        </w:tc>
        <w:tc>
          <w:tcPr>
            <w:tcW w:w="2187" w:type="dxa"/>
            <w:vAlign w:val="center"/>
          </w:tcPr>
          <w:p w:rsidR="00B21435" w:rsidRDefault="00F21DBE">
            <w:pPr>
              <w:rPr>
                <w:rFonts w:ascii="Times New Roman" w:eastAsia="仿宋_GB2312" w:hAnsi="Times New Roman" w:cs="Times New Roman"/>
                <w:sz w:val="24"/>
              </w:rPr>
            </w:pPr>
            <w:r>
              <w:rPr>
                <w:rFonts w:ascii="Times New Roman" w:eastAsia="仿宋_GB2312" w:hAnsi="Times New Roman" w:cs="Times New Roman" w:hint="eastAsia"/>
                <w:sz w:val="24"/>
              </w:rPr>
              <w:t>/</w:t>
            </w:r>
          </w:p>
        </w:tc>
        <w:tc>
          <w:tcPr>
            <w:tcW w:w="2271" w:type="dxa"/>
            <w:vAlign w:val="center"/>
          </w:tcPr>
          <w:p w:rsidR="00B21435" w:rsidRDefault="00F21DBE">
            <w:pPr>
              <w:rPr>
                <w:rFonts w:ascii="Times New Roman" w:eastAsia="仿宋_GB2312" w:hAnsi="Times New Roman" w:cs="Times New Roman"/>
                <w:sz w:val="24"/>
              </w:rPr>
            </w:pPr>
            <w:r>
              <w:rPr>
                <w:rFonts w:ascii="Times New Roman" w:eastAsia="仿宋_GB2312" w:hAnsi="Times New Roman" w:cs="Times New Roman" w:hint="eastAsia"/>
                <w:sz w:val="24"/>
              </w:rPr>
              <w:t>肿瘤信息管理系统</w:t>
            </w:r>
          </w:p>
        </w:tc>
        <w:tc>
          <w:tcPr>
            <w:tcW w:w="2802" w:type="dxa"/>
            <w:vMerge/>
          </w:tcPr>
          <w:p w:rsidR="00B21435" w:rsidRDefault="00B21435">
            <w:pPr>
              <w:rPr>
                <w:rFonts w:ascii="Times New Roman" w:eastAsia="仿宋_GB2312" w:hAnsi="Times New Roman" w:cs="Times New Roman"/>
                <w:sz w:val="24"/>
              </w:rPr>
            </w:pPr>
          </w:p>
        </w:tc>
      </w:tr>
    </w:tbl>
    <w:p w:rsidR="00B21435" w:rsidRDefault="00F21DBE">
      <w:pPr>
        <w:spacing w:line="560" w:lineRule="exact"/>
        <w:ind w:firstLineChars="200" w:firstLine="636"/>
        <w:rPr>
          <w:rFonts w:ascii="黑体" w:eastAsia="仿宋_GB2312" w:hAnsi="黑体"/>
          <w:sz w:val="32"/>
          <w:szCs w:val="32"/>
        </w:rPr>
      </w:pPr>
      <w:r>
        <w:rPr>
          <w:rFonts w:ascii="仿宋_GB2312" w:eastAsia="仿宋_GB2312" w:hAnsi="Arial" w:cs="Arial" w:hint="eastAsia"/>
          <w:color w:val="000000"/>
          <w:spacing w:val="-1"/>
          <w:sz w:val="32"/>
          <w:szCs w:val="32"/>
        </w:rPr>
        <w:t>3.辅助设施。碳离子/质子治疗系统辅助设施为整个产品正常运转提供必不可少的条件，但不作为产品结构组成部分申报。辅助设施通常包含辐射防护系统和公用设施系统两部分，其中辐射防护系统包括辐射屏蔽、安全</w:t>
      </w:r>
      <w:proofErr w:type="gramStart"/>
      <w:r>
        <w:rPr>
          <w:rFonts w:ascii="仿宋_GB2312" w:eastAsia="仿宋_GB2312" w:hAnsi="Arial" w:cs="Arial" w:hint="eastAsia"/>
          <w:color w:val="000000"/>
          <w:spacing w:val="-1"/>
          <w:sz w:val="32"/>
          <w:szCs w:val="32"/>
        </w:rPr>
        <w:t>联锁</w:t>
      </w:r>
      <w:proofErr w:type="gramEnd"/>
      <w:r>
        <w:rPr>
          <w:rFonts w:ascii="仿宋_GB2312" w:eastAsia="仿宋_GB2312" w:hAnsi="Arial" w:cs="Arial" w:hint="eastAsia"/>
          <w:color w:val="000000"/>
          <w:spacing w:val="-1"/>
          <w:sz w:val="32"/>
          <w:szCs w:val="32"/>
        </w:rPr>
        <w:t>、辐射监测；公用设施系统包括供电及地线系统、供水系统、通风系统、供气系统等。</w:t>
      </w:r>
    </w:p>
    <w:p w:rsidR="00B21435" w:rsidRDefault="00F21DBE">
      <w:pPr>
        <w:outlineLvl w:val="1"/>
        <w:rPr>
          <w:rFonts w:ascii="Arial" w:eastAsia="黑体" w:hAnsi="Arial" w:cs="Arial"/>
          <w:kern w:val="0"/>
          <w:sz w:val="36"/>
          <w:szCs w:val="36"/>
        </w:rPr>
      </w:pPr>
      <w:r>
        <w:rPr>
          <w:rFonts w:ascii="黑体" w:eastAsia="黑体" w:hAnsi="黑体" w:hint="eastAsia"/>
          <w:sz w:val="36"/>
        </w:rPr>
        <w:t>二、</w:t>
      </w:r>
      <w:r>
        <w:rPr>
          <w:rFonts w:ascii="Arial" w:eastAsia="黑体" w:hAnsi="Arial" w:cs="Arial" w:hint="eastAsia"/>
          <w:kern w:val="0"/>
          <w:sz w:val="36"/>
          <w:szCs w:val="36"/>
        </w:rPr>
        <w:t>产品技术</w:t>
      </w:r>
      <w:bookmarkEnd w:id="128"/>
      <w:bookmarkEnd w:id="129"/>
      <w:bookmarkEnd w:id="130"/>
      <w:bookmarkEnd w:id="131"/>
      <w:bookmarkEnd w:id="132"/>
      <w:bookmarkEnd w:id="133"/>
      <w:bookmarkEnd w:id="134"/>
      <w:bookmarkEnd w:id="135"/>
      <w:bookmarkEnd w:id="136"/>
      <w:bookmarkEnd w:id="137"/>
      <w:bookmarkEnd w:id="138"/>
      <w:bookmarkEnd w:id="139"/>
      <w:bookmarkEnd w:id="140"/>
      <w:r>
        <w:rPr>
          <w:rFonts w:ascii="Arial" w:eastAsia="黑体" w:hAnsi="Arial" w:cs="Arial" w:hint="eastAsia"/>
          <w:kern w:val="0"/>
          <w:sz w:val="36"/>
          <w:szCs w:val="36"/>
        </w:rPr>
        <w:t>特性</w:t>
      </w:r>
    </w:p>
    <w:p w:rsidR="00B21435" w:rsidRDefault="00F21DBE">
      <w:pPr>
        <w:spacing w:line="560" w:lineRule="exact"/>
        <w:ind w:firstLineChars="200" w:firstLine="640"/>
        <w:outlineLvl w:val="2"/>
      </w:pPr>
      <w:bookmarkStart w:id="144" w:name="_Toc923"/>
      <w:bookmarkStart w:id="145" w:name="_Toc10733"/>
      <w:bookmarkStart w:id="146" w:name="_Toc25260"/>
      <w:bookmarkStart w:id="147" w:name="_Toc6746"/>
      <w:bookmarkStart w:id="148" w:name="_Toc30553"/>
      <w:bookmarkStart w:id="149" w:name="_Toc15918"/>
      <w:bookmarkStart w:id="150" w:name="_Toc20532"/>
      <w:bookmarkStart w:id="151" w:name="_Toc24281"/>
      <w:bookmarkStart w:id="152" w:name="_Toc19525"/>
      <w:bookmarkStart w:id="153" w:name="_Toc3457"/>
      <w:bookmarkStart w:id="154" w:name="_Toc4279"/>
      <w:bookmarkStart w:id="155" w:name="_Toc570"/>
      <w:bookmarkStart w:id="156" w:name="_Toc2789"/>
      <w:bookmarkStart w:id="157" w:name="_Toc32653"/>
      <w:bookmarkStart w:id="158" w:name="_Toc3082"/>
      <w:bookmarkStart w:id="159" w:name="_Toc14076"/>
      <w:bookmarkStart w:id="160" w:name="_Toc11787"/>
      <w:bookmarkStart w:id="161" w:name="_Toc6669"/>
      <w:bookmarkStart w:id="162" w:name="_Toc12359"/>
      <w:bookmarkStart w:id="163" w:name="_Toc16232"/>
      <w:bookmarkStart w:id="164" w:name="_Toc4945"/>
      <w:bookmarkStart w:id="165" w:name="_Toc28176"/>
      <w:bookmarkStart w:id="166" w:name="_Toc4017"/>
      <w:bookmarkStart w:id="167" w:name="_Toc22830"/>
      <w:bookmarkStart w:id="168" w:name="_Toc25585"/>
      <w:bookmarkStart w:id="169" w:name="_Toc5220"/>
      <w:r>
        <w:rPr>
          <w:rFonts w:ascii="楷体" w:eastAsia="楷体" w:hAnsi="楷体" w:cs="楷体" w:hint="eastAsia"/>
          <w:sz w:val="32"/>
          <w:szCs w:val="32"/>
        </w:rPr>
        <w:t>（一）产品主要技术指标</w:t>
      </w:r>
      <w:bookmarkEnd w:id="144"/>
      <w:bookmarkEnd w:id="145"/>
      <w:bookmarkEnd w:id="146"/>
      <w:bookmarkEnd w:id="147"/>
      <w:bookmarkEnd w:id="148"/>
      <w:bookmarkEnd w:id="149"/>
      <w:bookmarkEnd w:id="150"/>
      <w:bookmarkEnd w:id="151"/>
      <w:bookmarkEnd w:id="152"/>
      <w:bookmarkEnd w:id="153"/>
      <w:bookmarkEnd w:id="154"/>
      <w:bookmarkEnd w:id="155"/>
      <w:bookmarkEnd w:id="156"/>
    </w:p>
    <w:p w:rsidR="00B21435" w:rsidRDefault="00F21DBE">
      <w:pPr>
        <w:pStyle w:val="aa1"/>
        <w:spacing w:after="0" w:line="240" w:lineRule="auto"/>
        <w:ind w:firstLine="0"/>
        <w:rPr>
          <w:rFonts w:ascii="仿宋_GB2312" w:eastAsia="仿宋_GB2312" w:hAnsi="仿宋_GB2312" w:cs="仿宋_GB2312"/>
          <w:bCs/>
          <w:sz w:val="30"/>
          <w:szCs w:val="30"/>
        </w:rPr>
      </w:pPr>
      <w:r>
        <w:rPr>
          <w:rFonts w:ascii="仿宋_GB2312" w:eastAsia="仿宋_GB2312" w:hAnsi="仿宋_GB2312" w:cs="仿宋_GB2312" w:hint="eastAsia"/>
          <w:sz w:val="30"/>
          <w:szCs w:val="30"/>
        </w:rPr>
        <w:t>表3 碳离子/质子治疗系统基本参数</w:t>
      </w:r>
    </w:p>
    <w:tbl>
      <w:tblPr>
        <w:tblW w:w="8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1"/>
        <w:gridCol w:w="5347"/>
        <w:gridCol w:w="982"/>
      </w:tblGrid>
      <w:tr w:rsidR="00B21435">
        <w:trPr>
          <w:trHeight w:val="619"/>
          <w:tblHeader/>
          <w:jc w:val="center"/>
        </w:trPr>
        <w:tc>
          <w:tcPr>
            <w:tcW w:w="1931" w:type="dxa"/>
            <w:vAlign w:val="center"/>
          </w:tcPr>
          <w:p w:rsidR="00B21435" w:rsidRDefault="00F21DBE">
            <w:pPr>
              <w:pStyle w:val="afa"/>
              <w:jc w:val="center"/>
              <w:rPr>
                <w:rFonts w:ascii="仿宋_GB2312" w:eastAsia="仿宋_GB2312"/>
                <w:b/>
                <w:bCs/>
                <w:sz w:val="24"/>
              </w:rPr>
            </w:pPr>
            <w:bookmarkStart w:id="170" w:name="_Hlk66281649"/>
            <w:r>
              <w:rPr>
                <w:rFonts w:ascii="仿宋_GB2312" w:eastAsia="仿宋_GB2312" w:hint="eastAsia"/>
                <w:b/>
                <w:bCs/>
                <w:sz w:val="24"/>
              </w:rPr>
              <w:t>项目</w:t>
            </w:r>
          </w:p>
        </w:tc>
        <w:tc>
          <w:tcPr>
            <w:tcW w:w="5347" w:type="dxa"/>
            <w:vAlign w:val="center"/>
          </w:tcPr>
          <w:p w:rsidR="00B21435" w:rsidRDefault="00F21DBE">
            <w:pPr>
              <w:pStyle w:val="afa"/>
              <w:jc w:val="center"/>
              <w:rPr>
                <w:rFonts w:ascii="仿宋_GB2312" w:eastAsia="仿宋_GB2312"/>
                <w:b/>
                <w:bCs/>
                <w:sz w:val="24"/>
              </w:rPr>
            </w:pPr>
            <w:r>
              <w:rPr>
                <w:rFonts w:ascii="仿宋_GB2312" w:eastAsia="仿宋_GB2312" w:hint="eastAsia"/>
                <w:b/>
                <w:bCs/>
                <w:sz w:val="24"/>
              </w:rPr>
              <w:t>参数</w:t>
            </w:r>
          </w:p>
        </w:tc>
        <w:tc>
          <w:tcPr>
            <w:tcW w:w="982" w:type="dxa"/>
            <w:vAlign w:val="center"/>
          </w:tcPr>
          <w:p w:rsidR="00B21435" w:rsidRDefault="00F21DBE">
            <w:pPr>
              <w:pStyle w:val="afa"/>
              <w:jc w:val="center"/>
              <w:rPr>
                <w:rFonts w:ascii="仿宋_GB2312" w:eastAsia="仿宋_GB2312"/>
                <w:b/>
                <w:bCs/>
                <w:sz w:val="24"/>
              </w:rPr>
            </w:pPr>
            <w:r>
              <w:rPr>
                <w:rFonts w:ascii="仿宋_GB2312" w:eastAsia="仿宋_GB2312" w:hint="eastAsia"/>
                <w:b/>
                <w:bCs/>
                <w:sz w:val="24"/>
              </w:rPr>
              <w:t>指标</w:t>
            </w:r>
          </w:p>
        </w:tc>
      </w:tr>
      <w:tr w:rsidR="00B21435">
        <w:trPr>
          <w:trHeight w:hRule="exact" w:val="397"/>
          <w:jc w:val="center"/>
        </w:trPr>
        <w:tc>
          <w:tcPr>
            <w:tcW w:w="1931" w:type="dxa"/>
            <w:vMerge w:val="restart"/>
            <w:vAlign w:val="center"/>
          </w:tcPr>
          <w:p w:rsidR="00B21435" w:rsidRDefault="00F21DBE">
            <w:pPr>
              <w:pStyle w:val="afa"/>
              <w:jc w:val="center"/>
              <w:rPr>
                <w:rFonts w:ascii="仿宋_GB2312" w:eastAsia="仿宋_GB2312"/>
                <w:sz w:val="24"/>
              </w:rPr>
            </w:pPr>
            <w:r>
              <w:rPr>
                <w:rFonts w:ascii="仿宋_GB2312" w:eastAsia="仿宋_GB2312" w:hint="eastAsia"/>
                <w:sz w:val="24"/>
              </w:rPr>
              <w:t>治疗室/治疗</w:t>
            </w:r>
            <w:proofErr w:type="gramStart"/>
            <w:r>
              <w:rPr>
                <w:rFonts w:ascii="仿宋_GB2312" w:eastAsia="仿宋_GB2312" w:hint="eastAsia"/>
                <w:sz w:val="24"/>
              </w:rPr>
              <w:t>头情况</w:t>
            </w:r>
            <w:proofErr w:type="gramEnd"/>
          </w:p>
        </w:tc>
        <w:tc>
          <w:tcPr>
            <w:tcW w:w="5347" w:type="dxa"/>
            <w:vAlign w:val="center"/>
          </w:tcPr>
          <w:p w:rsidR="00B21435" w:rsidRDefault="00F21DBE">
            <w:pPr>
              <w:pStyle w:val="afa"/>
              <w:rPr>
                <w:rFonts w:ascii="仿宋_GB2312" w:eastAsia="仿宋_GB2312"/>
                <w:sz w:val="24"/>
              </w:rPr>
            </w:pPr>
            <w:r>
              <w:rPr>
                <w:rFonts w:ascii="仿宋_GB2312" w:eastAsia="仿宋_GB2312" w:hint="eastAsia"/>
                <w:sz w:val="24"/>
              </w:rPr>
              <w:t>治疗室个数</w:t>
            </w:r>
          </w:p>
        </w:tc>
        <w:tc>
          <w:tcPr>
            <w:tcW w:w="982" w:type="dxa"/>
            <w:vMerge w:val="restart"/>
            <w:vAlign w:val="center"/>
          </w:tcPr>
          <w:p w:rsidR="00B21435" w:rsidRDefault="00F21DBE">
            <w:pPr>
              <w:pStyle w:val="afa"/>
              <w:rPr>
                <w:rFonts w:ascii="仿宋_GB2312" w:eastAsia="仿宋_GB2312"/>
                <w:sz w:val="24"/>
              </w:rPr>
            </w:pPr>
            <w:r>
              <w:rPr>
                <w:rFonts w:ascii="仿宋_GB2312" w:eastAsia="仿宋_GB2312" w:hint="eastAsia"/>
                <w:sz w:val="24"/>
              </w:rPr>
              <w:t>根据不同型号产品确认具体技术指标</w:t>
            </w:r>
          </w:p>
        </w:tc>
      </w:tr>
      <w:tr w:rsidR="00B21435">
        <w:trPr>
          <w:trHeight w:hRule="exact" w:val="397"/>
          <w:jc w:val="center"/>
        </w:trPr>
        <w:tc>
          <w:tcPr>
            <w:tcW w:w="1931" w:type="dxa"/>
            <w:vMerge/>
            <w:vAlign w:val="center"/>
          </w:tcPr>
          <w:p w:rsidR="00B21435" w:rsidRDefault="00B21435">
            <w:pPr>
              <w:pStyle w:val="afa"/>
              <w:jc w:val="center"/>
              <w:rPr>
                <w:rFonts w:ascii="仿宋_GB2312" w:eastAsia="仿宋_GB2312"/>
                <w:sz w:val="24"/>
              </w:rPr>
            </w:pPr>
          </w:p>
        </w:tc>
        <w:tc>
          <w:tcPr>
            <w:tcW w:w="5347" w:type="dxa"/>
            <w:vAlign w:val="center"/>
          </w:tcPr>
          <w:p w:rsidR="00B21435" w:rsidRDefault="00F21DBE">
            <w:pPr>
              <w:pStyle w:val="afa"/>
              <w:rPr>
                <w:rFonts w:ascii="仿宋_GB2312" w:eastAsia="仿宋_GB2312"/>
                <w:sz w:val="24"/>
              </w:rPr>
            </w:pPr>
            <w:r>
              <w:rPr>
                <w:rFonts w:ascii="仿宋_GB2312" w:eastAsia="仿宋_GB2312" w:hint="eastAsia"/>
                <w:sz w:val="24"/>
              </w:rPr>
              <w:t>治疗头（机架）类型</w:t>
            </w:r>
          </w:p>
        </w:tc>
        <w:tc>
          <w:tcPr>
            <w:tcW w:w="982" w:type="dxa"/>
            <w:vMerge/>
            <w:vAlign w:val="center"/>
          </w:tcPr>
          <w:p w:rsidR="00B21435" w:rsidRDefault="00B21435">
            <w:pPr>
              <w:pStyle w:val="afa"/>
              <w:rPr>
                <w:rFonts w:ascii="仿宋_GB2312" w:eastAsia="仿宋_GB2312"/>
                <w:sz w:val="24"/>
              </w:rPr>
            </w:pPr>
          </w:p>
        </w:tc>
      </w:tr>
      <w:tr w:rsidR="00B21435">
        <w:trPr>
          <w:trHeight w:hRule="exact" w:val="397"/>
          <w:jc w:val="center"/>
        </w:trPr>
        <w:tc>
          <w:tcPr>
            <w:tcW w:w="1931" w:type="dxa"/>
            <w:vMerge/>
            <w:vAlign w:val="center"/>
          </w:tcPr>
          <w:p w:rsidR="00B21435" w:rsidRDefault="00B21435">
            <w:pPr>
              <w:pStyle w:val="afa"/>
              <w:jc w:val="center"/>
              <w:rPr>
                <w:rFonts w:ascii="仿宋_GB2312" w:eastAsia="仿宋_GB2312"/>
                <w:sz w:val="24"/>
              </w:rPr>
            </w:pPr>
          </w:p>
        </w:tc>
        <w:tc>
          <w:tcPr>
            <w:tcW w:w="5347" w:type="dxa"/>
            <w:vAlign w:val="center"/>
          </w:tcPr>
          <w:p w:rsidR="00B21435" w:rsidRDefault="00F21DBE">
            <w:pPr>
              <w:pStyle w:val="afa"/>
              <w:rPr>
                <w:rFonts w:ascii="仿宋_GB2312" w:eastAsia="仿宋_GB2312"/>
                <w:sz w:val="24"/>
              </w:rPr>
            </w:pPr>
            <w:r>
              <w:rPr>
                <w:rFonts w:ascii="仿宋_GB2312" w:eastAsia="仿宋_GB2312" w:hint="eastAsia"/>
                <w:sz w:val="24"/>
              </w:rPr>
              <w:t>固定治疗头（机架）角度</w:t>
            </w:r>
          </w:p>
        </w:tc>
        <w:tc>
          <w:tcPr>
            <w:tcW w:w="982" w:type="dxa"/>
            <w:vMerge/>
            <w:vAlign w:val="center"/>
          </w:tcPr>
          <w:p w:rsidR="00B21435" w:rsidRDefault="00B21435">
            <w:pPr>
              <w:pStyle w:val="afa"/>
              <w:rPr>
                <w:rFonts w:ascii="仿宋_GB2312" w:eastAsia="仿宋_GB2312"/>
                <w:sz w:val="24"/>
              </w:rPr>
            </w:pPr>
          </w:p>
        </w:tc>
      </w:tr>
      <w:tr w:rsidR="00B21435">
        <w:trPr>
          <w:trHeight w:hRule="exact" w:val="397"/>
          <w:jc w:val="center"/>
        </w:trPr>
        <w:tc>
          <w:tcPr>
            <w:tcW w:w="1931" w:type="dxa"/>
            <w:vMerge/>
            <w:vAlign w:val="center"/>
          </w:tcPr>
          <w:p w:rsidR="00B21435" w:rsidRDefault="00B21435">
            <w:pPr>
              <w:pStyle w:val="afa"/>
              <w:jc w:val="center"/>
              <w:rPr>
                <w:rFonts w:ascii="仿宋_GB2312" w:eastAsia="仿宋_GB2312"/>
                <w:sz w:val="24"/>
              </w:rPr>
            </w:pPr>
          </w:p>
        </w:tc>
        <w:tc>
          <w:tcPr>
            <w:tcW w:w="5347" w:type="dxa"/>
            <w:vAlign w:val="center"/>
          </w:tcPr>
          <w:p w:rsidR="00B21435" w:rsidRDefault="00F21DBE">
            <w:pPr>
              <w:pStyle w:val="afa"/>
              <w:rPr>
                <w:rFonts w:ascii="仿宋_GB2312" w:eastAsia="仿宋_GB2312"/>
                <w:sz w:val="24"/>
              </w:rPr>
            </w:pPr>
            <w:r>
              <w:rPr>
                <w:rFonts w:ascii="仿宋_GB2312" w:eastAsia="仿宋_GB2312" w:hint="eastAsia"/>
                <w:sz w:val="24"/>
              </w:rPr>
              <w:t>机架旋转范围</w:t>
            </w:r>
          </w:p>
        </w:tc>
        <w:tc>
          <w:tcPr>
            <w:tcW w:w="982" w:type="dxa"/>
            <w:vMerge/>
            <w:vAlign w:val="center"/>
          </w:tcPr>
          <w:p w:rsidR="00B21435" w:rsidRDefault="00B21435">
            <w:pPr>
              <w:pStyle w:val="afa"/>
              <w:rPr>
                <w:rFonts w:ascii="仿宋_GB2312" w:eastAsia="仿宋_GB2312"/>
                <w:sz w:val="24"/>
              </w:rPr>
            </w:pPr>
          </w:p>
        </w:tc>
      </w:tr>
      <w:tr w:rsidR="00B21435">
        <w:trPr>
          <w:trHeight w:hRule="exact" w:val="397"/>
          <w:jc w:val="center"/>
        </w:trPr>
        <w:tc>
          <w:tcPr>
            <w:tcW w:w="1931" w:type="dxa"/>
            <w:vAlign w:val="center"/>
          </w:tcPr>
          <w:p w:rsidR="00B21435" w:rsidRDefault="00F21DBE">
            <w:pPr>
              <w:pStyle w:val="afa"/>
              <w:jc w:val="center"/>
              <w:rPr>
                <w:rFonts w:ascii="仿宋_GB2312" w:eastAsia="仿宋_GB2312"/>
                <w:sz w:val="24"/>
              </w:rPr>
            </w:pPr>
            <w:r>
              <w:rPr>
                <w:rFonts w:ascii="仿宋_GB2312" w:eastAsia="仿宋_GB2312" w:hint="eastAsia"/>
                <w:sz w:val="24"/>
              </w:rPr>
              <w:t>粒子种类</w:t>
            </w:r>
          </w:p>
        </w:tc>
        <w:tc>
          <w:tcPr>
            <w:tcW w:w="5347" w:type="dxa"/>
            <w:vAlign w:val="center"/>
          </w:tcPr>
          <w:p w:rsidR="00B21435" w:rsidRDefault="00F21DBE">
            <w:pPr>
              <w:pStyle w:val="afa"/>
              <w:rPr>
                <w:rFonts w:ascii="仿宋_GB2312" w:eastAsia="仿宋_GB2312"/>
                <w:sz w:val="24"/>
              </w:rPr>
            </w:pPr>
            <w:r>
              <w:rPr>
                <w:rFonts w:ascii="仿宋_GB2312" w:eastAsia="仿宋_GB2312" w:hint="eastAsia"/>
                <w:sz w:val="24"/>
              </w:rPr>
              <w:t>粒子种类</w:t>
            </w:r>
          </w:p>
        </w:tc>
        <w:tc>
          <w:tcPr>
            <w:tcW w:w="982" w:type="dxa"/>
            <w:vMerge/>
            <w:vAlign w:val="center"/>
          </w:tcPr>
          <w:p w:rsidR="00B21435" w:rsidRDefault="00B21435">
            <w:pPr>
              <w:pStyle w:val="afa"/>
              <w:rPr>
                <w:sz w:val="24"/>
                <w:vertAlign w:val="superscript"/>
              </w:rPr>
            </w:pPr>
          </w:p>
        </w:tc>
      </w:tr>
      <w:tr w:rsidR="00B21435">
        <w:trPr>
          <w:trHeight w:hRule="exact" w:val="397"/>
          <w:jc w:val="center"/>
        </w:trPr>
        <w:tc>
          <w:tcPr>
            <w:tcW w:w="1931" w:type="dxa"/>
            <w:vAlign w:val="center"/>
          </w:tcPr>
          <w:p w:rsidR="00B21435" w:rsidRDefault="00F21DBE">
            <w:pPr>
              <w:pStyle w:val="afa"/>
              <w:jc w:val="center"/>
              <w:rPr>
                <w:rFonts w:ascii="仿宋_GB2312" w:eastAsia="仿宋_GB2312"/>
                <w:sz w:val="24"/>
              </w:rPr>
            </w:pPr>
            <w:r>
              <w:rPr>
                <w:rFonts w:ascii="仿宋_GB2312" w:eastAsia="仿宋_GB2312" w:hint="eastAsia"/>
                <w:sz w:val="24"/>
              </w:rPr>
              <w:t>加速方式</w:t>
            </w:r>
          </w:p>
        </w:tc>
        <w:tc>
          <w:tcPr>
            <w:tcW w:w="5347" w:type="dxa"/>
            <w:vAlign w:val="center"/>
          </w:tcPr>
          <w:p w:rsidR="00B21435" w:rsidRDefault="00F21DBE">
            <w:pPr>
              <w:pStyle w:val="afa"/>
              <w:rPr>
                <w:rFonts w:ascii="仿宋_GB2312" w:eastAsia="仿宋_GB2312"/>
                <w:sz w:val="24"/>
              </w:rPr>
            </w:pPr>
            <w:r>
              <w:rPr>
                <w:rFonts w:ascii="仿宋_GB2312" w:eastAsia="仿宋_GB2312" w:hint="eastAsia"/>
                <w:sz w:val="24"/>
              </w:rPr>
              <w:t>加速方式</w:t>
            </w:r>
          </w:p>
        </w:tc>
        <w:tc>
          <w:tcPr>
            <w:tcW w:w="982" w:type="dxa"/>
            <w:vMerge/>
            <w:vAlign w:val="center"/>
          </w:tcPr>
          <w:p w:rsidR="00B21435" w:rsidRDefault="00B21435">
            <w:pPr>
              <w:pStyle w:val="afa"/>
              <w:rPr>
                <w:sz w:val="24"/>
              </w:rPr>
            </w:pPr>
          </w:p>
        </w:tc>
      </w:tr>
      <w:tr w:rsidR="00B21435">
        <w:trPr>
          <w:trHeight w:hRule="exact" w:val="397"/>
          <w:jc w:val="center"/>
        </w:trPr>
        <w:tc>
          <w:tcPr>
            <w:tcW w:w="1931" w:type="dxa"/>
            <w:vAlign w:val="center"/>
          </w:tcPr>
          <w:p w:rsidR="00B21435" w:rsidRDefault="00F21DBE">
            <w:pPr>
              <w:pStyle w:val="afa"/>
              <w:jc w:val="center"/>
              <w:rPr>
                <w:rFonts w:ascii="仿宋_GB2312" w:eastAsia="仿宋_GB2312"/>
                <w:sz w:val="24"/>
              </w:rPr>
            </w:pPr>
            <w:r>
              <w:rPr>
                <w:rFonts w:ascii="仿宋_GB2312" w:eastAsia="仿宋_GB2312" w:hint="eastAsia"/>
                <w:sz w:val="24"/>
              </w:rPr>
              <w:t>束流配送方式</w:t>
            </w:r>
          </w:p>
        </w:tc>
        <w:tc>
          <w:tcPr>
            <w:tcW w:w="5347" w:type="dxa"/>
            <w:vAlign w:val="center"/>
          </w:tcPr>
          <w:p w:rsidR="00B21435" w:rsidRDefault="00F21DBE">
            <w:pPr>
              <w:pStyle w:val="afa"/>
              <w:rPr>
                <w:rFonts w:ascii="仿宋_GB2312" w:eastAsia="仿宋_GB2312"/>
                <w:sz w:val="24"/>
              </w:rPr>
            </w:pPr>
            <w:r>
              <w:rPr>
                <w:rFonts w:ascii="仿宋_GB2312" w:eastAsia="仿宋_GB2312" w:hint="eastAsia"/>
                <w:sz w:val="24"/>
              </w:rPr>
              <w:t>调制扫描、均匀扫描、散射束</w:t>
            </w:r>
          </w:p>
          <w:p w:rsidR="00B21435" w:rsidRDefault="00B21435">
            <w:pPr>
              <w:pStyle w:val="a7"/>
            </w:pPr>
          </w:p>
          <w:p w:rsidR="00B21435" w:rsidRDefault="00B21435">
            <w:pPr>
              <w:pStyle w:val="a7"/>
            </w:pPr>
          </w:p>
        </w:tc>
        <w:tc>
          <w:tcPr>
            <w:tcW w:w="982" w:type="dxa"/>
            <w:vMerge/>
            <w:vAlign w:val="center"/>
          </w:tcPr>
          <w:p w:rsidR="00B21435" w:rsidRDefault="00B21435">
            <w:pPr>
              <w:pStyle w:val="afa"/>
              <w:rPr>
                <w:sz w:val="24"/>
              </w:rPr>
            </w:pPr>
          </w:p>
        </w:tc>
      </w:tr>
      <w:tr w:rsidR="00B21435">
        <w:trPr>
          <w:trHeight w:hRule="exact" w:val="474"/>
          <w:jc w:val="center"/>
        </w:trPr>
        <w:tc>
          <w:tcPr>
            <w:tcW w:w="1931" w:type="dxa"/>
            <w:vAlign w:val="center"/>
          </w:tcPr>
          <w:p w:rsidR="00B21435" w:rsidRDefault="00F21DBE">
            <w:pPr>
              <w:pStyle w:val="afa"/>
              <w:jc w:val="center"/>
              <w:rPr>
                <w:rFonts w:ascii="仿宋_GB2312" w:eastAsia="仿宋_GB2312"/>
                <w:sz w:val="24"/>
              </w:rPr>
            </w:pPr>
            <w:r>
              <w:rPr>
                <w:rFonts w:ascii="仿宋_GB2312" w:eastAsia="仿宋_GB2312" w:hint="eastAsia"/>
                <w:sz w:val="24"/>
              </w:rPr>
              <w:t>参考点位置</w:t>
            </w:r>
          </w:p>
        </w:tc>
        <w:tc>
          <w:tcPr>
            <w:tcW w:w="5347" w:type="dxa"/>
            <w:vAlign w:val="center"/>
          </w:tcPr>
          <w:p w:rsidR="00B21435" w:rsidRDefault="00F21DBE">
            <w:pPr>
              <w:pStyle w:val="a7"/>
              <w:rPr>
                <w:rFonts w:eastAsia="仿宋_GB2312"/>
              </w:rPr>
            </w:pPr>
            <w:r>
              <w:rPr>
                <w:rFonts w:ascii="仿宋_GB2312" w:eastAsia="仿宋_GB2312" w:hint="eastAsia"/>
                <w:sz w:val="24"/>
              </w:rPr>
              <w:t>设备参考点位置</w:t>
            </w:r>
          </w:p>
        </w:tc>
        <w:tc>
          <w:tcPr>
            <w:tcW w:w="982" w:type="dxa"/>
            <w:vMerge/>
            <w:vAlign w:val="center"/>
          </w:tcPr>
          <w:p w:rsidR="00B21435" w:rsidRDefault="00B21435">
            <w:pPr>
              <w:pStyle w:val="afa"/>
              <w:rPr>
                <w:sz w:val="24"/>
              </w:rPr>
            </w:pPr>
          </w:p>
        </w:tc>
      </w:tr>
      <w:tr w:rsidR="00B21435">
        <w:trPr>
          <w:trHeight w:hRule="exact" w:val="431"/>
          <w:jc w:val="center"/>
        </w:trPr>
        <w:tc>
          <w:tcPr>
            <w:tcW w:w="1931" w:type="dxa"/>
            <w:vAlign w:val="center"/>
          </w:tcPr>
          <w:p w:rsidR="00B21435" w:rsidRDefault="00F21DBE">
            <w:pPr>
              <w:pStyle w:val="afa"/>
              <w:jc w:val="center"/>
              <w:rPr>
                <w:rFonts w:ascii="仿宋_GB2312" w:eastAsia="仿宋_GB2312"/>
                <w:sz w:val="24"/>
              </w:rPr>
            </w:pPr>
            <w:r>
              <w:rPr>
                <w:rFonts w:ascii="仿宋_GB2312" w:eastAsia="仿宋_GB2312" w:hint="eastAsia"/>
                <w:sz w:val="24"/>
              </w:rPr>
              <w:t>治疗方式</w:t>
            </w:r>
          </w:p>
        </w:tc>
        <w:tc>
          <w:tcPr>
            <w:tcW w:w="5347" w:type="dxa"/>
            <w:vAlign w:val="center"/>
          </w:tcPr>
          <w:p w:rsidR="00B21435" w:rsidRDefault="00F21DBE">
            <w:pPr>
              <w:pStyle w:val="a7"/>
              <w:rPr>
                <w:rFonts w:ascii="仿宋_GB2312" w:eastAsia="仿宋_GB2312"/>
                <w:sz w:val="24"/>
              </w:rPr>
            </w:pPr>
            <w:r>
              <w:rPr>
                <w:rFonts w:ascii="仿宋_GB2312" w:eastAsia="仿宋_GB2312" w:hint="eastAsia"/>
                <w:sz w:val="24"/>
              </w:rPr>
              <w:t>治疗方式（适形、调强等）</w:t>
            </w:r>
          </w:p>
        </w:tc>
        <w:tc>
          <w:tcPr>
            <w:tcW w:w="982" w:type="dxa"/>
            <w:vMerge/>
            <w:vAlign w:val="center"/>
          </w:tcPr>
          <w:p w:rsidR="00B21435" w:rsidRDefault="00B21435">
            <w:pPr>
              <w:pStyle w:val="afa"/>
              <w:rPr>
                <w:sz w:val="24"/>
              </w:rPr>
            </w:pPr>
          </w:p>
        </w:tc>
      </w:tr>
      <w:tr w:rsidR="00B21435">
        <w:trPr>
          <w:trHeight w:hRule="exact" w:val="397"/>
          <w:jc w:val="center"/>
        </w:trPr>
        <w:tc>
          <w:tcPr>
            <w:tcW w:w="1931" w:type="dxa"/>
            <w:vMerge w:val="restart"/>
            <w:vAlign w:val="center"/>
          </w:tcPr>
          <w:p w:rsidR="00B21435" w:rsidRDefault="00F21DBE">
            <w:pPr>
              <w:pStyle w:val="afa"/>
              <w:jc w:val="center"/>
              <w:rPr>
                <w:rFonts w:ascii="仿宋_GB2312" w:eastAsia="仿宋_GB2312"/>
                <w:sz w:val="24"/>
              </w:rPr>
            </w:pPr>
            <w:r>
              <w:rPr>
                <w:rFonts w:ascii="仿宋_GB2312" w:eastAsia="仿宋_GB2312" w:hint="eastAsia"/>
                <w:sz w:val="24"/>
              </w:rPr>
              <w:t>束流性能</w:t>
            </w:r>
          </w:p>
        </w:tc>
        <w:tc>
          <w:tcPr>
            <w:tcW w:w="5347" w:type="dxa"/>
            <w:shd w:val="clear" w:color="auto" w:fill="auto"/>
            <w:vAlign w:val="center"/>
          </w:tcPr>
          <w:p w:rsidR="00B21435" w:rsidRDefault="00F21DBE">
            <w:pPr>
              <w:pStyle w:val="afa"/>
              <w:rPr>
                <w:rFonts w:ascii="仿宋_GB2312" w:eastAsia="仿宋_GB2312"/>
                <w:sz w:val="24"/>
              </w:rPr>
            </w:pPr>
            <w:r>
              <w:rPr>
                <w:rFonts w:ascii="仿宋_GB2312" w:eastAsia="仿宋_GB2312" w:hint="eastAsia"/>
                <w:sz w:val="24"/>
              </w:rPr>
              <w:t>不同治疗室切换时间</w:t>
            </w:r>
          </w:p>
        </w:tc>
        <w:tc>
          <w:tcPr>
            <w:tcW w:w="982" w:type="dxa"/>
            <w:vMerge/>
            <w:vAlign w:val="center"/>
          </w:tcPr>
          <w:p w:rsidR="00B21435" w:rsidRDefault="00B21435">
            <w:pPr>
              <w:pStyle w:val="afa"/>
              <w:rPr>
                <w:sz w:val="24"/>
              </w:rPr>
            </w:pPr>
          </w:p>
        </w:tc>
      </w:tr>
      <w:tr w:rsidR="00B21435">
        <w:trPr>
          <w:trHeight w:val="466"/>
          <w:jc w:val="center"/>
        </w:trPr>
        <w:tc>
          <w:tcPr>
            <w:tcW w:w="1931" w:type="dxa"/>
            <w:vMerge/>
            <w:vAlign w:val="center"/>
          </w:tcPr>
          <w:p w:rsidR="00B21435" w:rsidRDefault="00B21435">
            <w:pPr>
              <w:pStyle w:val="afa"/>
              <w:rPr>
                <w:rFonts w:ascii="仿宋_GB2312" w:eastAsia="仿宋_GB2312"/>
                <w:sz w:val="24"/>
              </w:rPr>
            </w:pPr>
          </w:p>
        </w:tc>
        <w:tc>
          <w:tcPr>
            <w:tcW w:w="5347" w:type="dxa"/>
            <w:shd w:val="clear" w:color="auto" w:fill="auto"/>
            <w:vAlign w:val="center"/>
          </w:tcPr>
          <w:p w:rsidR="00B21435" w:rsidRDefault="00F21DBE">
            <w:pPr>
              <w:pStyle w:val="afa"/>
              <w:rPr>
                <w:rFonts w:ascii="仿宋_GB2312" w:eastAsia="仿宋_GB2312"/>
                <w:sz w:val="24"/>
              </w:rPr>
            </w:pPr>
            <w:r>
              <w:rPr>
                <w:rFonts w:ascii="仿宋_GB2312" w:eastAsia="仿宋_GB2312" w:hint="eastAsia"/>
                <w:sz w:val="24"/>
              </w:rPr>
              <w:t>能量切换时间</w:t>
            </w:r>
          </w:p>
        </w:tc>
        <w:tc>
          <w:tcPr>
            <w:tcW w:w="982" w:type="dxa"/>
            <w:vMerge/>
            <w:vAlign w:val="center"/>
          </w:tcPr>
          <w:p w:rsidR="00B21435" w:rsidRDefault="00B21435">
            <w:pPr>
              <w:pStyle w:val="afa"/>
              <w:rPr>
                <w:sz w:val="24"/>
              </w:rPr>
            </w:pPr>
          </w:p>
        </w:tc>
      </w:tr>
      <w:tr w:rsidR="00B21435">
        <w:trPr>
          <w:trHeight w:val="315"/>
          <w:jc w:val="center"/>
        </w:trPr>
        <w:tc>
          <w:tcPr>
            <w:tcW w:w="1931" w:type="dxa"/>
            <w:vMerge/>
            <w:vAlign w:val="center"/>
          </w:tcPr>
          <w:p w:rsidR="00B21435" w:rsidRDefault="00B21435">
            <w:pPr>
              <w:pStyle w:val="afa"/>
              <w:rPr>
                <w:rFonts w:ascii="仿宋_GB2312" w:eastAsia="仿宋_GB2312"/>
                <w:sz w:val="24"/>
              </w:rPr>
            </w:pPr>
          </w:p>
        </w:tc>
        <w:tc>
          <w:tcPr>
            <w:tcW w:w="5347" w:type="dxa"/>
            <w:shd w:val="clear" w:color="auto" w:fill="auto"/>
            <w:vAlign w:val="center"/>
          </w:tcPr>
          <w:p w:rsidR="00B21435" w:rsidRDefault="00F21DBE">
            <w:pPr>
              <w:pStyle w:val="afa"/>
              <w:rPr>
                <w:rFonts w:ascii="仿宋_GB2312" w:eastAsia="仿宋_GB2312"/>
                <w:sz w:val="24"/>
              </w:rPr>
            </w:pPr>
            <w:r>
              <w:rPr>
                <w:rFonts w:ascii="仿宋_GB2312" w:eastAsia="仿宋_GB2312" w:hint="eastAsia"/>
                <w:sz w:val="24"/>
              </w:rPr>
              <w:t>粒子种类切换时间（对于单粒子的情形不适用）</w:t>
            </w:r>
          </w:p>
        </w:tc>
        <w:tc>
          <w:tcPr>
            <w:tcW w:w="982" w:type="dxa"/>
            <w:vMerge/>
            <w:vAlign w:val="center"/>
          </w:tcPr>
          <w:p w:rsidR="00B21435" w:rsidRDefault="00B21435">
            <w:pPr>
              <w:pStyle w:val="afa"/>
              <w:rPr>
                <w:sz w:val="24"/>
              </w:rPr>
            </w:pPr>
          </w:p>
        </w:tc>
      </w:tr>
      <w:tr w:rsidR="00B21435">
        <w:trPr>
          <w:trHeight w:hRule="exact" w:val="397"/>
          <w:jc w:val="center"/>
        </w:trPr>
        <w:tc>
          <w:tcPr>
            <w:tcW w:w="1931" w:type="dxa"/>
            <w:vMerge/>
            <w:vAlign w:val="center"/>
          </w:tcPr>
          <w:p w:rsidR="00B21435" w:rsidRDefault="00B21435">
            <w:pPr>
              <w:pStyle w:val="afa"/>
              <w:rPr>
                <w:rFonts w:ascii="仿宋_GB2312" w:eastAsia="仿宋_GB2312"/>
                <w:sz w:val="24"/>
              </w:rPr>
            </w:pPr>
          </w:p>
        </w:tc>
        <w:tc>
          <w:tcPr>
            <w:tcW w:w="5347" w:type="dxa"/>
            <w:shd w:val="clear" w:color="auto" w:fill="auto"/>
            <w:vAlign w:val="center"/>
          </w:tcPr>
          <w:p w:rsidR="00B21435" w:rsidRDefault="00F21DBE">
            <w:pPr>
              <w:pStyle w:val="afa"/>
              <w:rPr>
                <w:rFonts w:ascii="仿宋_GB2312" w:eastAsia="仿宋_GB2312"/>
                <w:sz w:val="24"/>
              </w:rPr>
            </w:pPr>
            <w:r>
              <w:rPr>
                <w:rFonts w:ascii="仿宋_GB2312" w:eastAsia="仿宋_GB2312" w:hint="eastAsia"/>
                <w:sz w:val="24"/>
              </w:rPr>
              <w:t>束流关断时间</w:t>
            </w:r>
          </w:p>
        </w:tc>
        <w:tc>
          <w:tcPr>
            <w:tcW w:w="982" w:type="dxa"/>
            <w:vMerge/>
            <w:vAlign w:val="center"/>
          </w:tcPr>
          <w:p w:rsidR="00B21435" w:rsidRDefault="00B21435">
            <w:pPr>
              <w:pStyle w:val="afa"/>
              <w:rPr>
                <w:sz w:val="24"/>
              </w:rPr>
            </w:pPr>
          </w:p>
        </w:tc>
      </w:tr>
      <w:tr w:rsidR="00B21435">
        <w:trPr>
          <w:trHeight w:hRule="exact" w:val="397"/>
          <w:jc w:val="center"/>
        </w:trPr>
        <w:tc>
          <w:tcPr>
            <w:tcW w:w="1931" w:type="dxa"/>
            <w:vMerge/>
            <w:vAlign w:val="center"/>
          </w:tcPr>
          <w:p w:rsidR="00B21435" w:rsidRDefault="00B21435">
            <w:pPr>
              <w:pStyle w:val="afa"/>
              <w:rPr>
                <w:rFonts w:ascii="仿宋_GB2312" w:eastAsia="仿宋_GB2312"/>
                <w:sz w:val="24"/>
              </w:rPr>
            </w:pPr>
          </w:p>
        </w:tc>
        <w:tc>
          <w:tcPr>
            <w:tcW w:w="5347" w:type="dxa"/>
            <w:shd w:val="clear" w:color="auto" w:fill="auto"/>
            <w:vAlign w:val="center"/>
          </w:tcPr>
          <w:p w:rsidR="00B21435" w:rsidRDefault="00F21DBE">
            <w:pPr>
              <w:pStyle w:val="afa"/>
              <w:rPr>
                <w:rFonts w:ascii="仿宋_GB2312" w:eastAsia="仿宋_GB2312"/>
                <w:sz w:val="24"/>
              </w:rPr>
            </w:pPr>
            <w:r>
              <w:rPr>
                <w:rFonts w:ascii="仿宋_GB2312" w:eastAsia="仿宋_GB2312" w:hint="eastAsia"/>
                <w:sz w:val="24"/>
              </w:rPr>
              <w:t>束流引出时间</w:t>
            </w:r>
          </w:p>
        </w:tc>
        <w:tc>
          <w:tcPr>
            <w:tcW w:w="982" w:type="dxa"/>
            <w:vMerge/>
            <w:vAlign w:val="center"/>
          </w:tcPr>
          <w:p w:rsidR="00B21435" w:rsidRDefault="00B21435">
            <w:pPr>
              <w:pStyle w:val="afa"/>
              <w:rPr>
                <w:sz w:val="24"/>
              </w:rPr>
            </w:pPr>
          </w:p>
        </w:tc>
      </w:tr>
      <w:tr w:rsidR="00B21435">
        <w:trPr>
          <w:trHeight w:hRule="exact" w:val="397"/>
          <w:jc w:val="center"/>
        </w:trPr>
        <w:tc>
          <w:tcPr>
            <w:tcW w:w="1931" w:type="dxa"/>
            <w:vMerge/>
            <w:vAlign w:val="center"/>
          </w:tcPr>
          <w:p w:rsidR="00B21435" w:rsidRDefault="00B21435">
            <w:pPr>
              <w:pStyle w:val="afa"/>
              <w:rPr>
                <w:rFonts w:ascii="仿宋_GB2312" w:eastAsia="仿宋_GB2312"/>
                <w:sz w:val="24"/>
              </w:rPr>
            </w:pPr>
          </w:p>
        </w:tc>
        <w:tc>
          <w:tcPr>
            <w:tcW w:w="5347" w:type="dxa"/>
            <w:shd w:val="clear" w:color="auto" w:fill="auto"/>
            <w:vAlign w:val="center"/>
          </w:tcPr>
          <w:p w:rsidR="00B21435" w:rsidRDefault="00F21DBE">
            <w:pPr>
              <w:pStyle w:val="afa"/>
              <w:rPr>
                <w:rFonts w:ascii="仿宋_GB2312" w:eastAsia="仿宋_GB2312"/>
                <w:sz w:val="24"/>
              </w:rPr>
            </w:pPr>
            <w:proofErr w:type="gramStart"/>
            <w:r>
              <w:rPr>
                <w:rFonts w:ascii="仿宋_GB2312" w:eastAsia="仿宋_GB2312" w:hint="eastAsia"/>
                <w:sz w:val="24"/>
              </w:rPr>
              <w:t>流强范围</w:t>
            </w:r>
            <w:proofErr w:type="gramEnd"/>
          </w:p>
        </w:tc>
        <w:tc>
          <w:tcPr>
            <w:tcW w:w="982" w:type="dxa"/>
            <w:vMerge/>
            <w:vAlign w:val="center"/>
          </w:tcPr>
          <w:p w:rsidR="00B21435" w:rsidRDefault="00B21435">
            <w:pPr>
              <w:pStyle w:val="afa"/>
              <w:rPr>
                <w:sz w:val="24"/>
              </w:rPr>
            </w:pPr>
          </w:p>
        </w:tc>
      </w:tr>
      <w:tr w:rsidR="00B21435">
        <w:trPr>
          <w:trHeight w:hRule="exact" w:val="397"/>
          <w:jc w:val="center"/>
        </w:trPr>
        <w:tc>
          <w:tcPr>
            <w:tcW w:w="1931" w:type="dxa"/>
            <w:vMerge/>
            <w:vAlign w:val="center"/>
          </w:tcPr>
          <w:p w:rsidR="00B21435" w:rsidRDefault="00B21435">
            <w:pPr>
              <w:pStyle w:val="afa"/>
              <w:rPr>
                <w:rFonts w:ascii="仿宋_GB2312" w:eastAsia="仿宋_GB2312"/>
                <w:sz w:val="24"/>
              </w:rPr>
            </w:pPr>
          </w:p>
        </w:tc>
        <w:tc>
          <w:tcPr>
            <w:tcW w:w="5347" w:type="dxa"/>
            <w:shd w:val="clear" w:color="auto" w:fill="auto"/>
            <w:vAlign w:val="center"/>
          </w:tcPr>
          <w:p w:rsidR="00B21435" w:rsidRDefault="00F21DBE">
            <w:pPr>
              <w:pStyle w:val="afa"/>
              <w:rPr>
                <w:rFonts w:ascii="仿宋_GB2312" w:eastAsia="仿宋_GB2312"/>
                <w:sz w:val="24"/>
              </w:rPr>
            </w:pPr>
            <w:r>
              <w:rPr>
                <w:rFonts w:ascii="仿宋_GB2312" w:eastAsia="仿宋_GB2312" w:hint="eastAsia"/>
                <w:sz w:val="24"/>
              </w:rPr>
              <w:t>能量范围</w:t>
            </w:r>
          </w:p>
        </w:tc>
        <w:tc>
          <w:tcPr>
            <w:tcW w:w="982" w:type="dxa"/>
            <w:vMerge/>
            <w:vAlign w:val="center"/>
          </w:tcPr>
          <w:p w:rsidR="00B21435" w:rsidRDefault="00B21435">
            <w:pPr>
              <w:pStyle w:val="afa"/>
              <w:rPr>
                <w:sz w:val="24"/>
              </w:rPr>
            </w:pPr>
          </w:p>
        </w:tc>
      </w:tr>
      <w:tr w:rsidR="00B21435">
        <w:trPr>
          <w:trHeight w:hRule="exact" w:val="397"/>
          <w:jc w:val="center"/>
        </w:trPr>
        <w:tc>
          <w:tcPr>
            <w:tcW w:w="1931" w:type="dxa"/>
            <w:vMerge/>
            <w:vAlign w:val="center"/>
          </w:tcPr>
          <w:p w:rsidR="00B21435" w:rsidRDefault="00B21435">
            <w:pPr>
              <w:pStyle w:val="afa"/>
              <w:rPr>
                <w:rFonts w:ascii="仿宋_GB2312" w:eastAsia="仿宋_GB2312"/>
                <w:sz w:val="24"/>
              </w:rPr>
            </w:pPr>
          </w:p>
        </w:tc>
        <w:tc>
          <w:tcPr>
            <w:tcW w:w="5347" w:type="dxa"/>
            <w:shd w:val="clear" w:color="auto" w:fill="auto"/>
            <w:vAlign w:val="center"/>
          </w:tcPr>
          <w:p w:rsidR="00B21435" w:rsidRDefault="00F21DBE">
            <w:pPr>
              <w:pStyle w:val="afa"/>
              <w:rPr>
                <w:rFonts w:ascii="仿宋_GB2312" w:eastAsia="仿宋_GB2312"/>
                <w:sz w:val="24"/>
              </w:rPr>
            </w:pPr>
            <w:r>
              <w:rPr>
                <w:rFonts w:ascii="仿宋_GB2312" w:eastAsia="仿宋_GB2312" w:hint="eastAsia"/>
                <w:sz w:val="24"/>
              </w:rPr>
              <w:t>射程范围</w:t>
            </w:r>
          </w:p>
        </w:tc>
        <w:tc>
          <w:tcPr>
            <w:tcW w:w="982" w:type="dxa"/>
            <w:vMerge/>
            <w:vAlign w:val="center"/>
          </w:tcPr>
          <w:p w:rsidR="00B21435" w:rsidRDefault="00B21435">
            <w:pPr>
              <w:pStyle w:val="afa"/>
              <w:rPr>
                <w:sz w:val="24"/>
              </w:rPr>
            </w:pPr>
          </w:p>
        </w:tc>
      </w:tr>
      <w:tr w:rsidR="00B21435">
        <w:trPr>
          <w:trHeight w:hRule="exact" w:val="397"/>
          <w:jc w:val="center"/>
        </w:trPr>
        <w:tc>
          <w:tcPr>
            <w:tcW w:w="1931" w:type="dxa"/>
            <w:vMerge/>
            <w:vAlign w:val="center"/>
          </w:tcPr>
          <w:p w:rsidR="00B21435" w:rsidRDefault="00B21435">
            <w:pPr>
              <w:pStyle w:val="afa"/>
              <w:rPr>
                <w:rFonts w:ascii="仿宋_GB2312" w:eastAsia="仿宋_GB2312"/>
                <w:sz w:val="24"/>
              </w:rPr>
            </w:pPr>
          </w:p>
        </w:tc>
        <w:tc>
          <w:tcPr>
            <w:tcW w:w="5347" w:type="dxa"/>
            <w:shd w:val="clear" w:color="auto" w:fill="auto"/>
            <w:vAlign w:val="center"/>
          </w:tcPr>
          <w:p w:rsidR="00B21435" w:rsidRDefault="00F21DBE">
            <w:pPr>
              <w:pStyle w:val="afa"/>
              <w:rPr>
                <w:rFonts w:ascii="仿宋_GB2312" w:eastAsia="仿宋_GB2312"/>
                <w:sz w:val="24"/>
              </w:rPr>
            </w:pPr>
            <w:r>
              <w:rPr>
                <w:rFonts w:ascii="仿宋_GB2312" w:eastAsia="仿宋_GB2312" w:hint="eastAsia"/>
                <w:sz w:val="24"/>
              </w:rPr>
              <w:t>能量调节步长</w:t>
            </w:r>
          </w:p>
        </w:tc>
        <w:tc>
          <w:tcPr>
            <w:tcW w:w="982" w:type="dxa"/>
            <w:vMerge/>
            <w:vAlign w:val="center"/>
          </w:tcPr>
          <w:p w:rsidR="00B21435" w:rsidRDefault="00B21435">
            <w:pPr>
              <w:pStyle w:val="afa"/>
              <w:rPr>
                <w:sz w:val="24"/>
              </w:rPr>
            </w:pPr>
          </w:p>
        </w:tc>
      </w:tr>
      <w:tr w:rsidR="00B21435">
        <w:trPr>
          <w:trHeight w:hRule="exact" w:val="397"/>
          <w:jc w:val="center"/>
        </w:trPr>
        <w:tc>
          <w:tcPr>
            <w:tcW w:w="1931" w:type="dxa"/>
            <w:vMerge/>
            <w:vAlign w:val="center"/>
          </w:tcPr>
          <w:p w:rsidR="00B21435" w:rsidRDefault="00B21435">
            <w:pPr>
              <w:pStyle w:val="afa"/>
              <w:rPr>
                <w:rFonts w:ascii="仿宋_GB2312" w:eastAsia="仿宋_GB2312"/>
                <w:sz w:val="24"/>
              </w:rPr>
            </w:pPr>
          </w:p>
        </w:tc>
        <w:tc>
          <w:tcPr>
            <w:tcW w:w="5347" w:type="dxa"/>
            <w:shd w:val="clear" w:color="auto" w:fill="auto"/>
            <w:vAlign w:val="center"/>
          </w:tcPr>
          <w:p w:rsidR="00B21435" w:rsidRDefault="00F21DBE">
            <w:pPr>
              <w:pStyle w:val="afa"/>
              <w:rPr>
                <w:rFonts w:ascii="仿宋_GB2312" w:eastAsia="仿宋_GB2312"/>
                <w:sz w:val="24"/>
              </w:rPr>
            </w:pPr>
            <w:r>
              <w:rPr>
                <w:rFonts w:ascii="仿宋_GB2312" w:eastAsia="仿宋_GB2312" w:hint="eastAsia"/>
                <w:sz w:val="24"/>
              </w:rPr>
              <w:t>能量调节方式</w:t>
            </w:r>
          </w:p>
        </w:tc>
        <w:tc>
          <w:tcPr>
            <w:tcW w:w="982" w:type="dxa"/>
            <w:vMerge/>
            <w:vAlign w:val="center"/>
          </w:tcPr>
          <w:p w:rsidR="00B21435" w:rsidRDefault="00B21435">
            <w:pPr>
              <w:pStyle w:val="afa"/>
              <w:rPr>
                <w:sz w:val="24"/>
              </w:rPr>
            </w:pPr>
          </w:p>
        </w:tc>
      </w:tr>
      <w:tr w:rsidR="00B21435">
        <w:trPr>
          <w:trHeight w:hRule="exact" w:val="397"/>
          <w:jc w:val="center"/>
        </w:trPr>
        <w:tc>
          <w:tcPr>
            <w:tcW w:w="1931" w:type="dxa"/>
            <w:vMerge/>
            <w:vAlign w:val="center"/>
          </w:tcPr>
          <w:p w:rsidR="00B21435" w:rsidRDefault="00B21435">
            <w:pPr>
              <w:pStyle w:val="afa"/>
              <w:rPr>
                <w:rFonts w:ascii="仿宋_GB2312" w:eastAsia="仿宋_GB2312"/>
                <w:sz w:val="24"/>
              </w:rPr>
            </w:pPr>
          </w:p>
        </w:tc>
        <w:tc>
          <w:tcPr>
            <w:tcW w:w="5347" w:type="dxa"/>
            <w:vAlign w:val="center"/>
          </w:tcPr>
          <w:p w:rsidR="00B21435" w:rsidRDefault="00F21DBE">
            <w:pPr>
              <w:pStyle w:val="afa"/>
              <w:rPr>
                <w:rFonts w:ascii="仿宋_GB2312" w:eastAsia="仿宋_GB2312"/>
                <w:sz w:val="24"/>
              </w:rPr>
            </w:pPr>
            <w:r>
              <w:rPr>
                <w:rFonts w:ascii="仿宋_GB2312" w:eastAsia="仿宋_GB2312" w:hint="eastAsia"/>
                <w:sz w:val="24"/>
              </w:rPr>
              <w:t>照射</w:t>
            </w:r>
            <w:proofErr w:type="gramStart"/>
            <w:r>
              <w:rPr>
                <w:rFonts w:ascii="仿宋_GB2312" w:eastAsia="仿宋_GB2312" w:hint="eastAsia"/>
                <w:sz w:val="24"/>
              </w:rPr>
              <w:t>野范围</w:t>
            </w:r>
            <w:proofErr w:type="gramEnd"/>
          </w:p>
        </w:tc>
        <w:tc>
          <w:tcPr>
            <w:tcW w:w="982" w:type="dxa"/>
            <w:vMerge/>
            <w:vAlign w:val="center"/>
          </w:tcPr>
          <w:p w:rsidR="00B21435" w:rsidRDefault="00B21435">
            <w:pPr>
              <w:pStyle w:val="afa"/>
              <w:rPr>
                <w:sz w:val="24"/>
              </w:rPr>
            </w:pPr>
          </w:p>
        </w:tc>
      </w:tr>
      <w:tr w:rsidR="00B21435">
        <w:trPr>
          <w:trHeight w:hRule="exact" w:val="397"/>
          <w:jc w:val="center"/>
        </w:trPr>
        <w:tc>
          <w:tcPr>
            <w:tcW w:w="1931" w:type="dxa"/>
            <w:vMerge/>
            <w:vAlign w:val="center"/>
          </w:tcPr>
          <w:p w:rsidR="00B21435" w:rsidRDefault="00B21435">
            <w:pPr>
              <w:pStyle w:val="afa"/>
              <w:rPr>
                <w:rFonts w:ascii="仿宋_GB2312" w:eastAsia="仿宋_GB2312"/>
                <w:sz w:val="24"/>
              </w:rPr>
            </w:pPr>
          </w:p>
        </w:tc>
        <w:tc>
          <w:tcPr>
            <w:tcW w:w="5347" w:type="dxa"/>
            <w:vAlign w:val="center"/>
          </w:tcPr>
          <w:p w:rsidR="00B21435" w:rsidRDefault="00F21DBE">
            <w:pPr>
              <w:pStyle w:val="afa"/>
              <w:rPr>
                <w:rFonts w:ascii="仿宋_GB2312" w:eastAsia="仿宋_GB2312"/>
                <w:sz w:val="24"/>
              </w:rPr>
            </w:pPr>
            <w:r>
              <w:rPr>
                <w:rFonts w:ascii="仿宋_GB2312" w:eastAsia="仿宋_GB2312" w:hint="eastAsia"/>
                <w:sz w:val="24"/>
              </w:rPr>
              <w:t>剂量率（辐照指定体积的时间）</w:t>
            </w:r>
          </w:p>
        </w:tc>
        <w:tc>
          <w:tcPr>
            <w:tcW w:w="982" w:type="dxa"/>
            <w:vMerge/>
            <w:vAlign w:val="center"/>
          </w:tcPr>
          <w:p w:rsidR="00B21435" w:rsidRDefault="00B21435">
            <w:pPr>
              <w:pStyle w:val="afa"/>
              <w:rPr>
                <w:sz w:val="24"/>
              </w:rPr>
            </w:pPr>
          </w:p>
        </w:tc>
      </w:tr>
      <w:tr w:rsidR="00B21435">
        <w:trPr>
          <w:trHeight w:hRule="exact" w:val="397"/>
          <w:jc w:val="center"/>
        </w:trPr>
        <w:tc>
          <w:tcPr>
            <w:tcW w:w="1931" w:type="dxa"/>
            <w:vMerge/>
            <w:vAlign w:val="center"/>
          </w:tcPr>
          <w:p w:rsidR="00B21435" w:rsidRDefault="00B21435">
            <w:pPr>
              <w:pStyle w:val="afa"/>
              <w:rPr>
                <w:rFonts w:ascii="仿宋_GB2312" w:eastAsia="仿宋_GB2312"/>
                <w:sz w:val="24"/>
              </w:rPr>
            </w:pPr>
          </w:p>
        </w:tc>
        <w:tc>
          <w:tcPr>
            <w:tcW w:w="5347" w:type="dxa"/>
            <w:vAlign w:val="center"/>
          </w:tcPr>
          <w:p w:rsidR="00B21435" w:rsidRDefault="00F21DBE">
            <w:pPr>
              <w:pStyle w:val="afa"/>
              <w:rPr>
                <w:rFonts w:ascii="仿宋_GB2312" w:eastAsia="仿宋_GB2312"/>
                <w:sz w:val="24"/>
              </w:rPr>
            </w:pPr>
            <w:r>
              <w:rPr>
                <w:rFonts w:ascii="仿宋_GB2312" w:eastAsia="仿宋_GB2312" w:hint="eastAsia"/>
                <w:sz w:val="24"/>
              </w:rPr>
              <w:t>束斑范围</w:t>
            </w:r>
          </w:p>
        </w:tc>
        <w:tc>
          <w:tcPr>
            <w:tcW w:w="982" w:type="dxa"/>
            <w:vMerge/>
            <w:vAlign w:val="center"/>
          </w:tcPr>
          <w:p w:rsidR="00B21435" w:rsidRDefault="00B21435">
            <w:pPr>
              <w:pStyle w:val="afa"/>
              <w:rPr>
                <w:sz w:val="24"/>
              </w:rPr>
            </w:pPr>
          </w:p>
        </w:tc>
      </w:tr>
      <w:tr w:rsidR="00B21435">
        <w:trPr>
          <w:trHeight w:hRule="exact" w:val="397"/>
          <w:jc w:val="center"/>
        </w:trPr>
        <w:tc>
          <w:tcPr>
            <w:tcW w:w="1931" w:type="dxa"/>
            <w:vMerge/>
            <w:vAlign w:val="center"/>
          </w:tcPr>
          <w:p w:rsidR="00B21435" w:rsidRDefault="00B21435">
            <w:pPr>
              <w:pStyle w:val="afa"/>
              <w:rPr>
                <w:rFonts w:ascii="仿宋_GB2312" w:eastAsia="仿宋_GB2312"/>
                <w:sz w:val="24"/>
              </w:rPr>
            </w:pPr>
          </w:p>
        </w:tc>
        <w:tc>
          <w:tcPr>
            <w:tcW w:w="5347" w:type="dxa"/>
            <w:vAlign w:val="center"/>
          </w:tcPr>
          <w:p w:rsidR="00B21435" w:rsidRDefault="00F21DBE">
            <w:pPr>
              <w:pStyle w:val="afa"/>
              <w:rPr>
                <w:rFonts w:ascii="仿宋_GB2312" w:eastAsia="仿宋_GB2312"/>
                <w:sz w:val="24"/>
              </w:rPr>
            </w:pPr>
            <w:r>
              <w:rPr>
                <w:rFonts w:ascii="仿宋_GB2312" w:eastAsia="仿宋_GB2312" w:hint="eastAsia"/>
                <w:sz w:val="24"/>
              </w:rPr>
              <w:t>半影宽度</w:t>
            </w:r>
          </w:p>
        </w:tc>
        <w:tc>
          <w:tcPr>
            <w:tcW w:w="982" w:type="dxa"/>
            <w:vMerge/>
            <w:vAlign w:val="center"/>
          </w:tcPr>
          <w:p w:rsidR="00B21435" w:rsidRDefault="00B21435">
            <w:pPr>
              <w:pStyle w:val="afa"/>
              <w:rPr>
                <w:sz w:val="24"/>
              </w:rPr>
            </w:pPr>
          </w:p>
        </w:tc>
      </w:tr>
      <w:tr w:rsidR="00B21435">
        <w:trPr>
          <w:trHeight w:hRule="exact" w:val="397"/>
          <w:jc w:val="center"/>
        </w:trPr>
        <w:tc>
          <w:tcPr>
            <w:tcW w:w="1931" w:type="dxa"/>
            <w:vMerge/>
            <w:vAlign w:val="center"/>
          </w:tcPr>
          <w:p w:rsidR="00B21435" w:rsidRDefault="00B21435">
            <w:pPr>
              <w:pStyle w:val="afa"/>
              <w:rPr>
                <w:rFonts w:ascii="仿宋_GB2312" w:eastAsia="仿宋_GB2312"/>
                <w:sz w:val="24"/>
              </w:rPr>
            </w:pPr>
          </w:p>
        </w:tc>
        <w:tc>
          <w:tcPr>
            <w:tcW w:w="5347" w:type="dxa"/>
            <w:vAlign w:val="center"/>
          </w:tcPr>
          <w:p w:rsidR="00B21435" w:rsidRDefault="00F21DBE">
            <w:pPr>
              <w:pStyle w:val="afa"/>
              <w:rPr>
                <w:rFonts w:ascii="仿宋_GB2312" w:eastAsia="仿宋_GB2312"/>
                <w:sz w:val="24"/>
              </w:rPr>
            </w:pPr>
            <w:r>
              <w:rPr>
                <w:rFonts w:ascii="仿宋_GB2312" w:eastAsia="仿宋_GB2312" w:hint="eastAsia"/>
                <w:sz w:val="24"/>
              </w:rPr>
              <w:t>束流位置精度</w:t>
            </w:r>
          </w:p>
        </w:tc>
        <w:tc>
          <w:tcPr>
            <w:tcW w:w="982" w:type="dxa"/>
            <w:vMerge/>
            <w:vAlign w:val="center"/>
          </w:tcPr>
          <w:p w:rsidR="00B21435" w:rsidRDefault="00B21435">
            <w:pPr>
              <w:pStyle w:val="afa"/>
              <w:rPr>
                <w:sz w:val="24"/>
              </w:rPr>
            </w:pPr>
          </w:p>
        </w:tc>
      </w:tr>
      <w:tr w:rsidR="00B21435">
        <w:trPr>
          <w:trHeight w:hRule="exact" w:val="397"/>
          <w:jc w:val="center"/>
        </w:trPr>
        <w:tc>
          <w:tcPr>
            <w:tcW w:w="1931" w:type="dxa"/>
            <w:vMerge/>
            <w:shd w:val="clear" w:color="auto" w:fill="auto"/>
            <w:vAlign w:val="center"/>
          </w:tcPr>
          <w:p w:rsidR="00B21435" w:rsidRDefault="00B21435">
            <w:pPr>
              <w:pStyle w:val="afa"/>
              <w:rPr>
                <w:rFonts w:ascii="仿宋_GB2312" w:eastAsia="仿宋_GB2312"/>
                <w:sz w:val="24"/>
              </w:rPr>
            </w:pPr>
          </w:p>
        </w:tc>
        <w:tc>
          <w:tcPr>
            <w:tcW w:w="5347" w:type="dxa"/>
            <w:shd w:val="clear" w:color="auto" w:fill="auto"/>
            <w:vAlign w:val="center"/>
          </w:tcPr>
          <w:p w:rsidR="00B21435" w:rsidRDefault="00F21DBE">
            <w:pPr>
              <w:pStyle w:val="afa"/>
              <w:rPr>
                <w:rFonts w:ascii="仿宋_GB2312" w:eastAsia="仿宋_GB2312"/>
                <w:sz w:val="24"/>
                <w:highlight w:val="yellow"/>
              </w:rPr>
            </w:pPr>
            <w:r>
              <w:rPr>
                <w:rFonts w:ascii="仿宋_GB2312" w:eastAsia="仿宋_GB2312" w:hint="eastAsia"/>
                <w:sz w:val="24"/>
              </w:rPr>
              <w:t>虚拟源到设备参考点的距离</w:t>
            </w:r>
          </w:p>
        </w:tc>
        <w:tc>
          <w:tcPr>
            <w:tcW w:w="982" w:type="dxa"/>
            <w:vMerge/>
            <w:vAlign w:val="center"/>
          </w:tcPr>
          <w:p w:rsidR="00B21435" w:rsidRDefault="00B21435">
            <w:pPr>
              <w:pStyle w:val="afa"/>
              <w:rPr>
                <w:sz w:val="24"/>
              </w:rPr>
            </w:pPr>
          </w:p>
        </w:tc>
      </w:tr>
    </w:tbl>
    <w:bookmarkEnd w:id="170"/>
    <w:p w:rsidR="00B21435" w:rsidRDefault="00F21DBE">
      <w:pPr>
        <w:rPr>
          <w:sz w:val="24"/>
        </w:rPr>
      </w:pPr>
      <w:r>
        <w:rPr>
          <w:rFonts w:hint="eastAsia"/>
          <w:szCs w:val="21"/>
        </w:rPr>
        <w:t>注：企业可根据申报产品实际情况对上表中内容进行调整、增加或删减，同时应说明理由。</w:t>
      </w:r>
    </w:p>
    <w:p w:rsidR="00B21435" w:rsidRDefault="00B21435">
      <w:pPr>
        <w:pStyle w:val="41"/>
        <w:spacing w:before="0" w:line="560" w:lineRule="exact"/>
        <w:jc w:val="both"/>
        <w:rPr>
          <w:sz w:val="24"/>
          <w:szCs w:val="24"/>
        </w:rPr>
        <w:sectPr w:rsidR="00B21435">
          <w:footerReference w:type="default" r:id="rId13"/>
          <w:type w:val="continuous"/>
          <w:pgSz w:w="11906" w:h="16838"/>
          <w:pgMar w:top="1440" w:right="1800" w:bottom="1440" w:left="1800" w:header="851" w:footer="992" w:gutter="0"/>
          <w:cols w:space="425"/>
          <w:docGrid w:type="lines" w:linePitch="312"/>
        </w:sectPr>
      </w:pPr>
    </w:p>
    <w:p w:rsidR="00B21435" w:rsidRDefault="00F21DBE">
      <w:pPr>
        <w:pStyle w:val="aa1"/>
        <w:spacing w:after="0" w:line="560" w:lineRule="exact"/>
        <w:ind w:firstLine="0"/>
        <w:rPr>
          <w:rFonts w:ascii="仿宋_GB2312" w:eastAsia="仿宋_GB2312" w:hAnsi="仿宋_GB2312" w:cs="仿宋_GB2312"/>
          <w:bCs/>
          <w:sz w:val="30"/>
          <w:szCs w:val="30"/>
        </w:rPr>
      </w:pPr>
      <w:r>
        <w:rPr>
          <w:rFonts w:ascii="仿宋_GB2312" w:eastAsia="仿宋_GB2312" w:hAnsi="仿宋_GB2312" w:cs="仿宋_GB2312" w:hint="eastAsia"/>
          <w:sz w:val="30"/>
          <w:szCs w:val="30"/>
        </w:rPr>
        <w:lastRenderedPageBreak/>
        <w:t>表4 治疗子系统各子系统技术指标</w:t>
      </w:r>
    </w:p>
    <w:tbl>
      <w:tblPr>
        <w:tblW w:w="8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5"/>
        <w:gridCol w:w="5402"/>
        <w:gridCol w:w="951"/>
      </w:tblGrid>
      <w:tr w:rsidR="00B21435">
        <w:trPr>
          <w:trHeight w:val="502"/>
          <w:tblHeader/>
          <w:jc w:val="center"/>
        </w:trPr>
        <w:tc>
          <w:tcPr>
            <w:tcW w:w="1955" w:type="dxa"/>
            <w:shd w:val="clear" w:color="auto" w:fill="auto"/>
            <w:noWrap/>
            <w:vAlign w:val="center"/>
          </w:tcPr>
          <w:p w:rsidR="00B21435" w:rsidRDefault="00F21DBE">
            <w:pPr>
              <w:widowControl/>
              <w:jc w:val="center"/>
              <w:rPr>
                <w:rFonts w:ascii="仿宋_GB2312" w:eastAsia="仿宋_GB2312" w:hAnsi="仿宋_GB2312" w:cs="仿宋_GB2312"/>
                <w:b/>
                <w:bCs/>
                <w:color w:val="000000"/>
                <w:kern w:val="0"/>
                <w:sz w:val="24"/>
              </w:rPr>
            </w:pPr>
            <w:r>
              <w:rPr>
                <w:rFonts w:ascii="仿宋_GB2312" w:eastAsia="仿宋_GB2312" w:hAnsi="仿宋_GB2312" w:cs="仿宋_GB2312" w:hint="eastAsia"/>
                <w:b/>
                <w:bCs/>
                <w:color w:val="000000"/>
                <w:kern w:val="0"/>
                <w:sz w:val="24"/>
              </w:rPr>
              <w:t>系统</w:t>
            </w:r>
          </w:p>
        </w:tc>
        <w:tc>
          <w:tcPr>
            <w:tcW w:w="5402" w:type="dxa"/>
            <w:shd w:val="clear" w:color="auto" w:fill="auto"/>
            <w:noWrap/>
            <w:vAlign w:val="center"/>
          </w:tcPr>
          <w:p w:rsidR="00B21435" w:rsidRDefault="00F21DBE">
            <w:pPr>
              <w:widowControl/>
              <w:jc w:val="center"/>
              <w:rPr>
                <w:rFonts w:ascii="仿宋_GB2312" w:eastAsia="仿宋_GB2312" w:hAnsi="仿宋_GB2312" w:cs="仿宋_GB2312"/>
                <w:b/>
                <w:bCs/>
                <w:color w:val="000000"/>
                <w:kern w:val="0"/>
                <w:sz w:val="24"/>
              </w:rPr>
            </w:pPr>
            <w:r>
              <w:rPr>
                <w:rFonts w:ascii="仿宋_GB2312" w:eastAsia="仿宋_GB2312" w:hAnsi="仿宋_GB2312" w:cs="仿宋_GB2312" w:hint="eastAsia"/>
                <w:b/>
                <w:bCs/>
                <w:color w:val="000000"/>
                <w:kern w:val="0"/>
                <w:sz w:val="24"/>
              </w:rPr>
              <w:t>参数</w:t>
            </w:r>
          </w:p>
        </w:tc>
        <w:tc>
          <w:tcPr>
            <w:tcW w:w="951" w:type="dxa"/>
            <w:shd w:val="clear" w:color="auto" w:fill="auto"/>
            <w:noWrap/>
            <w:vAlign w:val="center"/>
          </w:tcPr>
          <w:p w:rsidR="00B21435" w:rsidRDefault="00F21DBE">
            <w:pPr>
              <w:widowControl/>
              <w:jc w:val="center"/>
              <w:rPr>
                <w:rFonts w:ascii="仿宋_GB2312" w:eastAsia="仿宋_GB2312" w:hAnsi="仿宋_GB2312" w:cs="仿宋_GB2312"/>
                <w:b/>
                <w:bCs/>
                <w:color w:val="000000"/>
                <w:kern w:val="0"/>
                <w:sz w:val="24"/>
              </w:rPr>
            </w:pPr>
            <w:r>
              <w:rPr>
                <w:rFonts w:ascii="仿宋_GB2312" w:eastAsia="仿宋_GB2312" w:hAnsi="仿宋_GB2312" w:cs="仿宋_GB2312" w:hint="eastAsia"/>
                <w:b/>
                <w:bCs/>
                <w:color w:val="000000"/>
                <w:kern w:val="0"/>
                <w:sz w:val="24"/>
              </w:rPr>
              <w:t>指标</w:t>
            </w:r>
          </w:p>
        </w:tc>
      </w:tr>
      <w:tr w:rsidR="00B21435">
        <w:trPr>
          <w:trHeight w:val="372"/>
          <w:jc w:val="center"/>
        </w:trPr>
        <w:tc>
          <w:tcPr>
            <w:tcW w:w="1955" w:type="dxa"/>
            <w:vMerge w:val="restart"/>
            <w:shd w:val="clear" w:color="auto" w:fill="auto"/>
            <w:vAlign w:val="center"/>
          </w:tcPr>
          <w:p w:rsidR="00B21435" w:rsidRDefault="00F21DBE">
            <w:pPr>
              <w:widowControl/>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治疗室情况</w:t>
            </w:r>
          </w:p>
        </w:tc>
        <w:tc>
          <w:tcPr>
            <w:tcW w:w="5402" w:type="dxa"/>
            <w:shd w:val="clear" w:color="auto" w:fill="auto"/>
            <w:vAlign w:val="center"/>
          </w:tcPr>
          <w:p w:rsidR="00B21435" w:rsidRDefault="00F21DBE">
            <w:pPr>
              <w:widowControl/>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治疗室的个数</w:t>
            </w:r>
          </w:p>
        </w:tc>
        <w:tc>
          <w:tcPr>
            <w:tcW w:w="951" w:type="dxa"/>
            <w:vMerge w:val="restart"/>
            <w:shd w:val="clear" w:color="auto" w:fill="auto"/>
            <w:noWrap/>
            <w:vAlign w:val="center"/>
          </w:tcPr>
          <w:p w:rsidR="00B21435" w:rsidRDefault="00F21DBE">
            <w:pPr>
              <w:widowControl/>
              <w:rPr>
                <w:rFonts w:ascii="仿宋_GB2312" w:eastAsia="仿宋_GB2312" w:hAnsi="仿宋_GB2312" w:cs="仿宋_GB2312"/>
                <w:color w:val="000000"/>
                <w:kern w:val="0"/>
                <w:sz w:val="24"/>
              </w:rPr>
            </w:pPr>
            <w:r>
              <w:rPr>
                <w:rFonts w:ascii="仿宋_GB2312" w:eastAsia="仿宋_GB2312" w:hAnsi="仿宋_GB2312" w:cs="仿宋_GB2312" w:hint="eastAsia"/>
                <w:sz w:val="24"/>
              </w:rPr>
              <w:t>根据不同型号产品确认具体技术指标</w:t>
            </w:r>
          </w:p>
        </w:tc>
      </w:tr>
      <w:tr w:rsidR="00B21435">
        <w:trPr>
          <w:trHeight w:val="372"/>
          <w:jc w:val="center"/>
        </w:trPr>
        <w:tc>
          <w:tcPr>
            <w:tcW w:w="1955" w:type="dxa"/>
            <w:vMerge/>
            <w:shd w:val="clear" w:color="auto" w:fill="auto"/>
            <w:vAlign w:val="center"/>
          </w:tcPr>
          <w:p w:rsidR="00B21435" w:rsidRDefault="00B21435">
            <w:pPr>
              <w:widowControl/>
              <w:jc w:val="center"/>
              <w:rPr>
                <w:rFonts w:ascii="仿宋_GB2312" w:eastAsia="仿宋_GB2312" w:hAnsi="仿宋_GB2312" w:cs="仿宋_GB2312"/>
                <w:sz w:val="24"/>
              </w:rPr>
            </w:pPr>
          </w:p>
        </w:tc>
        <w:tc>
          <w:tcPr>
            <w:tcW w:w="5402" w:type="dxa"/>
            <w:shd w:val="clear" w:color="auto" w:fill="auto"/>
            <w:vAlign w:val="center"/>
          </w:tcPr>
          <w:p w:rsidR="00B21435" w:rsidRDefault="00F21DBE">
            <w:pPr>
              <w:widowControl/>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类型</w:t>
            </w:r>
          </w:p>
        </w:tc>
        <w:tc>
          <w:tcPr>
            <w:tcW w:w="951" w:type="dxa"/>
            <w:vMerge/>
            <w:shd w:val="clear" w:color="auto" w:fill="auto"/>
            <w:noWrap/>
            <w:vAlign w:val="center"/>
          </w:tcPr>
          <w:p w:rsidR="00B21435" w:rsidRDefault="00B21435">
            <w:pPr>
              <w:widowControl/>
              <w:rPr>
                <w:rFonts w:ascii="仿宋_GB2312" w:eastAsia="仿宋_GB2312" w:hAnsi="仿宋_GB2312" w:cs="仿宋_GB2312"/>
                <w:color w:val="000000"/>
                <w:kern w:val="0"/>
                <w:sz w:val="24"/>
              </w:rPr>
            </w:pPr>
          </w:p>
        </w:tc>
      </w:tr>
      <w:tr w:rsidR="00B21435">
        <w:trPr>
          <w:trHeight w:val="372"/>
          <w:jc w:val="center"/>
        </w:trPr>
        <w:tc>
          <w:tcPr>
            <w:tcW w:w="1955" w:type="dxa"/>
            <w:vMerge/>
            <w:shd w:val="clear" w:color="auto" w:fill="auto"/>
            <w:vAlign w:val="center"/>
          </w:tcPr>
          <w:p w:rsidR="00B21435" w:rsidRDefault="00B21435">
            <w:pPr>
              <w:widowControl/>
              <w:jc w:val="center"/>
              <w:rPr>
                <w:rFonts w:ascii="仿宋_GB2312" w:eastAsia="仿宋_GB2312" w:hAnsi="仿宋_GB2312" w:cs="仿宋_GB2312"/>
                <w:color w:val="000000"/>
                <w:kern w:val="0"/>
                <w:sz w:val="24"/>
              </w:rPr>
            </w:pPr>
          </w:p>
        </w:tc>
        <w:tc>
          <w:tcPr>
            <w:tcW w:w="5402" w:type="dxa"/>
            <w:shd w:val="clear" w:color="auto" w:fill="auto"/>
            <w:vAlign w:val="center"/>
          </w:tcPr>
          <w:p w:rsidR="00B21435" w:rsidRDefault="00F21DBE">
            <w:pPr>
              <w:widowControl/>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束流切换时间（不同治疗室/治疗头切换时间、能量切换时间、粒子种类切换时间（</w:t>
            </w:r>
            <w:r>
              <w:rPr>
                <w:rFonts w:ascii="仿宋_GB2312" w:eastAsia="仿宋_GB2312" w:hint="eastAsia"/>
                <w:sz w:val="24"/>
              </w:rPr>
              <w:t>对于单粒子的情形不适用</w:t>
            </w:r>
            <w:r>
              <w:rPr>
                <w:rFonts w:ascii="仿宋_GB2312" w:eastAsia="仿宋_GB2312" w:hAnsi="仿宋_GB2312" w:cs="仿宋_GB2312" w:hint="eastAsia"/>
                <w:color w:val="000000"/>
                <w:kern w:val="0"/>
                <w:sz w:val="24"/>
              </w:rPr>
              <w:t>））</w:t>
            </w:r>
          </w:p>
        </w:tc>
        <w:tc>
          <w:tcPr>
            <w:tcW w:w="951" w:type="dxa"/>
            <w:vMerge/>
            <w:shd w:val="clear" w:color="auto" w:fill="auto"/>
            <w:noWrap/>
            <w:vAlign w:val="center"/>
          </w:tcPr>
          <w:p w:rsidR="00B21435" w:rsidRDefault="00B21435">
            <w:pPr>
              <w:widowControl/>
              <w:rPr>
                <w:rFonts w:ascii="仿宋_GB2312" w:eastAsia="仿宋_GB2312" w:hAnsi="仿宋_GB2312" w:cs="仿宋_GB2312"/>
                <w:color w:val="000000"/>
                <w:kern w:val="0"/>
                <w:sz w:val="24"/>
              </w:rPr>
            </w:pPr>
          </w:p>
        </w:tc>
      </w:tr>
      <w:tr w:rsidR="00B21435">
        <w:trPr>
          <w:trHeight w:val="60"/>
          <w:jc w:val="center"/>
        </w:trPr>
        <w:tc>
          <w:tcPr>
            <w:tcW w:w="1955" w:type="dxa"/>
            <w:vMerge w:val="restart"/>
            <w:shd w:val="clear" w:color="auto" w:fill="auto"/>
            <w:vAlign w:val="center"/>
          </w:tcPr>
          <w:p w:rsidR="00B21435" w:rsidRDefault="00F21DBE">
            <w:pPr>
              <w:widowControl/>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旋转机架</w:t>
            </w:r>
          </w:p>
        </w:tc>
        <w:tc>
          <w:tcPr>
            <w:tcW w:w="5402" w:type="dxa"/>
            <w:shd w:val="clear" w:color="auto" w:fill="auto"/>
            <w:vAlign w:val="center"/>
          </w:tcPr>
          <w:p w:rsidR="00B21435" w:rsidRDefault="00F21DBE">
            <w:pPr>
              <w:widowControl/>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等中心点精度</w:t>
            </w:r>
          </w:p>
        </w:tc>
        <w:tc>
          <w:tcPr>
            <w:tcW w:w="951" w:type="dxa"/>
            <w:vMerge/>
            <w:shd w:val="clear" w:color="auto" w:fill="auto"/>
            <w:noWrap/>
            <w:vAlign w:val="bottom"/>
          </w:tcPr>
          <w:p w:rsidR="00B21435" w:rsidRDefault="00B21435">
            <w:pPr>
              <w:widowControl/>
              <w:rPr>
                <w:rFonts w:ascii="仿宋_GB2312" w:eastAsia="仿宋_GB2312" w:hAnsi="仿宋_GB2312" w:cs="仿宋_GB2312"/>
                <w:color w:val="000000"/>
                <w:kern w:val="0"/>
                <w:sz w:val="24"/>
              </w:rPr>
            </w:pPr>
          </w:p>
        </w:tc>
      </w:tr>
      <w:tr w:rsidR="00B21435">
        <w:trPr>
          <w:trHeight w:val="60"/>
          <w:jc w:val="center"/>
        </w:trPr>
        <w:tc>
          <w:tcPr>
            <w:tcW w:w="1955" w:type="dxa"/>
            <w:vMerge/>
            <w:shd w:val="clear" w:color="auto" w:fill="auto"/>
            <w:vAlign w:val="center"/>
          </w:tcPr>
          <w:p w:rsidR="00B21435" w:rsidRDefault="00B21435">
            <w:pPr>
              <w:widowControl/>
              <w:jc w:val="center"/>
              <w:rPr>
                <w:rFonts w:ascii="仿宋_GB2312" w:eastAsia="仿宋_GB2312" w:hAnsi="仿宋_GB2312" w:cs="仿宋_GB2312"/>
                <w:sz w:val="24"/>
              </w:rPr>
            </w:pPr>
          </w:p>
        </w:tc>
        <w:tc>
          <w:tcPr>
            <w:tcW w:w="5402" w:type="dxa"/>
            <w:shd w:val="clear" w:color="auto" w:fill="auto"/>
            <w:vAlign w:val="center"/>
          </w:tcPr>
          <w:p w:rsidR="00B21435" w:rsidRDefault="00F21DBE">
            <w:pPr>
              <w:widowControl/>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转动范围</w:t>
            </w:r>
          </w:p>
        </w:tc>
        <w:tc>
          <w:tcPr>
            <w:tcW w:w="951" w:type="dxa"/>
            <w:vMerge/>
            <w:shd w:val="clear" w:color="auto" w:fill="auto"/>
            <w:noWrap/>
            <w:vAlign w:val="bottom"/>
          </w:tcPr>
          <w:p w:rsidR="00B21435" w:rsidRDefault="00B21435">
            <w:pPr>
              <w:widowControl/>
              <w:rPr>
                <w:rFonts w:ascii="仿宋_GB2312" w:eastAsia="仿宋_GB2312" w:hAnsi="仿宋_GB2312" w:cs="仿宋_GB2312"/>
                <w:color w:val="000000"/>
                <w:kern w:val="0"/>
                <w:sz w:val="24"/>
              </w:rPr>
            </w:pPr>
          </w:p>
        </w:tc>
      </w:tr>
      <w:tr w:rsidR="00B21435">
        <w:trPr>
          <w:trHeight w:val="60"/>
          <w:jc w:val="center"/>
        </w:trPr>
        <w:tc>
          <w:tcPr>
            <w:tcW w:w="1955" w:type="dxa"/>
            <w:vMerge/>
            <w:shd w:val="clear" w:color="auto" w:fill="auto"/>
            <w:vAlign w:val="center"/>
          </w:tcPr>
          <w:p w:rsidR="00B21435" w:rsidRDefault="00B21435">
            <w:pPr>
              <w:widowControl/>
              <w:jc w:val="center"/>
              <w:rPr>
                <w:rFonts w:ascii="仿宋_GB2312" w:eastAsia="仿宋_GB2312" w:hAnsi="仿宋_GB2312" w:cs="仿宋_GB2312"/>
                <w:color w:val="000000"/>
                <w:kern w:val="0"/>
                <w:sz w:val="24"/>
              </w:rPr>
            </w:pPr>
          </w:p>
        </w:tc>
        <w:tc>
          <w:tcPr>
            <w:tcW w:w="5402" w:type="dxa"/>
            <w:shd w:val="clear" w:color="auto" w:fill="auto"/>
            <w:vAlign w:val="center"/>
          </w:tcPr>
          <w:p w:rsidR="00B21435" w:rsidRDefault="00F21DBE">
            <w:pPr>
              <w:widowControl/>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旋转机架的尺寸和加速器的相互配置位置</w:t>
            </w:r>
          </w:p>
        </w:tc>
        <w:tc>
          <w:tcPr>
            <w:tcW w:w="951" w:type="dxa"/>
            <w:vMerge/>
            <w:shd w:val="clear" w:color="auto" w:fill="auto"/>
            <w:noWrap/>
            <w:vAlign w:val="bottom"/>
          </w:tcPr>
          <w:p w:rsidR="00B21435" w:rsidRDefault="00B21435">
            <w:pPr>
              <w:widowControl/>
              <w:rPr>
                <w:rFonts w:ascii="仿宋_GB2312" w:eastAsia="仿宋_GB2312" w:hAnsi="仿宋_GB2312" w:cs="仿宋_GB2312"/>
                <w:color w:val="000000"/>
                <w:kern w:val="0"/>
                <w:sz w:val="24"/>
              </w:rPr>
            </w:pPr>
          </w:p>
        </w:tc>
      </w:tr>
      <w:tr w:rsidR="00B21435">
        <w:trPr>
          <w:trHeight w:val="60"/>
          <w:jc w:val="center"/>
        </w:trPr>
        <w:tc>
          <w:tcPr>
            <w:tcW w:w="1955" w:type="dxa"/>
            <w:vMerge/>
            <w:shd w:val="clear" w:color="auto" w:fill="auto"/>
            <w:vAlign w:val="center"/>
          </w:tcPr>
          <w:p w:rsidR="00B21435" w:rsidRDefault="00B21435">
            <w:pPr>
              <w:widowControl/>
              <w:jc w:val="center"/>
              <w:rPr>
                <w:rFonts w:ascii="仿宋_GB2312" w:eastAsia="仿宋_GB2312" w:hAnsi="仿宋_GB2312" w:cs="仿宋_GB2312"/>
                <w:color w:val="000000"/>
                <w:kern w:val="0"/>
                <w:sz w:val="24"/>
              </w:rPr>
            </w:pPr>
          </w:p>
        </w:tc>
        <w:tc>
          <w:tcPr>
            <w:tcW w:w="5402" w:type="dxa"/>
            <w:shd w:val="clear" w:color="auto" w:fill="auto"/>
            <w:vAlign w:val="center"/>
          </w:tcPr>
          <w:p w:rsidR="00B21435" w:rsidRDefault="00F21DBE">
            <w:pPr>
              <w:widowControl/>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旋转机架的机械性能：旋转角度、旋转半径、旋转速度、旋转机架的等中心准确性、停止角度、紧急制动时间和角度；</w:t>
            </w:r>
          </w:p>
        </w:tc>
        <w:tc>
          <w:tcPr>
            <w:tcW w:w="951" w:type="dxa"/>
            <w:vMerge/>
            <w:shd w:val="clear" w:color="auto" w:fill="auto"/>
            <w:noWrap/>
            <w:vAlign w:val="bottom"/>
          </w:tcPr>
          <w:p w:rsidR="00B21435" w:rsidRDefault="00B21435">
            <w:pPr>
              <w:widowControl/>
              <w:rPr>
                <w:rFonts w:ascii="仿宋_GB2312" w:eastAsia="仿宋_GB2312" w:hAnsi="仿宋_GB2312" w:cs="仿宋_GB2312"/>
                <w:color w:val="000000"/>
                <w:kern w:val="0"/>
                <w:sz w:val="24"/>
              </w:rPr>
            </w:pPr>
          </w:p>
        </w:tc>
      </w:tr>
      <w:tr w:rsidR="00B21435">
        <w:trPr>
          <w:trHeight w:val="100"/>
          <w:jc w:val="center"/>
        </w:trPr>
        <w:tc>
          <w:tcPr>
            <w:tcW w:w="1955" w:type="dxa"/>
            <w:vMerge/>
            <w:shd w:val="clear" w:color="auto" w:fill="auto"/>
            <w:vAlign w:val="center"/>
          </w:tcPr>
          <w:p w:rsidR="00B21435" w:rsidRDefault="00B21435">
            <w:pPr>
              <w:widowControl/>
              <w:jc w:val="center"/>
              <w:rPr>
                <w:rFonts w:ascii="仿宋_GB2312" w:eastAsia="仿宋_GB2312" w:hAnsi="仿宋_GB2312" w:cs="仿宋_GB2312"/>
                <w:color w:val="000000"/>
                <w:kern w:val="0"/>
                <w:sz w:val="24"/>
              </w:rPr>
            </w:pPr>
          </w:p>
        </w:tc>
        <w:tc>
          <w:tcPr>
            <w:tcW w:w="5402" w:type="dxa"/>
            <w:shd w:val="clear" w:color="auto" w:fill="auto"/>
            <w:vAlign w:val="center"/>
          </w:tcPr>
          <w:p w:rsidR="00B21435" w:rsidRDefault="00F21DBE">
            <w:pPr>
              <w:widowControl/>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紧急制动时间、角度等</w:t>
            </w:r>
          </w:p>
        </w:tc>
        <w:tc>
          <w:tcPr>
            <w:tcW w:w="951" w:type="dxa"/>
            <w:vMerge/>
            <w:shd w:val="clear" w:color="auto" w:fill="auto"/>
            <w:noWrap/>
            <w:vAlign w:val="bottom"/>
          </w:tcPr>
          <w:p w:rsidR="00B21435" w:rsidRDefault="00B21435">
            <w:pPr>
              <w:widowControl/>
              <w:rPr>
                <w:rFonts w:ascii="仿宋_GB2312" w:eastAsia="仿宋_GB2312" w:hAnsi="仿宋_GB2312" w:cs="仿宋_GB2312"/>
                <w:color w:val="000000"/>
                <w:kern w:val="0"/>
                <w:sz w:val="24"/>
              </w:rPr>
            </w:pPr>
          </w:p>
        </w:tc>
      </w:tr>
      <w:tr w:rsidR="00B21435">
        <w:trPr>
          <w:trHeight w:val="100"/>
          <w:jc w:val="center"/>
        </w:trPr>
        <w:tc>
          <w:tcPr>
            <w:tcW w:w="1955" w:type="dxa"/>
            <w:vMerge/>
            <w:shd w:val="clear" w:color="auto" w:fill="auto"/>
            <w:vAlign w:val="center"/>
          </w:tcPr>
          <w:p w:rsidR="00B21435" w:rsidRDefault="00B21435">
            <w:pPr>
              <w:widowControl/>
              <w:jc w:val="center"/>
              <w:rPr>
                <w:rFonts w:ascii="仿宋_GB2312" w:eastAsia="仿宋_GB2312" w:hAnsi="仿宋_GB2312" w:cs="仿宋_GB2312"/>
                <w:sz w:val="24"/>
              </w:rPr>
            </w:pPr>
          </w:p>
        </w:tc>
        <w:tc>
          <w:tcPr>
            <w:tcW w:w="5402" w:type="dxa"/>
            <w:shd w:val="clear" w:color="auto" w:fill="auto"/>
            <w:vAlign w:val="center"/>
          </w:tcPr>
          <w:p w:rsidR="00B21435" w:rsidRDefault="00F21DBE">
            <w:pPr>
              <w:widowControl/>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承重要求、变形要求</w:t>
            </w:r>
          </w:p>
        </w:tc>
        <w:tc>
          <w:tcPr>
            <w:tcW w:w="951" w:type="dxa"/>
            <w:vMerge/>
            <w:shd w:val="clear" w:color="auto" w:fill="auto"/>
            <w:noWrap/>
            <w:vAlign w:val="bottom"/>
          </w:tcPr>
          <w:p w:rsidR="00B21435" w:rsidRDefault="00B21435">
            <w:pPr>
              <w:widowControl/>
              <w:rPr>
                <w:rFonts w:ascii="仿宋_GB2312" w:eastAsia="仿宋_GB2312" w:hAnsi="仿宋_GB2312" w:cs="仿宋_GB2312"/>
                <w:color w:val="000000"/>
                <w:kern w:val="0"/>
                <w:sz w:val="24"/>
              </w:rPr>
            </w:pPr>
          </w:p>
        </w:tc>
      </w:tr>
      <w:tr w:rsidR="00B21435">
        <w:trPr>
          <w:trHeight w:val="100"/>
          <w:jc w:val="center"/>
        </w:trPr>
        <w:tc>
          <w:tcPr>
            <w:tcW w:w="1955" w:type="dxa"/>
            <w:vMerge/>
            <w:shd w:val="clear" w:color="auto" w:fill="auto"/>
            <w:vAlign w:val="center"/>
          </w:tcPr>
          <w:p w:rsidR="00B21435" w:rsidRDefault="00B21435">
            <w:pPr>
              <w:widowControl/>
              <w:jc w:val="center"/>
              <w:rPr>
                <w:rFonts w:ascii="仿宋_GB2312" w:eastAsia="仿宋_GB2312" w:hAnsi="仿宋_GB2312" w:cs="仿宋_GB2312"/>
                <w:color w:val="000000"/>
                <w:kern w:val="0"/>
                <w:sz w:val="24"/>
              </w:rPr>
            </w:pPr>
          </w:p>
        </w:tc>
        <w:tc>
          <w:tcPr>
            <w:tcW w:w="5402" w:type="dxa"/>
            <w:shd w:val="clear" w:color="auto" w:fill="auto"/>
            <w:vAlign w:val="center"/>
          </w:tcPr>
          <w:p w:rsidR="00B21435" w:rsidRDefault="00F21DBE">
            <w:pPr>
              <w:widowControl/>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安全联锁控制要求</w:t>
            </w:r>
          </w:p>
        </w:tc>
        <w:tc>
          <w:tcPr>
            <w:tcW w:w="951" w:type="dxa"/>
            <w:vMerge/>
            <w:shd w:val="clear" w:color="auto" w:fill="auto"/>
            <w:noWrap/>
            <w:vAlign w:val="bottom"/>
          </w:tcPr>
          <w:p w:rsidR="00B21435" w:rsidRDefault="00B21435">
            <w:pPr>
              <w:widowControl/>
              <w:rPr>
                <w:rFonts w:ascii="仿宋_GB2312" w:eastAsia="仿宋_GB2312" w:hAnsi="仿宋_GB2312" w:cs="仿宋_GB2312"/>
                <w:color w:val="000000"/>
                <w:kern w:val="0"/>
                <w:sz w:val="24"/>
              </w:rPr>
            </w:pPr>
          </w:p>
        </w:tc>
      </w:tr>
      <w:tr w:rsidR="00B21435">
        <w:trPr>
          <w:trHeight w:val="100"/>
          <w:jc w:val="center"/>
        </w:trPr>
        <w:tc>
          <w:tcPr>
            <w:tcW w:w="1955" w:type="dxa"/>
            <w:vMerge w:val="restart"/>
            <w:shd w:val="clear" w:color="auto" w:fill="auto"/>
            <w:vAlign w:val="center"/>
          </w:tcPr>
          <w:p w:rsidR="00B21435" w:rsidRDefault="00F21DBE">
            <w:pPr>
              <w:widowControl/>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固定机架</w:t>
            </w:r>
          </w:p>
        </w:tc>
        <w:tc>
          <w:tcPr>
            <w:tcW w:w="5402" w:type="dxa"/>
            <w:shd w:val="clear" w:color="auto" w:fill="auto"/>
            <w:vAlign w:val="center"/>
          </w:tcPr>
          <w:p w:rsidR="00B21435" w:rsidRDefault="00F21DBE">
            <w:pPr>
              <w:widowControl/>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固定机架数量</w:t>
            </w:r>
          </w:p>
        </w:tc>
        <w:tc>
          <w:tcPr>
            <w:tcW w:w="951" w:type="dxa"/>
            <w:vMerge/>
            <w:shd w:val="clear" w:color="auto" w:fill="auto"/>
            <w:noWrap/>
            <w:vAlign w:val="bottom"/>
          </w:tcPr>
          <w:p w:rsidR="00B21435" w:rsidRDefault="00B21435">
            <w:pPr>
              <w:widowControl/>
              <w:rPr>
                <w:rFonts w:ascii="仿宋_GB2312" w:eastAsia="仿宋_GB2312" w:hAnsi="仿宋_GB2312" w:cs="仿宋_GB2312"/>
                <w:color w:val="000000"/>
                <w:kern w:val="0"/>
                <w:sz w:val="24"/>
              </w:rPr>
            </w:pPr>
          </w:p>
        </w:tc>
      </w:tr>
      <w:tr w:rsidR="00B21435">
        <w:trPr>
          <w:trHeight w:val="100"/>
          <w:jc w:val="center"/>
        </w:trPr>
        <w:tc>
          <w:tcPr>
            <w:tcW w:w="1955" w:type="dxa"/>
            <w:vMerge/>
            <w:shd w:val="clear" w:color="auto" w:fill="auto"/>
            <w:vAlign w:val="center"/>
          </w:tcPr>
          <w:p w:rsidR="00B21435" w:rsidRDefault="00B21435">
            <w:pPr>
              <w:widowControl/>
              <w:jc w:val="center"/>
              <w:rPr>
                <w:rFonts w:ascii="仿宋_GB2312" w:eastAsia="仿宋_GB2312" w:hAnsi="仿宋_GB2312" w:cs="仿宋_GB2312"/>
                <w:sz w:val="24"/>
              </w:rPr>
            </w:pPr>
          </w:p>
        </w:tc>
        <w:tc>
          <w:tcPr>
            <w:tcW w:w="5402" w:type="dxa"/>
            <w:shd w:val="clear" w:color="auto" w:fill="auto"/>
            <w:vAlign w:val="center"/>
          </w:tcPr>
          <w:p w:rsidR="00B21435" w:rsidRDefault="00F21DBE">
            <w:pPr>
              <w:widowControl/>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角度</w:t>
            </w:r>
          </w:p>
        </w:tc>
        <w:tc>
          <w:tcPr>
            <w:tcW w:w="951" w:type="dxa"/>
            <w:vMerge/>
            <w:shd w:val="clear" w:color="auto" w:fill="auto"/>
            <w:noWrap/>
            <w:vAlign w:val="bottom"/>
          </w:tcPr>
          <w:p w:rsidR="00B21435" w:rsidRDefault="00B21435">
            <w:pPr>
              <w:widowControl/>
              <w:rPr>
                <w:rFonts w:ascii="仿宋_GB2312" w:eastAsia="仿宋_GB2312" w:hAnsi="仿宋_GB2312" w:cs="仿宋_GB2312"/>
                <w:color w:val="000000"/>
                <w:kern w:val="0"/>
                <w:sz w:val="24"/>
              </w:rPr>
            </w:pPr>
          </w:p>
        </w:tc>
      </w:tr>
      <w:tr w:rsidR="00B21435">
        <w:trPr>
          <w:trHeight w:val="100"/>
          <w:jc w:val="center"/>
        </w:trPr>
        <w:tc>
          <w:tcPr>
            <w:tcW w:w="1955" w:type="dxa"/>
            <w:vMerge/>
            <w:shd w:val="clear" w:color="auto" w:fill="auto"/>
            <w:vAlign w:val="center"/>
          </w:tcPr>
          <w:p w:rsidR="00B21435" w:rsidRDefault="00B21435">
            <w:pPr>
              <w:widowControl/>
              <w:jc w:val="center"/>
              <w:rPr>
                <w:rFonts w:ascii="仿宋_GB2312" w:eastAsia="仿宋_GB2312" w:hAnsi="仿宋_GB2312" w:cs="仿宋_GB2312"/>
                <w:color w:val="000000"/>
                <w:kern w:val="0"/>
                <w:sz w:val="24"/>
              </w:rPr>
            </w:pPr>
          </w:p>
        </w:tc>
        <w:tc>
          <w:tcPr>
            <w:tcW w:w="5402" w:type="dxa"/>
            <w:shd w:val="clear" w:color="auto" w:fill="auto"/>
            <w:vAlign w:val="center"/>
          </w:tcPr>
          <w:p w:rsidR="00B21435" w:rsidRDefault="00F21DBE">
            <w:pPr>
              <w:widowControl/>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等中心精度等</w:t>
            </w:r>
          </w:p>
        </w:tc>
        <w:tc>
          <w:tcPr>
            <w:tcW w:w="951" w:type="dxa"/>
            <w:vMerge/>
            <w:shd w:val="clear" w:color="auto" w:fill="auto"/>
            <w:noWrap/>
            <w:vAlign w:val="bottom"/>
          </w:tcPr>
          <w:p w:rsidR="00B21435" w:rsidRDefault="00B21435">
            <w:pPr>
              <w:widowControl/>
              <w:rPr>
                <w:rFonts w:ascii="仿宋_GB2312" w:eastAsia="仿宋_GB2312" w:hAnsi="仿宋_GB2312" w:cs="仿宋_GB2312"/>
                <w:color w:val="000000"/>
                <w:kern w:val="0"/>
                <w:sz w:val="24"/>
              </w:rPr>
            </w:pPr>
          </w:p>
        </w:tc>
      </w:tr>
      <w:tr w:rsidR="00B21435">
        <w:trPr>
          <w:trHeight w:val="151"/>
          <w:jc w:val="center"/>
        </w:trPr>
        <w:tc>
          <w:tcPr>
            <w:tcW w:w="1955" w:type="dxa"/>
            <w:vMerge w:val="restart"/>
            <w:shd w:val="clear" w:color="auto" w:fill="auto"/>
            <w:vAlign w:val="center"/>
          </w:tcPr>
          <w:p w:rsidR="00B21435" w:rsidRDefault="00F21DBE">
            <w:pPr>
              <w:widowControl/>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离散角度机架</w:t>
            </w:r>
          </w:p>
        </w:tc>
        <w:tc>
          <w:tcPr>
            <w:tcW w:w="5402" w:type="dxa"/>
            <w:shd w:val="clear" w:color="auto" w:fill="auto"/>
            <w:vAlign w:val="center"/>
          </w:tcPr>
          <w:p w:rsidR="00B21435" w:rsidRDefault="00F21DBE">
            <w:pPr>
              <w:widowControl/>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离散角度</w:t>
            </w:r>
          </w:p>
        </w:tc>
        <w:tc>
          <w:tcPr>
            <w:tcW w:w="951" w:type="dxa"/>
            <w:vMerge/>
            <w:shd w:val="clear" w:color="auto" w:fill="auto"/>
            <w:noWrap/>
            <w:vAlign w:val="bottom"/>
          </w:tcPr>
          <w:p w:rsidR="00B21435" w:rsidRDefault="00B21435">
            <w:pPr>
              <w:widowControl/>
              <w:rPr>
                <w:rFonts w:ascii="仿宋_GB2312" w:eastAsia="仿宋_GB2312" w:hAnsi="仿宋_GB2312" w:cs="仿宋_GB2312"/>
                <w:color w:val="000000"/>
                <w:kern w:val="0"/>
                <w:sz w:val="24"/>
              </w:rPr>
            </w:pPr>
          </w:p>
        </w:tc>
      </w:tr>
      <w:tr w:rsidR="00B21435">
        <w:trPr>
          <w:trHeight w:val="151"/>
          <w:jc w:val="center"/>
        </w:trPr>
        <w:tc>
          <w:tcPr>
            <w:tcW w:w="1955" w:type="dxa"/>
            <w:vMerge/>
            <w:shd w:val="clear" w:color="auto" w:fill="auto"/>
            <w:vAlign w:val="center"/>
          </w:tcPr>
          <w:p w:rsidR="00B21435" w:rsidRDefault="00B21435">
            <w:pPr>
              <w:widowControl/>
              <w:jc w:val="center"/>
              <w:rPr>
                <w:rFonts w:ascii="仿宋_GB2312" w:eastAsia="仿宋_GB2312" w:hAnsi="仿宋_GB2312" w:cs="仿宋_GB2312"/>
                <w:sz w:val="24"/>
              </w:rPr>
            </w:pPr>
          </w:p>
        </w:tc>
        <w:tc>
          <w:tcPr>
            <w:tcW w:w="5402" w:type="dxa"/>
            <w:shd w:val="clear" w:color="auto" w:fill="auto"/>
            <w:vAlign w:val="center"/>
          </w:tcPr>
          <w:p w:rsidR="00B21435" w:rsidRDefault="00F21DBE">
            <w:pPr>
              <w:widowControl/>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等中心精度等</w:t>
            </w:r>
          </w:p>
        </w:tc>
        <w:tc>
          <w:tcPr>
            <w:tcW w:w="951" w:type="dxa"/>
            <w:vMerge/>
            <w:shd w:val="clear" w:color="auto" w:fill="auto"/>
            <w:noWrap/>
            <w:vAlign w:val="bottom"/>
          </w:tcPr>
          <w:p w:rsidR="00B21435" w:rsidRDefault="00B21435">
            <w:pPr>
              <w:widowControl/>
              <w:rPr>
                <w:rFonts w:ascii="仿宋_GB2312" w:eastAsia="仿宋_GB2312" w:hAnsi="仿宋_GB2312" w:cs="仿宋_GB2312"/>
                <w:color w:val="000000"/>
                <w:kern w:val="0"/>
                <w:sz w:val="24"/>
              </w:rPr>
            </w:pPr>
          </w:p>
        </w:tc>
      </w:tr>
      <w:tr w:rsidR="00B21435">
        <w:trPr>
          <w:trHeight w:val="60"/>
          <w:jc w:val="center"/>
        </w:trPr>
        <w:tc>
          <w:tcPr>
            <w:tcW w:w="1955" w:type="dxa"/>
            <w:vMerge w:val="restart"/>
            <w:shd w:val="clear" w:color="auto" w:fill="auto"/>
            <w:vAlign w:val="center"/>
          </w:tcPr>
          <w:p w:rsidR="00B21435" w:rsidRDefault="00F21DBE">
            <w:pPr>
              <w:widowControl/>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lastRenderedPageBreak/>
              <w:t>治疗头（扫描方式）</w:t>
            </w:r>
          </w:p>
        </w:tc>
        <w:tc>
          <w:tcPr>
            <w:tcW w:w="5402" w:type="dxa"/>
            <w:shd w:val="clear" w:color="auto" w:fill="auto"/>
            <w:vAlign w:val="center"/>
          </w:tcPr>
          <w:p w:rsidR="00B21435" w:rsidRDefault="00F21DBE">
            <w:pPr>
              <w:widowControl/>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扫描方式（例如调制扫描、均匀扫描等）</w:t>
            </w:r>
          </w:p>
        </w:tc>
        <w:tc>
          <w:tcPr>
            <w:tcW w:w="951" w:type="dxa"/>
            <w:vMerge/>
            <w:shd w:val="clear" w:color="auto" w:fill="auto"/>
            <w:noWrap/>
            <w:vAlign w:val="bottom"/>
          </w:tcPr>
          <w:p w:rsidR="00B21435" w:rsidRDefault="00B21435">
            <w:pPr>
              <w:widowControl/>
              <w:rPr>
                <w:rFonts w:ascii="仿宋_GB2312" w:eastAsia="仿宋_GB2312" w:hAnsi="仿宋_GB2312" w:cs="仿宋_GB2312"/>
                <w:color w:val="000000"/>
                <w:kern w:val="0"/>
                <w:sz w:val="24"/>
              </w:rPr>
            </w:pPr>
          </w:p>
        </w:tc>
      </w:tr>
      <w:tr w:rsidR="00B21435">
        <w:trPr>
          <w:trHeight w:val="60"/>
          <w:jc w:val="center"/>
        </w:trPr>
        <w:tc>
          <w:tcPr>
            <w:tcW w:w="1955" w:type="dxa"/>
            <w:vMerge/>
            <w:shd w:val="clear" w:color="auto" w:fill="auto"/>
            <w:vAlign w:val="center"/>
          </w:tcPr>
          <w:p w:rsidR="00B21435" w:rsidRDefault="00B21435">
            <w:pPr>
              <w:widowControl/>
              <w:jc w:val="center"/>
              <w:rPr>
                <w:rFonts w:ascii="仿宋_GB2312" w:eastAsia="仿宋_GB2312" w:hAnsi="仿宋_GB2312" w:cs="仿宋_GB2312"/>
                <w:sz w:val="24"/>
              </w:rPr>
            </w:pPr>
          </w:p>
        </w:tc>
        <w:tc>
          <w:tcPr>
            <w:tcW w:w="5402" w:type="dxa"/>
            <w:shd w:val="clear" w:color="auto" w:fill="auto"/>
            <w:vAlign w:val="center"/>
          </w:tcPr>
          <w:p w:rsidR="00B21435" w:rsidRDefault="00F21DBE">
            <w:pPr>
              <w:widowControl/>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多叶光栅：材质、叶片对数、叶片高度、投影宽度、射野范围</w:t>
            </w:r>
          </w:p>
        </w:tc>
        <w:tc>
          <w:tcPr>
            <w:tcW w:w="951" w:type="dxa"/>
            <w:vMerge/>
            <w:shd w:val="clear" w:color="auto" w:fill="auto"/>
            <w:noWrap/>
            <w:vAlign w:val="bottom"/>
          </w:tcPr>
          <w:p w:rsidR="00B21435" w:rsidRDefault="00B21435">
            <w:pPr>
              <w:widowControl/>
              <w:rPr>
                <w:rFonts w:ascii="仿宋_GB2312" w:eastAsia="仿宋_GB2312" w:hAnsi="仿宋_GB2312" w:cs="仿宋_GB2312"/>
                <w:color w:val="000000"/>
                <w:kern w:val="0"/>
                <w:sz w:val="24"/>
              </w:rPr>
            </w:pPr>
          </w:p>
        </w:tc>
      </w:tr>
      <w:tr w:rsidR="00B21435">
        <w:trPr>
          <w:trHeight w:val="60"/>
          <w:jc w:val="center"/>
        </w:trPr>
        <w:tc>
          <w:tcPr>
            <w:tcW w:w="1955" w:type="dxa"/>
            <w:vMerge/>
            <w:shd w:val="clear" w:color="auto" w:fill="auto"/>
            <w:vAlign w:val="center"/>
          </w:tcPr>
          <w:p w:rsidR="00B21435" w:rsidRDefault="00B21435">
            <w:pPr>
              <w:widowControl/>
              <w:jc w:val="center"/>
              <w:rPr>
                <w:rFonts w:ascii="仿宋_GB2312" w:eastAsia="仿宋_GB2312" w:hAnsi="仿宋_GB2312" w:cs="仿宋_GB2312"/>
                <w:color w:val="000000"/>
                <w:kern w:val="0"/>
                <w:sz w:val="24"/>
              </w:rPr>
            </w:pPr>
          </w:p>
        </w:tc>
        <w:tc>
          <w:tcPr>
            <w:tcW w:w="5402" w:type="dxa"/>
            <w:shd w:val="clear" w:color="auto" w:fill="auto"/>
            <w:vAlign w:val="center"/>
          </w:tcPr>
          <w:p w:rsidR="00B21435" w:rsidRDefault="00F21DBE">
            <w:pPr>
              <w:widowControl/>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照射野范围、能量范围、射程范围、能量调节步长、能量调节方式、束流斑点大小、半影宽度（均匀扫描）、束流位置检测频率</w:t>
            </w:r>
          </w:p>
        </w:tc>
        <w:tc>
          <w:tcPr>
            <w:tcW w:w="951" w:type="dxa"/>
            <w:vMerge/>
            <w:shd w:val="clear" w:color="auto" w:fill="auto"/>
            <w:noWrap/>
            <w:vAlign w:val="bottom"/>
          </w:tcPr>
          <w:p w:rsidR="00B21435" w:rsidRDefault="00B21435">
            <w:pPr>
              <w:widowControl/>
              <w:rPr>
                <w:rFonts w:ascii="仿宋_GB2312" w:eastAsia="仿宋_GB2312" w:hAnsi="仿宋_GB2312" w:cs="仿宋_GB2312"/>
                <w:color w:val="000000"/>
                <w:kern w:val="0"/>
                <w:sz w:val="24"/>
              </w:rPr>
            </w:pPr>
          </w:p>
        </w:tc>
      </w:tr>
      <w:tr w:rsidR="00B21435">
        <w:trPr>
          <w:trHeight w:val="60"/>
          <w:jc w:val="center"/>
        </w:trPr>
        <w:tc>
          <w:tcPr>
            <w:tcW w:w="1955" w:type="dxa"/>
            <w:vMerge/>
            <w:shd w:val="clear" w:color="auto" w:fill="auto"/>
            <w:vAlign w:val="center"/>
          </w:tcPr>
          <w:p w:rsidR="00B21435" w:rsidRDefault="00B21435">
            <w:pPr>
              <w:widowControl/>
              <w:jc w:val="center"/>
              <w:rPr>
                <w:rFonts w:ascii="仿宋_GB2312" w:eastAsia="仿宋_GB2312" w:hAnsi="仿宋_GB2312" w:cs="仿宋_GB2312"/>
                <w:color w:val="000000"/>
                <w:kern w:val="0"/>
                <w:sz w:val="24"/>
              </w:rPr>
            </w:pPr>
          </w:p>
        </w:tc>
        <w:tc>
          <w:tcPr>
            <w:tcW w:w="5402" w:type="dxa"/>
            <w:shd w:val="clear" w:color="auto" w:fill="auto"/>
            <w:vAlign w:val="center"/>
          </w:tcPr>
          <w:p w:rsidR="00B21435" w:rsidRDefault="00F21DBE">
            <w:pPr>
              <w:widowControl/>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等中心或设备参考点位置、源到等中心的距离</w:t>
            </w:r>
          </w:p>
        </w:tc>
        <w:tc>
          <w:tcPr>
            <w:tcW w:w="951" w:type="dxa"/>
            <w:vMerge/>
            <w:shd w:val="clear" w:color="auto" w:fill="auto"/>
            <w:noWrap/>
            <w:vAlign w:val="bottom"/>
          </w:tcPr>
          <w:p w:rsidR="00B21435" w:rsidRDefault="00B21435">
            <w:pPr>
              <w:widowControl/>
              <w:rPr>
                <w:rFonts w:ascii="仿宋_GB2312" w:eastAsia="仿宋_GB2312" w:hAnsi="仿宋_GB2312" w:cs="仿宋_GB2312"/>
                <w:color w:val="000000"/>
                <w:kern w:val="0"/>
                <w:sz w:val="24"/>
              </w:rPr>
            </w:pPr>
          </w:p>
        </w:tc>
      </w:tr>
      <w:tr w:rsidR="00B21435">
        <w:trPr>
          <w:trHeight w:val="60"/>
          <w:jc w:val="center"/>
        </w:trPr>
        <w:tc>
          <w:tcPr>
            <w:tcW w:w="1955" w:type="dxa"/>
            <w:vMerge/>
            <w:shd w:val="clear" w:color="auto" w:fill="auto"/>
            <w:vAlign w:val="center"/>
          </w:tcPr>
          <w:p w:rsidR="00B21435" w:rsidRDefault="00B21435">
            <w:pPr>
              <w:widowControl/>
              <w:jc w:val="center"/>
              <w:rPr>
                <w:rFonts w:ascii="仿宋_GB2312" w:eastAsia="仿宋_GB2312" w:hAnsi="仿宋_GB2312" w:cs="仿宋_GB2312"/>
                <w:color w:val="000000"/>
                <w:kern w:val="0"/>
                <w:sz w:val="24"/>
              </w:rPr>
            </w:pPr>
          </w:p>
        </w:tc>
        <w:tc>
          <w:tcPr>
            <w:tcW w:w="5402" w:type="dxa"/>
            <w:shd w:val="clear" w:color="auto" w:fill="auto"/>
            <w:vAlign w:val="center"/>
          </w:tcPr>
          <w:p w:rsidR="00B21435" w:rsidRDefault="00F21DBE">
            <w:pPr>
              <w:widowControl/>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特殊治疗（例如眼束线）相关的要求</w:t>
            </w:r>
          </w:p>
        </w:tc>
        <w:tc>
          <w:tcPr>
            <w:tcW w:w="951" w:type="dxa"/>
            <w:vMerge/>
            <w:shd w:val="clear" w:color="auto" w:fill="auto"/>
            <w:noWrap/>
            <w:vAlign w:val="bottom"/>
          </w:tcPr>
          <w:p w:rsidR="00B21435" w:rsidRDefault="00B21435">
            <w:pPr>
              <w:widowControl/>
              <w:rPr>
                <w:rFonts w:ascii="仿宋_GB2312" w:eastAsia="仿宋_GB2312" w:hAnsi="仿宋_GB2312" w:cs="仿宋_GB2312"/>
                <w:color w:val="000000"/>
                <w:kern w:val="0"/>
                <w:sz w:val="24"/>
              </w:rPr>
            </w:pPr>
          </w:p>
        </w:tc>
      </w:tr>
      <w:tr w:rsidR="00B21435">
        <w:trPr>
          <w:trHeight w:val="60"/>
          <w:jc w:val="center"/>
        </w:trPr>
        <w:tc>
          <w:tcPr>
            <w:tcW w:w="1955" w:type="dxa"/>
            <w:vMerge w:val="restart"/>
            <w:shd w:val="clear" w:color="auto" w:fill="auto"/>
            <w:vAlign w:val="center"/>
          </w:tcPr>
          <w:p w:rsidR="00B21435" w:rsidRDefault="00F21DBE">
            <w:pPr>
              <w:widowControl/>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治疗头（散射方式）</w:t>
            </w:r>
          </w:p>
        </w:tc>
        <w:tc>
          <w:tcPr>
            <w:tcW w:w="5402" w:type="dxa"/>
            <w:shd w:val="clear" w:color="auto" w:fill="auto"/>
            <w:vAlign w:val="center"/>
          </w:tcPr>
          <w:p w:rsidR="00B21435" w:rsidRDefault="00F21DBE">
            <w:pPr>
              <w:widowControl/>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散射方式（例如单散射、双散射等）</w:t>
            </w:r>
          </w:p>
        </w:tc>
        <w:tc>
          <w:tcPr>
            <w:tcW w:w="951" w:type="dxa"/>
            <w:vMerge/>
            <w:shd w:val="clear" w:color="auto" w:fill="auto"/>
            <w:noWrap/>
            <w:vAlign w:val="bottom"/>
          </w:tcPr>
          <w:p w:rsidR="00B21435" w:rsidRDefault="00B21435">
            <w:pPr>
              <w:widowControl/>
              <w:rPr>
                <w:rFonts w:ascii="仿宋_GB2312" w:eastAsia="仿宋_GB2312" w:hAnsi="仿宋_GB2312" w:cs="仿宋_GB2312"/>
                <w:color w:val="000000"/>
                <w:kern w:val="0"/>
                <w:sz w:val="24"/>
              </w:rPr>
            </w:pPr>
          </w:p>
        </w:tc>
      </w:tr>
      <w:tr w:rsidR="00B21435">
        <w:trPr>
          <w:trHeight w:val="60"/>
          <w:jc w:val="center"/>
        </w:trPr>
        <w:tc>
          <w:tcPr>
            <w:tcW w:w="1955" w:type="dxa"/>
            <w:vMerge/>
            <w:shd w:val="clear" w:color="auto" w:fill="auto"/>
            <w:vAlign w:val="center"/>
          </w:tcPr>
          <w:p w:rsidR="00B21435" w:rsidRDefault="00B21435">
            <w:pPr>
              <w:widowControl/>
              <w:jc w:val="center"/>
              <w:rPr>
                <w:rFonts w:ascii="仿宋_GB2312" w:eastAsia="仿宋_GB2312" w:hAnsi="仿宋_GB2312" w:cs="仿宋_GB2312"/>
                <w:sz w:val="24"/>
              </w:rPr>
            </w:pPr>
          </w:p>
        </w:tc>
        <w:tc>
          <w:tcPr>
            <w:tcW w:w="5402" w:type="dxa"/>
            <w:shd w:val="clear" w:color="auto" w:fill="auto"/>
            <w:vAlign w:val="center"/>
          </w:tcPr>
          <w:p w:rsidR="00B21435" w:rsidRDefault="00F21DBE">
            <w:pPr>
              <w:widowControl/>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多叶光栅的材质、叶片对数、叶片高度、投影宽度、射野范围</w:t>
            </w:r>
          </w:p>
        </w:tc>
        <w:tc>
          <w:tcPr>
            <w:tcW w:w="951" w:type="dxa"/>
            <w:vMerge/>
            <w:shd w:val="clear" w:color="auto" w:fill="auto"/>
            <w:noWrap/>
            <w:vAlign w:val="bottom"/>
          </w:tcPr>
          <w:p w:rsidR="00B21435" w:rsidRDefault="00B21435">
            <w:pPr>
              <w:widowControl/>
              <w:rPr>
                <w:rFonts w:ascii="仿宋_GB2312" w:eastAsia="仿宋_GB2312" w:hAnsi="仿宋_GB2312" w:cs="仿宋_GB2312"/>
                <w:color w:val="000000"/>
                <w:kern w:val="0"/>
                <w:sz w:val="24"/>
              </w:rPr>
            </w:pPr>
          </w:p>
        </w:tc>
      </w:tr>
      <w:tr w:rsidR="00B21435">
        <w:trPr>
          <w:trHeight w:val="60"/>
          <w:jc w:val="center"/>
        </w:trPr>
        <w:tc>
          <w:tcPr>
            <w:tcW w:w="1955" w:type="dxa"/>
            <w:vMerge/>
            <w:shd w:val="clear" w:color="auto" w:fill="auto"/>
            <w:vAlign w:val="center"/>
          </w:tcPr>
          <w:p w:rsidR="00B21435" w:rsidRDefault="00B21435">
            <w:pPr>
              <w:widowControl/>
              <w:jc w:val="center"/>
              <w:rPr>
                <w:rFonts w:ascii="仿宋_GB2312" w:eastAsia="仿宋_GB2312" w:hAnsi="仿宋_GB2312" w:cs="仿宋_GB2312"/>
                <w:color w:val="000000"/>
                <w:kern w:val="0"/>
                <w:sz w:val="24"/>
              </w:rPr>
            </w:pPr>
          </w:p>
        </w:tc>
        <w:tc>
          <w:tcPr>
            <w:tcW w:w="5402" w:type="dxa"/>
            <w:shd w:val="clear" w:color="auto" w:fill="auto"/>
            <w:vAlign w:val="center"/>
          </w:tcPr>
          <w:p w:rsidR="00B21435" w:rsidRDefault="00F21DBE">
            <w:pPr>
              <w:widowControl/>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照射野范围、能量范围、射程范围、能量调节步长、能量调节方式、半影宽度、束流位置检测单元频率</w:t>
            </w:r>
          </w:p>
        </w:tc>
        <w:tc>
          <w:tcPr>
            <w:tcW w:w="951" w:type="dxa"/>
            <w:vMerge/>
            <w:shd w:val="clear" w:color="auto" w:fill="auto"/>
            <w:noWrap/>
            <w:vAlign w:val="bottom"/>
          </w:tcPr>
          <w:p w:rsidR="00B21435" w:rsidRDefault="00B21435">
            <w:pPr>
              <w:widowControl/>
              <w:rPr>
                <w:rFonts w:ascii="仿宋_GB2312" w:eastAsia="仿宋_GB2312" w:hAnsi="仿宋_GB2312" w:cs="仿宋_GB2312"/>
                <w:color w:val="000000"/>
                <w:kern w:val="0"/>
                <w:sz w:val="24"/>
              </w:rPr>
            </w:pPr>
          </w:p>
        </w:tc>
      </w:tr>
      <w:tr w:rsidR="00B21435">
        <w:trPr>
          <w:trHeight w:val="60"/>
          <w:jc w:val="center"/>
        </w:trPr>
        <w:tc>
          <w:tcPr>
            <w:tcW w:w="1955" w:type="dxa"/>
            <w:vMerge/>
            <w:shd w:val="clear" w:color="auto" w:fill="auto"/>
            <w:vAlign w:val="center"/>
          </w:tcPr>
          <w:p w:rsidR="00B21435" w:rsidRDefault="00B21435">
            <w:pPr>
              <w:widowControl/>
              <w:jc w:val="center"/>
              <w:rPr>
                <w:rFonts w:ascii="仿宋_GB2312" w:eastAsia="仿宋_GB2312" w:hAnsi="仿宋_GB2312" w:cs="仿宋_GB2312"/>
                <w:color w:val="000000"/>
                <w:kern w:val="0"/>
                <w:sz w:val="24"/>
              </w:rPr>
            </w:pPr>
          </w:p>
        </w:tc>
        <w:tc>
          <w:tcPr>
            <w:tcW w:w="5402" w:type="dxa"/>
            <w:shd w:val="clear" w:color="auto" w:fill="auto"/>
            <w:vAlign w:val="center"/>
          </w:tcPr>
          <w:p w:rsidR="00B21435" w:rsidRDefault="00F21DBE">
            <w:pPr>
              <w:widowControl/>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等中心高度、源到等中心的距离</w:t>
            </w:r>
          </w:p>
        </w:tc>
        <w:tc>
          <w:tcPr>
            <w:tcW w:w="951" w:type="dxa"/>
            <w:vMerge/>
            <w:shd w:val="clear" w:color="auto" w:fill="auto"/>
            <w:noWrap/>
            <w:vAlign w:val="bottom"/>
          </w:tcPr>
          <w:p w:rsidR="00B21435" w:rsidRDefault="00B21435">
            <w:pPr>
              <w:widowControl/>
              <w:rPr>
                <w:rFonts w:ascii="仿宋_GB2312" w:eastAsia="仿宋_GB2312" w:hAnsi="仿宋_GB2312" w:cs="仿宋_GB2312"/>
                <w:color w:val="000000"/>
                <w:kern w:val="0"/>
                <w:sz w:val="24"/>
              </w:rPr>
            </w:pPr>
          </w:p>
        </w:tc>
      </w:tr>
      <w:tr w:rsidR="00B21435">
        <w:trPr>
          <w:trHeight w:val="60"/>
          <w:jc w:val="center"/>
        </w:trPr>
        <w:tc>
          <w:tcPr>
            <w:tcW w:w="1955" w:type="dxa"/>
            <w:vMerge/>
            <w:shd w:val="clear" w:color="auto" w:fill="auto"/>
            <w:vAlign w:val="center"/>
          </w:tcPr>
          <w:p w:rsidR="00B21435" w:rsidRDefault="00B21435">
            <w:pPr>
              <w:widowControl/>
              <w:jc w:val="center"/>
              <w:rPr>
                <w:rFonts w:ascii="仿宋_GB2312" w:eastAsia="仿宋_GB2312" w:hAnsi="仿宋_GB2312" w:cs="仿宋_GB2312"/>
                <w:color w:val="000000"/>
                <w:kern w:val="0"/>
                <w:sz w:val="24"/>
              </w:rPr>
            </w:pPr>
          </w:p>
        </w:tc>
        <w:tc>
          <w:tcPr>
            <w:tcW w:w="5402" w:type="dxa"/>
            <w:shd w:val="clear" w:color="auto" w:fill="auto"/>
            <w:vAlign w:val="center"/>
          </w:tcPr>
          <w:p w:rsidR="00B21435" w:rsidRDefault="00F21DBE">
            <w:pPr>
              <w:widowControl/>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特殊治疗（例如眼束线）相关的要求</w:t>
            </w:r>
          </w:p>
        </w:tc>
        <w:tc>
          <w:tcPr>
            <w:tcW w:w="951" w:type="dxa"/>
            <w:vMerge/>
            <w:shd w:val="clear" w:color="auto" w:fill="auto"/>
            <w:noWrap/>
            <w:vAlign w:val="bottom"/>
          </w:tcPr>
          <w:p w:rsidR="00B21435" w:rsidRDefault="00B21435">
            <w:pPr>
              <w:widowControl/>
              <w:rPr>
                <w:rFonts w:ascii="仿宋_GB2312" w:eastAsia="仿宋_GB2312" w:hAnsi="仿宋_GB2312" w:cs="仿宋_GB2312"/>
                <w:color w:val="000000"/>
                <w:kern w:val="0"/>
                <w:sz w:val="24"/>
              </w:rPr>
            </w:pPr>
          </w:p>
        </w:tc>
      </w:tr>
      <w:tr w:rsidR="00B21435">
        <w:trPr>
          <w:trHeight w:val="307"/>
          <w:jc w:val="center"/>
        </w:trPr>
        <w:tc>
          <w:tcPr>
            <w:tcW w:w="1955" w:type="dxa"/>
            <w:vMerge w:val="restart"/>
            <w:shd w:val="clear" w:color="auto" w:fill="auto"/>
            <w:vAlign w:val="center"/>
          </w:tcPr>
          <w:p w:rsidR="00B21435" w:rsidRDefault="00F21DBE">
            <w:pPr>
              <w:widowControl/>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图像引导系统</w:t>
            </w:r>
          </w:p>
        </w:tc>
        <w:tc>
          <w:tcPr>
            <w:tcW w:w="5402" w:type="dxa"/>
            <w:shd w:val="clear" w:color="auto" w:fill="auto"/>
            <w:vAlign w:val="center"/>
          </w:tcPr>
          <w:p w:rsidR="00B21435" w:rsidRDefault="00F21DBE">
            <w:pPr>
              <w:widowControl/>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实现方式、摆位精度</w:t>
            </w:r>
          </w:p>
        </w:tc>
        <w:tc>
          <w:tcPr>
            <w:tcW w:w="951" w:type="dxa"/>
            <w:vMerge/>
            <w:shd w:val="clear" w:color="auto" w:fill="auto"/>
            <w:noWrap/>
            <w:vAlign w:val="bottom"/>
          </w:tcPr>
          <w:p w:rsidR="00B21435" w:rsidRDefault="00B21435">
            <w:pPr>
              <w:widowControl/>
              <w:rPr>
                <w:rFonts w:ascii="仿宋_GB2312" w:eastAsia="仿宋_GB2312" w:hAnsi="仿宋_GB2312" w:cs="仿宋_GB2312"/>
                <w:color w:val="000000"/>
                <w:kern w:val="0"/>
                <w:sz w:val="24"/>
              </w:rPr>
            </w:pPr>
          </w:p>
        </w:tc>
      </w:tr>
      <w:tr w:rsidR="00B21435">
        <w:trPr>
          <w:trHeight w:val="307"/>
          <w:jc w:val="center"/>
        </w:trPr>
        <w:tc>
          <w:tcPr>
            <w:tcW w:w="1955" w:type="dxa"/>
            <w:vMerge/>
            <w:shd w:val="clear" w:color="auto" w:fill="auto"/>
            <w:vAlign w:val="center"/>
          </w:tcPr>
          <w:p w:rsidR="00B21435" w:rsidRDefault="00B21435">
            <w:pPr>
              <w:widowControl/>
              <w:jc w:val="center"/>
              <w:rPr>
                <w:rFonts w:ascii="仿宋_GB2312" w:eastAsia="仿宋_GB2312" w:hAnsi="仿宋_GB2312" w:cs="仿宋_GB2312"/>
                <w:sz w:val="24"/>
              </w:rPr>
            </w:pPr>
          </w:p>
        </w:tc>
        <w:tc>
          <w:tcPr>
            <w:tcW w:w="5402" w:type="dxa"/>
            <w:shd w:val="clear" w:color="auto" w:fill="auto"/>
            <w:vAlign w:val="center"/>
          </w:tcPr>
          <w:p w:rsidR="00B21435" w:rsidRDefault="00F21DBE">
            <w:pPr>
              <w:widowControl/>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X射线相关技术指标</w:t>
            </w:r>
          </w:p>
        </w:tc>
        <w:tc>
          <w:tcPr>
            <w:tcW w:w="951" w:type="dxa"/>
            <w:vMerge/>
            <w:shd w:val="clear" w:color="auto" w:fill="auto"/>
            <w:noWrap/>
            <w:vAlign w:val="bottom"/>
          </w:tcPr>
          <w:p w:rsidR="00B21435" w:rsidRDefault="00B21435">
            <w:pPr>
              <w:widowControl/>
              <w:rPr>
                <w:rFonts w:ascii="仿宋_GB2312" w:eastAsia="仿宋_GB2312" w:hAnsi="仿宋_GB2312" w:cs="仿宋_GB2312"/>
                <w:color w:val="000000"/>
                <w:kern w:val="0"/>
                <w:sz w:val="24"/>
              </w:rPr>
            </w:pPr>
          </w:p>
        </w:tc>
      </w:tr>
      <w:tr w:rsidR="00B21435">
        <w:trPr>
          <w:trHeight w:val="60"/>
          <w:jc w:val="center"/>
        </w:trPr>
        <w:tc>
          <w:tcPr>
            <w:tcW w:w="1955" w:type="dxa"/>
            <w:vMerge w:val="restart"/>
            <w:shd w:val="clear" w:color="auto" w:fill="auto"/>
            <w:vAlign w:val="center"/>
          </w:tcPr>
          <w:p w:rsidR="00B21435" w:rsidRDefault="00F21DBE">
            <w:pPr>
              <w:widowControl/>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患者支撑系统</w:t>
            </w:r>
          </w:p>
        </w:tc>
        <w:tc>
          <w:tcPr>
            <w:tcW w:w="5402" w:type="dxa"/>
            <w:shd w:val="clear" w:color="auto" w:fill="auto"/>
            <w:vAlign w:val="center"/>
          </w:tcPr>
          <w:p w:rsidR="00B21435" w:rsidRDefault="00F21DBE">
            <w:pPr>
              <w:widowControl/>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承重</w:t>
            </w:r>
          </w:p>
        </w:tc>
        <w:tc>
          <w:tcPr>
            <w:tcW w:w="951" w:type="dxa"/>
            <w:vMerge/>
            <w:shd w:val="clear" w:color="auto" w:fill="auto"/>
            <w:noWrap/>
            <w:vAlign w:val="bottom"/>
          </w:tcPr>
          <w:p w:rsidR="00B21435" w:rsidRDefault="00B21435">
            <w:pPr>
              <w:widowControl/>
              <w:rPr>
                <w:rFonts w:ascii="仿宋_GB2312" w:eastAsia="仿宋_GB2312" w:hAnsi="仿宋_GB2312" w:cs="仿宋_GB2312"/>
                <w:color w:val="000000"/>
                <w:kern w:val="0"/>
                <w:sz w:val="24"/>
              </w:rPr>
            </w:pPr>
          </w:p>
        </w:tc>
      </w:tr>
      <w:tr w:rsidR="00B21435">
        <w:trPr>
          <w:trHeight w:val="60"/>
          <w:jc w:val="center"/>
        </w:trPr>
        <w:tc>
          <w:tcPr>
            <w:tcW w:w="1955" w:type="dxa"/>
            <w:vMerge/>
            <w:shd w:val="clear" w:color="auto" w:fill="auto"/>
            <w:vAlign w:val="center"/>
          </w:tcPr>
          <w:p w:rsidR="00B21435" w:rsidRDefault="00B21435">
            <w:pPr>
              <w:widowControl/>
              <w:jc w:val="center"/>
              <w:rPr>
                <w:rFonts w:ascii="仿宋_GB2312" w:eastAsia="仿宋_GB2312" w:hAnsi="仿宋_GB2312" w:cs="仿宋_GB2312"/>
                <w:sz w:val="24"/>
              </w:rPr>
            </w:pPr>
          </w:p>
        </w:tc>
        <w:tc>
          <w:tcPr>
            <w:tcW w:w="5402" w:type="dxa"/>
            <w:shd w:val="clear" w:color="auto" w:fill="auto"/>
            <w:vAlign w:val="center"/>
          </w:tcPr>
          <w:p w:rsidR="00B21435" w:rsidRDefault="00F21DBE">
            <w:pPr>
              <w:widowControl/>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机械运动范围</w:t>
            </w:r>
          </w:p>
        </w:tc>
        <w:tc>
          <w:tcPr>
            <w:tcW w:w="951" w:type="dxa"/>
            <w:vMerge/>
            <w:shd w:val="clear" w:color="auto" w:fill="auto"/>
            <w:noWrap/>
            <w:vAlign w:val="bottom"/>
          </w:tcPr>
          <w:p w:rsidR="00B21435" w:rsidRDefault="00B21435">
            <w:pPr>
              <w:widowControl/>
              <w:rPr>
                <w:rFonts w:ascii="仿宋_GB2312" w:eastAsia="仿宋_GB2312" w:hAnsi="仿宋_GB2312" w:cs="仿宋_GB2312"/>
                <w:color w:val="000000"/>
                <w:kern w:val="0"/>
                <w:sz w:val="24"/>
              </w:rPr>
            </w:pPr>
          </w:p>
        </w:tc>
      </w:tr>
      <w:tr w:rsidR="00B21435">
        <w:trPr>
          <w:trHeight w:val="60"/>
          <w:jc w:val="center"/>
        </w:trPr>
        <w:tc>
          <w:tcPr>
            <w:tcW w:w="1955" w:type="dxa"/>
            <w:vMerge/>
            <w:shd w:val="clear" w:color="auto" w:fill="auto"/>
            <w:vAlign w:val="center"/>
          </w:tcPr>
          <w:p w:rsidR="00B21435" w:rsidRDefault="00B21435">
            <w:pPr>
              <w:widowControl/>
              <w:jc w:val="center"/>
              <w:rPr>
                <w:rFonts w:ascii="仿宋_GB2312" w:eastAsia="仿宋_GB2312" w:hAnsi="仿宋_GB2312" w:cs="仿宋_GB2312"/>
                <w:color w:val="000000"/>
                <w:kern w:val="0"/>
                <w:sz w:val="24"/>
              </w:rPr>
            </w:pPr>
          </w:p>
        </w:tc>
        <w:tc>
          <w:tcPr>
            <w:tcW w:w="5402" w:type="dxa"/>
            <w:shd w:val="clear" w:color="auto" w:fill="auto"/>
            <w:vAlign w:val="center"/>
          </w:tcPr>
          <w:p w:rsidR="00B21435" w:rsidRDefault="00F21DBE">
            <w:pPr>
              <w:widowControl/>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运动控制精度</w:t>
            </w:r>
          </w:p>
        </w:tc>
        <w:tc>
          <w:tcPr>
            <w:tcW w:w="951" w:type="dxa"/>
            <w:vMerge/>
            <w:shd w:val="clear" w:color="auto" w:fill="auto"/>
            <w:noWrap/>
            <w:vAlign w:val="bottom"/>
          </w:tcPr>
          <w:p w:rsidR="00B21435" w:rsidRDefault="00B21435">
            <w:pPr>
              <w:widowControl/>
              <w:rPr>
                <w:rFonts w:ascii="仿宋_GB2312" w:eastAsia="仿宋_GB2312" w:hAnsi="仿宋_GB2312" w:cs="仿宋_GB2312"/>
                <w:color w:val="000000"/>
                <w:kern w:val="0"/>
                <w:sz w:val="24"/>
              </w:rPr>
            </w:pPr>
          </w:p>
        </w:tc>
      </w:tr>
      <w:tr w:rsidR="00B21435">
        <w:trPr>
          <w:trHeight w:val="60"/>
          <w:jc w:val="center"/>
        </w:trPr>
        <w:tc>
          <w:tcPr>
            <w:tcW w:w="1955" w:type="dxa"/>
            <w:vMerge/>
            <w:shd w:val="clear" w:color="auto" w:fill="auto"/>
            <w:vAlign w:val="center"/>
          </w:tcPr>
          <w:p w:rsidR="00B21435" w:rsidRDefault="00B21435">
            <w:pPr>
              <w:widowControl/>
              <w:jc w:val="center"/>
              <w:rPr>
                <w:rFonts w:ascii="仿宋_GB2312" w:eastAsia="仿宋_GB2312" w:hAnsi="仿宋_GB2312" w:cs="仿宋_GB2312"/>
                <w:color w:val="000000"/>
                <w:kern w:val="0"/>
                <w:sz w:val="24"/>
              </w:rPr>
            </w:pPr>
          </w:p>
        </w:tc>
        <w:tc>
          <w:tcPr>
            <w:tcW w:w="5402" w:type="dxa"/>
            <w:shd w:val="clear" w:color="auto" w:fill="auto"/>
            <w:vAlign w:val="center"/>
          </w:tcPr>
          <w:p w:rsidR="00B21435" w:rsidRDefault="00F21DBE">
            <w:pPr>
              <w:widowControl/>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刚度</w:t>
            </w:r>
          </w:p>
        </w:tc>
        <w:tc>
          <w:tcPr>
            <w:tcW w:w="951" w:type="dxa"/>
            <w:vMerge/>
            <w:shd w:val="clear" w:color="auto" w:fill="auto"/>
            <w:noWrap/>
            <w:vAlign w:val="bottom"/>
          </w:tcPr>
          <w:p w:rsidR="00B21435" w:rsidRDefault="00B21435">
            <w:pPr>
              <w:widowControl/>
              <w:rPr>
                <w:rFonts w:ascii="仿宋_GB2312" w:eastAsia="仿宋_GB2312" w:hAnsi="仿宋_GB2312" w:cs="仿宋_GB2312"/>
                <w:color w:val="000000"/>
                <w:kern w:val="0"/>
                <w:sz w:val="24"/>
              </w:rPr>
            </w:pPr>
          </w:p>
        </w:tc>
      </w:tr>
      <w:tr w:rsidR="00B21435">
        <w:trPr>
          <w:trHeight w:val="151"/>
          <w:jc w:val="center"/>
        </w:trPr>
        <w:tc>
          <w:tcPr>
            <w:tcW w:w="1955" w:type="dxa"/>
            <w:vMerge w:val="restart"/>
            <w:shd w:val="clear" w:color="auto" w:fill="auto"/>
            <w:vAlign w:val="center"/>
          </w:tcPr>
          <w:p w:rsidR="00B21435" w:rsidRDefault="00F21DBE">
            <w:pPr>
              <w:widowControl/>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呼吸门控与运动管理系统（选配）</w:t>
            </w:r>
          </w:p>
        </w:tc>
        <w:tc>
          <w:tcPr>
            <w:tcW w:w="5402" w:type="dxa"/>
            <w:shd w:val="clear" w:color="auto" w:fill="auto"/>
            <w:vAlign w:val="center"/>
          </w:tcPr>
          <w:p w:rsidR="00B21435" w:rsidRDefault="00F21DBE">
            <w:pPr>
              <w:widowControl/>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呼吸门控时相的设定方法</w:t>
            </w:r>
          </w:p>
        </w:tc>
        <w:tc>
          <w:tcPr>
            <w:tcW w:w="951" w:type="dxa"/>
            <w:vMerge/>
            <w:shd w:val="clear" w:color="auto" w:fill="auto"/>
            <w:noWrap/>
            <w:vAlign w:val="bottom"/>
          </w:tcPr>
          <w:p w:rsidR="00B21435" w:rsidRDefault="00B21435">
            <w:pPr>
              <w:widowControl/>
              <w:rPr>
                <w:rFonts w:ascii="仿宋_GB2312" w:eastAsia="仿宋_GB2312" w:hAnsi="仿宋_GB2312" w:cs="仿宋_GB2312"/>
                <w:color w:val="000000"/>
                <w:kern w:val="0"/>
                <w:sz w:val="24"/>
              </w:rPr>
            </w:pPr>
          </w:p>
        </w:tc>
      </w:tr>
      <w:tr w:rsidR="00B21435">
        <w:trPr>
          <w:trHeight w:val="151"/>
          <w:jc w:val="center"/>
        </w:trPr>
        <w:tc>
          <w:tcPr>
            <w:tcW w:w="1955" w:type="dxa"/>
            <w:vMerge/>
            <w:shd w:val="clear" w:color="auto" w:fill="auto"/>
            <w:vAlign w:val="center"/>
          </w:tcPr>
          <w:p w:rsidR="00B21435" w:rsidRDefault="00B21435">
            <w:pPr>
              <w:widowControl/>
              <w:jc w:val="center"/>
              <w:rPr>
                <w:rFonts w:ascii="仿宋_GB2312" w:eastAsia="仿宋_GB2312" w:hAnsi="仿宋_GB2312" w:cs="仿宋_GB2312"/>
                <w:sz w:val="24"/>
              </w:rPr>
            </w:pPr>
          </w:p>
        </w:tc>
        <w:tc>
          <w:tcPr>
            <w:tcW w:w="5402" w:type="dxa"/>
            <w:shd w:val="clear" w:color="auto" w:fill="auto"/>
            <w:vAlign w:val="center"/>
          </w:tcPr>
          <w:p w:rsidR="00B21435" w:rsidRDefault="00F21DBE">
            <w:pPr>
              <w:widowControl/>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束流切断/恢复时间</w:t>
            </w:r>
          </w:p>
        </w:tc>
        <w:tc>
          <w:tcPr>
            <w:tcW w:w="951" w:type="dxa"/>
            <w:vMerge/>
            <w:shd w:val="clear" w:color="auto" w:fill="auto"/>
            <w:noWrap/>
            <w:vAlign w:val="bottom"/>
          </w:tcPr>
          <w:p w:rsidR="00B21435" w:rsidRDefault="00B21435">
            <w:pPr>
              <w:widowControl/>
              <w:rPr>
                <w:rFonts w:ascii="仿宋_GB2312" w:eastAsia="仿宋_GB2312" w:hAnsi="仿宋_GB2312" w:cs="仿宋_GB2312"/>
                <w:color w:val="000000"/>
                <w:kern w:val="0"/>
                <w:sz w:val="24"/>
              </w:rPr>
            </w:pPr>
          </w:p>
        </w:tc>
      </w:tr>
      <w:tr w:rsidR="00B21435">
        <w:trPr>
          <w:trHeight w:val="100"/>
          <w:jc w:val="center"/>
        </w:trPr>
        <w:tc>
          <w:tcPr>
            <w:tcW w:w="1955" w:type="dxa"/>
            <w:vMerge/>
            <w:shd w:val="clear" w:color="auto" w:fill="auto"/>
            <w:vAlign w:val="center"/>
          </w:tcPr>
          <w:p w:rsidR="00B21435" w:rsidRDefault="00B21435">
            <w:pPr>
              <w:widowControl/>
              <w:jc w:val="center"/>
              <w:rPr>
                <w:rFonts w:ascii="仿宋_GB2312" w:eastAsia="仿宋_GB2312" w:hAnsi="仿宋_GB2312" w:cs="仿宋_GB2312"/>
                <w:color w:val="000000"/>
                <w:kern w:val="0"/>
                <w:sz w:val="24"/>
              </w:rPr>
            </w:pPr>
          </w:p>
        </w:tc>
        <w:tc>
          <w:tcPr>
            <w:tcW w:w="5402" w:type="dxa"/>
            <w:shd w:val="clear" w:color="auto" w:fill="auto"/>
            <w:vAlign w:val="center"/>
          </w:tcPr>
          <w:p w:rsidR="00B21435" w:rsidRDefault="00F21DBE">
            <w:pPr>
              <w:widowControl/>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设定方法</w:t>
            </w:r>
          </w:p>
        </w:tc>
        <w:tc>
          <w:tcPr>
            <w:tcW w:w="951" w:type="dxa"/>
            <w:vMerge/>
            <w:shd w:val="clear" w:color="auto" w:fill="auto"/>
            <w:noWrap/>
            <w:vAlign w:val="bottom"/>
          </w:tcPr>
          <w:p w:rsidR="00B21435" w:rsidRDefault="00B21435">
            <w:pPr>
              <w:widowControl/>
              <w:rPr>
                <w:rFonts w:ascii="仿宋_GB2312" w:eastAsia="仿宋_GB2312" w:hAnsi="仿宋_GB2312" w:cs="仿宋_GB2312"/>
                <w:color w:val="000000"/>
                <w:kern w:val="0"/>
                <w:sz w:val="24"/>
              </w:rPr>
            </w:pPr>
          </w:p>
        </w:tc>
      </w:tr>
      <w:tr w:rsidR="00B21435">
        <w:trPr>
          <w:trHeight w:val="100"/>
          <w:jc w:val="center"/>
        </w:trPr>
        <w:tc>
          <w:tcPr>
            <w:tcW w:w="1955" w:type="dxa"/>
            <w:vMerge/>
            <w:shd w:val="clear" w:color="auto" w:fill="auto"/>
            <w:vAlign w:val="center"/>
          </w:tcPr>
          <w:p w:rsidR="00B21435" w:rsidRDefault="00B21435">
            <w:pPr>
              <w:widowControl/>
              <w:jc w:val="center"/>
              <w:rPr>
                <w:rFonts w:ascii="仿宋_GB2312" w:eastAsia="仿宋_GB2312" w:hAnsi="仿宋_GB2312" w:cs="仿宋_GB2312"/>
                <w:sz w:val="24"/>
              </w:rPr>
            </w:pPr>
          </w:p>
        </w:tc>
        <w:tc>
          <w:tcPr>
            <w:tcW w:w="5402" w:type="dxa"/>
            <w:shd w:val="clear" w:color="auto" w:fill="auto"/>
            <w:vAlign w:val="center"/>
          </w:tcPr>
          <w:p w:rsidR="00B21435" w:rsidRDefault="00F21DBE">
            <w:pPr>
              <w:widowControl/>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束流切断/恢复时间</w:t>
            </w:r>
          </w:p>
        </w:tc>
        <w:tc>
          <w:tcPr>
            <w:tcW w:w="951" w:type="dxa"/>
            <w:vMerge/>
            <w:shd w:val="clear" w:color="auto" w:fill="auto"/>
            <w:noWrap/>
            <w:vAlign w:val="bottom"/>
          </w:tcPr>
          <w:p w:rsidR="00B21435" w:rsidRDefault="00B21435">
            <w:pPr>
              <w:widowControl/>
              <w:rPr>
                <w:rFonts w:ascii="仿宋_GB2312" w:eastAsia="仿宋_GB2312" w:hAnsi="仿宋_GB2312" w:cs="仿宋_GB2312"/>
                <w:color w:val="000000"/>
                <w:kern w:val="0"/>
                <w:sz w:val="24"/>
              </w:rPr>
            </w:pPr>
          </w:p>
        </w:tc>
      </w:tr>
      <w:tr w:rsidR="00B21435">
        <w:trPr>
          <w:trHeight w:val="100"/>
          <w:jc w:val="center"/>
        </w:trPr>
        <w:tc>
          <w:tcPr>
            <w:tcW w:w="1955" w:type="dxa"/>
            <w:vMerge w:val="restart"/>
            <w:shd w:val="clear" w:color="auto" w:fill="auto"/>
            <w:vAlign w:val="center"/>
          </w:tcPr>
          <w:p w:rsidR="00B21435" w:rsidRDefault="00F21DBE">
            <w:pPr>
              <w:widowControl/>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患者转运装置（选配）</w:t>
            </w:r>
          </w:p>
        </w:tc>
        <w:tc>
          <w:tcPr>
            <w:tcW w:w="5402" w:type="dxa"/>
            <w:shd w:val="clear" w:color="auto" w:fill="auto"/>
            <w:vAlign w:val="center"/>
          </w:tcPr>
          <w:p w:rsidR="00B21435" w:rsidRDefault="00F21DBE">
            <w:pPr>
              <w:widowControl/>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转运方式（手动、电动）</w:t>
            </w:r>
          </w:p>
        </w:tc>
        <w:tc>
          <w:tcPr>
            <w:tcW w:w="951" w:type="dxa"/>
            <w:vMerge/>
            <w:shd w:val="clear" w:color="auto" w:fill="auto"/>
            <w:noWrap/>
            <w:vAlign w:val="bottom"/>
          </w:tcPr>
          <w:p w:rsidR="00B21435" w:rsidRDefault="00B21435">
            <w:pPr>
              <w:widowControl/>
              <w:rPr>
                <w:rFonts w:ascii="仿宋_GB2312" w:eastAsia="仿宋_GB2312" w:hAnsi="仿宋_GB2312" w:cs="仿宋_GB2312"/>
                <w:color w:val="000000"/>
                <w:kern w:val="0"/>
                <w:sz w:val="24"/>
              </w:rPr>
            </w:pPr>
          </w:p>
        </w:tc>
      </w:tr>
      <w:tr w:rsidR="00B21435">
        <w:trPr>
          <w:trHeight w:val="100"/>
          <w:jc w:val="center"/>
        </w:trPr>
        <w:tc>
          <w:tcPr>
            <w:tcW w:w="1955" w:type="dxa"/>
            <w:vMerge/>
            <w:shd w:val="clear" w:color="auto" w:fill="auto"/>
            <w:vAlign w:val="center"/>
          </w:tcPr>
          <w:p w:rsidR="00B21435" w:rsidRDefault="00B21435">
            <w:pPr>
              <w:widowControl/>
              <w:jc w:val="center"/>
              <w:rPr>
                <w:rFonts w:ascii="仿宋_GB2312" w:eastAsia="仿宋_GB2312" w:hAnsi="仿宋_GB2312" w:cs="仿宋_GB2312"/>
                <w:sz w:val="24"/>
              </w:rPr>
            </w:pPr>
          </w:p>
        </w:tc>
        <w:tc>
          <w:tcPr>
            <w:tcW w:w="5402" w:type="dxa"/>
            <w:shd w:val="clear" w:color="auto" w:fill="auto"/>
            <w:vAlign w:val="center"/>
          </w:tcPr>
          <w:p w:rsidR="00B21435" w:rsidRDefault="00F21DBE">
            <w:pPr>
              <w:widowControl/>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运动速度</w:t>
            </w:r>
          </w:p>
        </w:tc>
        <w:tc>
          <w:tcPr>
            <w:tcW w:w="951" w:type="dxa"/>
            <w:vMerge/>
            <w:shd w:val="clear" w:color="auto" w:fill="auto"/>
            <w:noWrap/>
            <w:vAlign w:val="bottom"/>
          </w:tcPr>
          <w:p w:rsidR="00B21435" w:rsidRDefault="00B21435">
            <w:pPr>
              <w:widowControl/>
              <w:rPr>
                <w:rFonts w:ascii="仿宋_GB2312" w:eastAsia="仿宋_GB2312" w:hAnsi="仿宋_GB2312" w:cs="仿宋_GB2312"/>
                <w:color w:val="000000"/>
                <w:kern w:val="0"/>
                <w:sz w:val="24"/>
              </w:rPr>
            </w:pPr>
          </w:p>
        </w:tc>
      </w:tr>
      <w:tr w:rsidR="00B21435">
        <w:trPr>
          <w:trHeight w:val="100"/>
          <w:jc w:val="center"/>
        </w:trPr>
        <w:tc>
          <w:tcPr>
            <w:tcW w:w="1955" w:type="dxa"/>
            <w:vMerge/>
            <w:shd w:val="clear" w:color="auto" w:fill="auto"/>
            <w:vAlign w:val="center"/>
          </w:tcPr>
          <w:p w:rsidR="00B21435" w:rsidRDefault="00B21435">
            <w:pPr>
              <w:widowControl/>
              <w:jc w:val="center"/>
              <w:rPr>
                <w:rFonts w:ascii="仿宋_GB2312" w:eastAsia="仿宋_GB2312" w:hAnsi="仿宋_GB2312" w:cs="仿宋_GB2312"/>
                <w:color w:val="000000"/>
                <w:kern w:val="0"/>
                <w:sz w:val="24"/>
              </w:rPr>
            </w:pPr>
          </w:p>
        </w:tc>
        <w:tc>
          <w:tcPr>
            <w:tcW w:w="5402" w:type="dxa"/>
            <w:shd w:val="clear" w:color="auto" w:fill="auto"/>
            <w:vAlign w:val="center"/>
          </w:tcPr>
          <w:p w:rsidR="00B21435" w:rsidRDefault="00F21DBE">
            <w:pPr>
              <w:widowControl/>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承重</w:t>
            </w:r>
          </w:p>
        </w:tc>
        <w:tc>
          <w:tcPr>
            <w:tcW w:w="951" w:type="dxa"/>
            <w:vMerge/>
            <w:shd w:val="clear" w:color="auto" w:fill="auto"/>
            <w:noWrap/>
            <w:vAlign w:val="bottom"/>
          </w:tcPr>
          <w:p w:rsidR="00B21435" w:rsidRDefault="00B21435">
            <w:pPr>
              <w:widowControl/>
              <w:rPr>
                <w:rFonts w:ascii="仿宋_GB2312" w:eastAsia="仿宋_GB2312" w:hAnsi="仿宋_GB2312" w:cs="仿宋_GB2312"/>
                <w:color w:val="000000"/>
                <w:kern w:val="0"/>
                <w:sz w:val="24"/>
              </w:rPr>
            </w:pPr>
          </w:p>
        </w:tc>
      </w:tr>
      <w:tr w:rsidR="00B21435">
        <w:trPr>
          <w:trHeight w:val="60"/>
          <w:jc w:val="center"/>
        </w:trPr>
        <w:tc>
          <w:tcPr>
            <w:tcW w:w="1955" w:type="dxa"/>
            <w:vMerge w:val="restart"/>
            <w:shd w:val="clear" w:color="auto" w:fill="auto"/>
            <w:vAlign w:val="center"/>
          </w:tcPr>
          <w:p w:rsidR="00B21435" w:rsidRDefault="00F21DBE">
            <w:pPr>
              <w:widowControl/>
              <w:jc w:val="center"/>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激光定位系统</w:t>
            </w:r>
          </w:p>
        </w:tc>
        <w:tc>
          <w:tcPr>
            <w:tcW w:w="5402" w:type="dxa"/>
            <w:shd w:val="clear" w:color="auto" w:fill="auto"/>
            <w:vAlign w:val="center"/>
          </w:tcPr>
          <w:p w:rsidR="00B21435" w:rsidRDefault="00F21DBE">
            <w:pPr>
              <w:widowControl/>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激光灯个数</w:t>
            </w:r>
          </w:p>
        </w:tc>
        <w:tc>
          <w:tcPr>
            <w:tcW w:w="951" w:type="dxa"/>
            <w:vMerge/>
            <w:shd w:val="clear" w:color="auto" w:fill="auto"/>
            <w:noWrap/>
            <w:vAlign w:val="bottom"/>
          </w:tcPr>
          <w:p w:rsidR="00B21435" w:rsidRDefault="00B21435">
            <w:pPr>
              <w:widowControl/>
              <w:rPr>
                <w:rFonts w:ascii="仿宋_GB2312" w:eastAsia="仿宋_GB2312" w:hAnsi="仿宋_GB2312" w:cs="仿宋_GB2312"/>
                <w:color w:val="000000"/>
                <w:kern w:val="0"/>
                <w:sz w:val="24"/>
              </w:rPr>
            </w:pPr>
          </w:p>
        </w:tc>
      </w:tr>
      <w:tr w:rsidR="00B21435">
        <w:trPr>
          <w:trHeight w:val="60"/>
          <w:jc w:val="center"/>
        </w:trPr>
        <w:tc>
          <w:tcPr>
            <w:tcW w:w="1955" w:type="dxa"/>
            <w:vMerge/>
            <w:shd w:val="clear" w:color="auto" w:fill="auto"/>
            <w:vAlign w:val="center"/>
          </w:tcPr>
          <w:p w:rsidR="00B21435" w:rsidRDefault="00B21435">
            <w:pPr>
              <w:widowControl/>
              <w:jc w:val="center"/>
              <w:rPr>
                <w:rFonts w:ascii="仿宋_GB2312" w:eastAsia="仿宋_GB2312" w:hAnsi="仿宋_GB2312" w:cs="仿宋_GB2312"/>
                <w:sz w:val="24"/>
              </w:rPr>
            </w:pPr>
          </w:p>
        </w:tc>
        <w:tc>
          <w:tcPr>
            <w:tcW w:w="5402" w:type="dxa"/>
            <w:shd w:val="clear" w:color="auto" w:fill="auto"/>
            <w:vAlign w:val="center"/>
          </w:tcPr>
          <w:p w:rsidR="00B21435" w:rsidRDefault="00F21DBE">
            <w:pPr>
              <w:widowControl/>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激光波长</w:t>
            </w:r>
          </w:p>
        </w:tc>
        <w:tc>
          <w:tcPr>
            <w:tcW w:w="951" w:type="dxa"/>
            <w:vMerge/>
            <w:shd w:val="clear" w:color="auto" w:fill="auto"/>
            <w:noWrap/>
            <w:vAlign w:val="bottom"/>
          </w:tcPr>
          <w:p w:rsidR="00B21435" w:rsidRDefault="00B21435">
            <w:pPr>
              <w:widowControl/>
              <w:rPr>
                <w:rFonts w:ascii="仿宋_GB2312" w:eastAsia="仿宋_GB2312" w:hAnsi="仿宋_GB2312" w:cs="仿宋_GB2312"/>
                <w:color w:val="000000"/>
                <w:kern w:val="0"/>
                <w:sz w:val="24"/>
              </w:rPr>
            </w:pPr>
          </w:p>
        </w:tc>
      </w:tr>
      <w:tr w:rsidR="00B21435">
        <w:trPr>
          <w:trHeight w:val="60"/>
          <w:jc w:val="center"/>
        </w:trPr>
        <w:tc>
          <w:tcPr>
            <w:tcW w:w="1955" w:type="dxa"/>
            <w:vMerge/>
            <w:shd w:val="clear" w:color="auto" w:fill="auto"/>
            <w:vAlign w:val="center"/>
          </w:tcPr>
          <w:p w:rsidR="00B21435" w:rsidRDefault="00B21435">
            <w:pPr>
              <w:widowControl/>
              <w:jc w:val="center"/>
              <w:rPr>
                <w:rFonts w:ascii="仿宋_GB2312" w:eastAsia="仿宋_GB2312" w:hAnsi="仿宋_GB2312" w:cs="仿宋_GB2312"/>
                <w:color w:val="000000"/>
                <w:kern w:val="0"/>
                <w:sz w:val="24"/>
              </w:rPr>
            </w:pPr>
          </w:p>
        </w:tc>
        <w:tc>
          <w:tcPr>
            <w:tcW w:w="5402" w:type="dxa"/>
            <w:shd w:val="clear" w:color="auto" w:fill="auto"/>
            <w:vAlign w:val="center"/>
          </w:tcPr>
          <w:p w:rsidR="00B21435" w:rsidRDefault="00F21DBE">
            <w:pPr>
              <w:widowControl/>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颜色</w:t>
            </w:r>
          </w:p>
        </w:tc>
        <w:tc>
          <w:tcPr>
            <w:tcW w:w="951" w:type="dxa"/>
            <w:vMerge/>
            <w:shd w:val="clear" w:color="auto" w:fill="auto"/>
            <w:noWrap/>
            <w:vAlign w:val="bottom"/>
          </w:tcPr>
          <w:p w:rsidR="00B21435" w:rsidRDefault="00B21435">
            <w:pPr>
              <w:widowControl/>
              <w:rPr>
                <w:rFonts w:ascii="仿宋_GB2312" w:eastAsia="仿宋_GB2312" w:hAnsi="仿宋_GB2312" w:cs="仿宋_GB2312"/>
                <w:color w:val="000000"/>
                <w:kern w:val="0"/>
                <w:sz w:val="24"/>
              </w:rPr>
            </w:pPr>
          </w:p>
        </w:tc>
      </w:tr>
      <w:tr w:rsidR="00B21435">
        <w:trPr>
          <w:trHeight w:val="60"/>
          <w:jc w:val="center"/>
        </w:trPr>
        <w:tc>
          <w:tcPr>
            <w:tcW w:w="1955" w:type="dxa"/>
            <w:vMerge/>
            <w:shd w:val="clear" w:color="auto" w:fill="auto"/>
            <w:vAlign w:val="center"/>
          </w:tcPr>
          <w:p w:rsidR="00B21435" w:rsidRDefault="00B21435">
            <w:pPr>
              <w:widowControl/>
              <w:jc w:val="center"/>
              <w:rPr>
                <w:rFonts w:ascii="仿宋_GB2312" w:eastAsia="仿宋_GB2312" w:hAnsi="仿宋_GB2312" w:cs="仿宋_GB2312"/>
                <w:color w:val="000000"/>
                <w:kern w:val="0"/>
                <w:sz w:val="24"/>
              </w:rPr>
            </w:pPr>
          </w:p>
        </w:tc>
        <w:tc>
          <w:tcPr>
            <w:tcW w:w="5402" w:type="dxa"/>
            <w:shd w:val="clear" w:color="auto" w:fill="auto"/>
            <w:vAlign w:val="center"/>
          </w:tcPr>
          <w:p w:rsidR="00B21435" w:rsidRDefault="00F21DBE">
            <w:pPr>
              <w:widowControl/>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长度</w:t>
            </w:r>
          </w:p>
        </w:tc>
        <w:tc>
          <w:tcPr>
            <w:tcW w:w="951" w:type="dxa"/>
            <w:vMerge/>
            <w:shd w:val="clear" w:color="auto" w:fill="auto"/>
            <w:noWrap/>
            <w:vAlign w:val="bottom"/>
          </w:tcPr>
          <w:p w:rsidR="00B21435" w:rsidRDefault="00B21435">
            <w:pPr>
              <w:widowControl/>
              <w:rPr>
                <w:rFonts w:ascii="仿宋_GB2312" w:eastAsia="仿宋_GB2312" w:hAnsi="仿宋_GB2312" w:cs="仿宋_GB2312"/>
                <w:color w:val="000000"/>
                <w:kern w:val="0"/>
                <w:sz w:val="24"/>
              </w:rPr>
            </w:pPr>
          </w:p>
        </w:tc>
      </w:tr>
      <w:tr w:rsidR="00B21435">
        <w:trPr>
          <w:trHeight w:val="60"/>
          <w:jc w:val="center"/>
        </w:trPr>
        <w:tc>
          <w:tcPr>
            <w:tcW w:w="1955" w:type="dxa"/>
            <w:vMerge/>
            <w:shd w:val="clear" w:color="auto" w:fill="auto"/>
            <w:vAlign w:val="center"/>
          </w:tcPr>
          <w:p w:rsidR="00B21435" w:rsidRDefault="00B21435">
            <w:pPr>
              <w:widowControl/>
              <w:jc w:val="center"/>
              <w:rPr>
                <w:rFonts w:ascii="仿宋_GB2312" w:eastAsia="仿宋_GB2312" w:hAnsi="仿宋_GB2312" w:cs="仿宋_GB2312"/>
                <w:color w:val="000000"/>
                <w:kern w:val="0"/>
                <w:sz w:val="24"/>
              </w:rPr>
            </w:pPr>
          </w:p>
        </w:tc>
        <w:tc>
          <w:tcPr>
            <w:tcW w:w="5402" w:type="dxa"/>
            <w:shd w:val="clear" w:color="auto" w:fill="auto"/>
            <w:vAlign w:val="center"/>
          </w:tcPr>
          <w:p w:rsidR="00B21435" w:rsidRDefault="00F21DBE">
            <w:pPr>
              <w:widowControl/>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宽度</w:t>
            </w:r>
          </w:p>
        </w:tc>
        <w:tc>
          <w:tcPr>
            <w:tcW w:w="951" w:type="dxa"/>
            <w:vMerge/>
            <w:shd w:val="clear" w:color="auto" w:fill="auto"/>
            <w:noWrap/>
            <w:vAlign w:val="bottom"/>
          </w:tcPr>
          <w:p w:rsidR="00B21435" w:rsidRDefault="00B21435">
            <w:pPr>
              <w:widowControl/>
              <w:rPr>
                <w:rFonts w:ascii="仿宋_GB2312" w:eastAsia="仿宋_GB2312" w:hAnsi="仿宋_GB2312" w:cs="仿宋_GB2312"/>
                <w:color w:val="000000"/>
                <w:kern w:val="0"/>
                <w:sz w:val="24"/>
              </w:rPr>
            </w:pPr>
          </w:p>
        </w:tc>
      </w:tr>
      <w:tr w:rsidR="00B21435">
        <w:trPr>
          <w:trHeight w:val="60"/>
          <w:jc w:val="center"/>
        </w:trPr>
        <w:tc>
          <w:tcPr>
            <w:tcW w:w="1955" w:type="dxa"/>
            <w:vMerge/>
            <w:shd w:val="clear" w:color="auto" w:fill="auto"/>
            <w:vAlign w:val="center"/>
          </w:tcPr>
          <w:p w:rsidR="00B21435" w:rsidRDefault="00B21435">
            <w:pPr>
              <w:widowControl/>
              <w:jc w:val="center"/>
              <w:rPr>
                <w:rFonts w:ascii="仿宋_GB2312" w:eastAsia="仿宋_GB2312" w:hAnsi="仿宋_GB2312" w:cs="仿宋_GB2312"/>
                <w:color w:val="000000"/>
                <w:kern w:val="0"/>
                <w:sz w:val="24"/>
              </w:rPr>
            </w:pPr>
          </w:p>
        </w:tc>
        <w:tc>
          <w:tcPr>
            <w:tcW w:w="5402" w:type="dxa"/>
            <w:shd w:val="clear" w:color="auto" w:fill="auto"/>
            <w:vAlign w:val="center"/>
          </w:tcPr>
          <w:p w:rsidR="00B21435" w:rsidRDefault="00F21DBE">
            <w:pPr>
              <w:widowControl/>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定位精度等</w:t>
            </w:r>
          </w:p>
        </w:tc>
        <w:tc>
          <w:tcPr>
            <w:tcW w:w="951" w:type="dxa"/>
            <w:vMerge/>
            <w:shd w:val="clear" w:color="auto" w:fill="auto"/>
            <w:noWrap/>
            <w:vAlign w:val="bottom"/>
          </w:tcPr>
          <w:p w:rsidR="00B21435" w:rsidRDefault="00B21435">
            <w:pPr>
              <w:widowControl/>
              <w:rPr>
                <w:rFonts w:ascii="仿宋_GB2312" w:eastAsia="仿宋_GB2312" w:hAnsi="仿宋_GB2312" w:cs="仿宋_GB2312"/>
                <w:color w:val="000000"/>
                <w:kern w:val="0"/>
                <w:sz w:val="24"/>
              </w:rPr>
            </w:pPr>
          </w:p>
        </w:tc>
      </w:tr>
      <w:tr w:rsidR="00B21435">
        <w:trPr>
          <w:trHeight w:val="285"/>
          <w:jc w:val="center"/>
        </w:trPr>
        <w:tc>
          <w:tcPr>
            <w:tcW w:w="1955" w:type="dxa"/>
            <w:shd w:val="clear" w:color="auto" w:fill="auto"/>
            <w:vAlign w:val="center"/>
          </w:tcPr>
          <w:p w:rsidR="00B21435" w:rsidRDefault="00F21DBE">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治疗计划系统软件</w:t>
            </w:r>
          </w:p>
        </w:tc>
        <w:tc>
          <w:tcPr>
            <w:tcW w:w="5402" w:type="dxa"/>
            <w:shd w:val="clear" w:color="auto" w:fill="auto"/>
            <w:vAlign w:val="center"/>
          </w:tcPr>
          <w:p w:rsidR="00B21435" w:rsidRDefault="00F21DBE">
            <w:pPr>
              <w:widowControl/>
              <w:rPr>
                <w:rFonts w:ascii="仿宋_GB2312" w:eastAsia="仿宋_GB2312" w:hAnsi="仿宋_GB2312" w:cs="仿宋_GB2312"/>
                <w:kern w:val="0"/>
                <w:sz w:val="24"/>
              </w:rPr>
            </w:pPr>
            <w:r>
              <w:rPr>
                <w:rFonts w:ascii="仿宋_GB2312" w:eastAsia="仿宋_GB2312" w:hAnsi="仿宋_GB2312" w:cs="仿宋_GB2312" w:hint="eastAsia"/>
                <w:color w:val="000000" w:themeColor="text1"/>
                <w:kern w:val="0"/>
                <w:sz w:val="24"/>
              </w:rPr>
              <w:t>临床功能、使用限制、输入输出、数据接口、必备软硬件、运行环境、性能效率、最大并发数、用户界面、消息、用户差错防御、访问控制、版权保护、可靠性、维护性、专用要求中的剂量计算准确性、几何精确度、安全要求</w:t>
            </w:r>
          </w:p>
        </w:tc>
        <w:tc>
          <w:tcPr>
            <w:tcW w:w="951" w:type="dxa"/>
            <w:vMerge/>
            <w:shd w:val="clear" w:color="auto" w:fill="auto"/>
            <w:noWrap/>
            <w:vAlign w:val="bottom"/>
          </w:tcPr>
          <w:p w:rsidR="00B21435" w:rsidRDefault="00B21435">
            <w:pPr>
              <w:widowControl/>
              <w:rPr>
                <w:rFonts w:ascii="仿宋_GB2312" w:eastAsia="仿宋_GB2312" w:hAnsi="仿宋_GB2312" w:cs="仿宋_GB2312"/>
                <w:color w:val="000000"/>
                <w:kern w:val="0"/>
                <w:sz w:val="24"/>
              </w:rPr>
            </w:pPr>
          </w:p>
        </w:tc>
      </w:tr>
      <w:tr w:rsidR="00B21435">
        <w:trPr>
          <w:trHeight w:val="285"/>
          <w:jc w:val="center"/>
        </w:trPr>
        <w:tc>
          <w:tcPr>
            <w:tcW w:w="1955" w:type="dxa"/>
            <w:shd w:val="clear" w:color="auto" w:fill="auto"/>
            <w:vAlign w:val="center"/>
          </w:tcPr>
          <w:p w:rsidR="00B21435" w:rsidRDefault="00F21DBE">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治疗控制系统软件</w:t>
            </w:r>
          </w:p>
        </w:tc>
        <w:tc>
          <w:tcPr>
            <w:tcW w:w="5402" w:type="dxa"/>
            <w:shd w:val="clear" w:color="auto" w:fill="auto"/>
            <w:vAlign w:val="center"/>
          </w:tcPr>
          <w:p w:rsidR="00B21435" w:rsidRDefault="00F21DBE">
            <w:pPr>
              <w:widowControl/>
              <w:rPr>
                <w:rFonts w:ascii="仿宋_GB2312" w:eastAsia="仿宋_GB2312" w:hAnsi="仿宋_GB2312" w:cs="仿宋_GB2312"/>
                <w:kern w:val="0"/>
                <w:sz w:val="24"/>
              </w:rPr>
            </w:pPr>
            <w:r>
              <w:rPr>
                <w:rFonts w:ascii="仿宋_GB2312" w:eastAsia="仿宋_GB2312" w:hAnsi="仿宋_GB2312" w:cs="仿宋_GB2312" w:hint="eastAsia"/>
                <w:kern w:val="0"/>
                <w:sz w:val="24"/>
              </w:rPr>
              <w:t>使用限制、数据接口、用户访问控制、临床功能</w:t>
            </w:r>
          </w:p>
        </w:tc>
        <w:tc>
          <w:tcPr>
            <w:tcW w:w="951" w:type="dxa"/>
            <w:vMerge/>
            <w:shd w:val="clear" w:color="auto" w:fill="auto"/>
            <w:noWrap/>
            <w:vAlign w:val="bottom"/>
          </w:tcPr>
          <w:p w:rsidR="00B21435" w:rsidRDefault="00B21435">
            <w:pPr>
              <w:widowControl/>
              <w:rPr>
                <w:rFonts w:ascii="仿宋_GB2312" w:eastAsia="仿宋_GB2312" w:hAnsi="仿宋_GB2312" w:cs="仿宋_GB2312"/>
                <w:color w:val="000000"/>
                <w:kern w:val="0"/>
                <w:sz w:val="24"/>
              </w:rPr>
            </w:pPr>
          </w:p>
        </w:tc>
      </w:tr>
      <w:tr w:rsidR="00B21435">
        <w:trPr>
          <w:trHeight w:val="285"/>
          <w:jc w:val="center"/>
        </w:trPr>
        <w:tc>
          <w:tcPr>
            <w:tcW w:w="1955" w:type="dxa"/>
            <w:shd w:val="clear" w:color="auto" w:fill="auto"/>
            <w:vAlign w:val="center"/>
          </w:tcPr>
          <w:p w:rsidR="00B21435" w:rsidRDefault="00F21DBE">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lastRenderedPageBreak/>
              <w:t>图像引导系统软件</w:t>
            </w:r>
          </w:p>
        </w:tc>
        <w:tc>
          <w:tcPr>
            <w:tcW w:w="5402" w:type="dxa"/>
            <w:shd w:val="clear" w:color="auto" w:fill="auto"/>
            <w:vAlign w:val="center"/>
          </w:tcPr>
          <w:p w:rsidR="00B21435" w:rsidRDefault="00F21DBE">
            <w:pPr>
              <w:widowControl/>
              <w:rPr>
                <w:rFonts w:ascii="仿宋_GB2312" w:eastAsia="仿宋_GB2312" w:hAnsi="仿宋_GB2312" w:cs="仿宋_GB2312"/>
                <w:kern w:val="0"/>
                <w:sz w:val="24"/>
              </w:rPr>
            </w:pPr>
            <w:r>
              <w:rPr>
                <w:rFonts w:ascii="仿宋_GB2312" w:eastAsia="仿宋_GB2312" w:hAnsi="仿宋_GB2312" w:cs="仿宋_GB2312" w:hint="eastAsia"/>
                <w:kern w:val="0"/>
                <w:sz w:val="24"/>
              </w:rPr>
              <w:t>使用限制、数据接口、用户访问控制、临床功能</w:t>
            </w:r>
          </w:p>
        </w:tc>
        <w:tc>
          <w:tcPr>
            <w:tcW w:w="951" w:type="dxa"/>
            <w:vMerge/>
            <w:shd w:val="clear" w:color="auto" w:fill="auto"/>
            <w:noWrap/>
            <w:vAlign w:val="bottom"/>
          </w:tcPr>
          <w:p w:rsidR="00B21435" w:rsidRDefault="00B21435">
            <w:pPr>
              <w:widowControl/>
              <w:rPr>
                <w:rFonts w:ascii="仿宋_GB2312" w:eastAsia="仿宋_GB2312" w:hAnsi="仿宋_GB2312" w:cs="仿宋_GB2312"/>
                <w:color w:val="000000"/>
                <w:kern w:val="0"/>
                <w:sz w:val="24"/>
              </w:rPr>
            </w:pPr>
          </w:p>
        </w:tc>
      </w:tr>
    </w:tbl>
    <w:p w:rsidR="00B21435" w:rsidRDefault="00F21DBE">
      <w:pPr>
        <w:rPr>
          <w:rFonts w:ascii="Arial" w:eastAsia="黑体" w:hAnsi="Arial" w:cs="Arial"/>
          <w:kern w:val="0"/>
          <w:sz w:val="36"/>
          <w:szCs w:val="36"/>
        </w:rPr>
      </w:pPr>
      <w:r>
        <w:rPr>
          <w:rFonts w:hint="eastAsia"/>
          <w:szCs w:val="21"/>
        </w:rPr>
        <w:lastRenderedPageBreak/>
        <w:t>注：企业可根据申报产品实际情况对上表中内容进行调整、增加或删减，同时应说明理由。</w:t>
      </w:r>
    </w:p>
    <w:p w:rsidR="00B21435" w:rsidRDefault="00F21DBE">
      <w:pPr>
        <w:spacing w:line="560" w:lineRule="exact"/>
        <w:ind w:firstLineChars="200" w:firstLine="640"/>
        <w:outlineLvl w:val="2"/>
        <w:rPr>
          <w:rFonts w:ascii="楷体" w:eastAsia="楷体" w:hAnsi="楷体" w:cs="楷体"/>
          <w:sz w:val="32"/>
          <w:szCs w:val="32"/>
        </w:rPr>
      </w:pPr>
      <w:r>
        <w:rPr>
          <w:rFonts w:ascii="楷体" w:eastAsia="楷体" w:hAnsi="楷体" w:cs="楷体" w:hint="eastAsia"/>
          <w:sz w:val="32"/>
          <w:szCs w:val="32"/>
        </w:rPr>
        <w:t>（二）碳离子/质子治疗系统涉及的相关国家/行业标准</w:t>
      </w:r>
      <w:bookmarkEnd w:id="157"/>
      <w:bookmarkEnd w:id="158"/>
      <w:bookmarkEnd w:id="159"/>
      <w:bookmarkEnd w:id="160"/>
      <w:bookmarkEnd w:id="161"/>
      <w:bookmarkEnd w:id="162"/>
      <w:bookmarkEnd w:id="163"/>
      <w:bookmarkEnd w:id="164"/>
      <w:bookmarkEnd w:id="165"/>
      <w:bookmarkEnd w:id="166"/>
      <w:bookmarkEnd w:id="167"/>
      <w:bookmarkEnd w:id="168"/>
      <w:bookmarkEnd w:id="169"/>
    </w:p>
    <w:p w:rsidR="00B21435" w:rsidRDefault="00F21DBE">
      <w:pPr>
        <w:widowControl/>
        <w:numPr>
          <w:ilvl w:val="0"/>
          <w:numId w:val="3"/>
        </w:numPr>
        <w:spacing w:line="560" w:lineRule="exact"/>
        <w:ind w:firstLine="636"/>
        <w:rPr>
          <w:rFonts w:ascii="仿宋_GB2312" w:eastAsia="仿宋_GB2312" w:hAnsi="Arial" w:cs="Arial"/>
          <w:color w:val="000000"/>
          <w:spacing w:val="-1"/>
          <w:sz w:val="32"/>
          <w:szCs w:val="28"/>
        </w:rPr>
      </w:pPr>
      <w:r>
        <w:rPr>
          <w:rFonts w:ascii="仿宋_GB2312" w:eastAsia="仿宋_GB2312" w:hAnsi="Arial" w:cs="Arial" w:hint="eastAsia"/>
          <w:color w:val="000000"/>
          <w:spacing w:val="-1"/>
          <w:sz w:val="32"/>
          <w:szCs w:val="28"/>
        </w:rPr>
        <w:t>碳离子/质子治疗系统安全应符合GB 9706.1《医用电气设备 第1部分：基本安全和基本性能的通用要求》、</w:t>
      </w:r>
      <w:r>
        <w:rPr>
          <w:rFonts w:ascii="仿宋_GB2312" w:eastAsia="仿宋_GB2312" w:hAnsi="Arial" w:cs="Arial" w:hint="eastAsia"/>
          <w:spacing w:val="-1"/>
          <w:sz w:val="32"/>
          <w:szCs w:val="28"/>
        </w:rPr>
        <w:t>YY</w:t>
      </w:r>
      <w:r>
        <w:rPr>
          <w:rFonts w:ascii="仿宋_GB2312" w:eastAsia="仿宋_GB2312" w:hAnsi="Arial" w:cs="Arial"/>
          <w:spacing w:val="-1"/>
          <w:sz w:val="32"/>
          <w:szCs w:val="28"/>
        </w:rPr>
        <w:t xml:space="preserve"> </w:t>
      </w:r>
      <w:r>
        <w:rPr>
          <w:rFonts w:ascii="仿宋_GB2312" w:eastAsia="仿宋_GB2312" w:hAnsi="Arial" w:cs="Arial" w:hint="eastAsia"/>
          <w:spacing w:val="-1"/>
          <w:sz w:val="32"/>
          <w:szCs w:val="28"/>
        </w:rPr>
        <w:t>9706.264《医用电气设备第2-64部分：轻离子束医用电气设备的基本安全和基本性能专用要求》、YY</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9706.102《医用电气设备第1-2</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部分基本安全和基本性能的通用要求并列标准:电磁兼容要求和试验》、GB 4793.1《测量、控制和实验室用电气设备的安全要求 第1部分 通用要求》。</w:t>
      </w:r>
    </w:p>
    <w:p w:rsidR="00B21435" w:rsidRDefault="00F21DBE">
      <w:pPr>
        <w:widowControl/>
        <w:numPr>
          <w:ilvl w:val="0"/>
          <w:numId w:val="3"/>
        </w:numPr>
        <w:spacing w:line="560" w:lineRule="exact"/>
        <w:ind w:firstLine="636"/>
        <w:rPr>
          <w:rFonts w:ascii="仿宋_GB2312" w:eastAsia="仿宋_GB2312" w:hAnsi="Arial" w:cs="Arial"/>
          <w:color w:val="000000"/>
          <w:spacing w:val="-1"/>
          <w:sz w:val="32"/>
          <w:szCs w:val="28"/>
        </w:rPr>
      </w:pPr>
      <w:r>
        <w:rPr>
          <w:rFonts w:ascii="仿宋_GB2312" w:eastAsia="仿宋_GB2312" w:hAnsi="Arial" w:cs="Arial" w:hint="eastAsia"/>
          <w:color w:val="000000"/>
          <w:spacing w:val="-1"/>
          <w:sz w:val="32"/>
          <w:szCs w:val="28"/>
        </w:rPr>
        <w:t>碳离子/质子治疗系统性能应符合YY/T</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1763《医用电气设备</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医用轻离子束设备性能特性》。</w:t>
      </w:r>
    </w:p>
    <w:p w:rsidR="00B21435" w:rsidRDefault="00F21DBE">
      <w:pPr>
        <w:widowControl/>
        <w:numPr>
          <w:ilvl w:val="0"/>
          <w:numId w:val="3"/>
        </w:numPr>
        <w:spacing w:line="560" w:lineRule="exact"/>
        <w:ind w:firstLine="636"/>
        <w:rPr>
          <w:rFonts w:ascii="仿宋_GB2312" w:eastAsia="仿宋_GB2312" w:hAnsi="Arial" w:cs="Arial"/>
          <w:color w:val="000000"/>
          <w:spacing w:val="-1"/>
          <w:sz w:val="32"/>
          <w:szCs w:val="28"/>
        </w:rPr>
      </w:pPr>
      <w:r>
        <w:rPr>
          <w:rFonts w:ascii="仿宋_GB2312" w:eastAsia="仿宋_GB2312" w:hAnsi="Arial" w:cs="Arial" w:hint="eastAsia"/>
          <w:color w:val="000000"/>
          <w:spacing w:val="-1"/>
          <w:sz w:val="32"/>
          <w:szCs w:val="28"/>
        </w:rPr>
        <w:t>碳离子/质子治疗系统环境试验应符合GB</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14710《医用电器环境要求及试验方法》。</w:t>
      </w:r>
    </w:p>
    <w:p w:rsidR="00B21435" w:rsidRDefault="00F21DBE">
      <w:pPr>
        <w:numPr>
          <w:ilvl w:val="0"/>
          <w:numId w:val="3"/>
        </w:numPr>
        <w:spacing w:line="560" w:lineRule="exact"/>
        <w:ind w:firstLine="636"/>
        <w:rPr>
          <w:rFonts w:ascii="仿宋_GB2312" w:eastAsia="仿宋_GB2312" w:hAnsi="Arial" w:cs="Arial"/>
          <w:color w:val="000000"/>
          <w:spacing w:val="-1"/>
          <w:sz w:val="32"/>
          <w:szCs w:val="28"/>
        </w:rPr>
      </w:pPr>
      <w:r>
        <w:rPr>
          <w:rFonts w:ascii="仿宋_GB2312" w:eastAsia="仿宋_GB2312" w:hAnsi="Arial" w:cs="Arial" w:hint="eastAsia"/>
          <w:color w:val="000000"/>
          <w:spacing w:val="-1"/>
          <w:sz w:val="32"/>
          <w:szCs w:val="28"/>
        </w:rPr>
        <w:t>碳离子/质子治疗系统辐射防护设计应符合GB</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18871《电离辐射防护与辐射源安全基本标准》、GBZ/T 201.1</w:t>
      </w:r>
      <w:r>
        <w:rPr>
          <w:rFonts w:eastAsia="仿宋_GB2312" w:cs="Calibri" w:hint="eastAsia"/>
          <w:color w:val="000000"/>
          <w:spacing w:val="-1"/>
          <w:sz w:val="32"/>
          <w:szCs w:val="28"/>
        </w:rPr>
        <w:t>《</w:t>
      </w:r>
      <w:r>
        <w:rPr>
          <w:rFonts w:ascii="仿宋_GB2312" w:eastAsia="仿宋_GB2312" w:hAnsi="Arial" w:cs="Arial" w:hint="eastAsia"/>
          <w:color w:val="000000"/>
          <w:spacing w:val="-1"/>
          <w:sz w:val="32"/>
          <w:szCs w:val="28"/>
        </w:rPr>
        <w:t>放射治疗机房的辐射屏蔽规范 第1部分：一般原则》、GBZ/T 201.5《放射治疗机房的辐射屏蔽规范  第5部分：质子加速器放射治疗机房》、GB 18871《电离辐射防护与辐射源安全基本标准》。</w:t>
      </w:r>
    </w:p>
    <w:p w:rsidR="00B21435" w:rsidRDefault="00F21DBE">
      <w:pPr>
        <w:numPr>
          <w:ilvl w:val="0"/>
          <w:numId w:val="3"/>
        </w:numPr>
        <w:spacing w:line="560" w:lineRule="exact"/>
        <w:ind w:firstLine="636"/>
        <w:rPr>
          <w:rFonts w:ascii="仿宋_GB2312" w:eastAsia="仿宋_GB2312" w:hAnsi="Arial" w:cs="Arial"/>
          <w:color w:val="000000"/>
          <w:spacing w:val="-1"/>
          <w:sz w:val="32"/>
          <w:szCs w:val="28"/>
        </w:rPr>
      </w:pPr>
      <w:r>
        <w:rPr>
          <w:rFonts w:ascii="仿宋_GB2312" w:eastAsia="仿宋_GB2312" w:hAnsi="Arial" w:cs="Arial" w:hint="eastAsia"/>
          <w:color w:val="000000"/>
          <w:spacing w:val="-1"/>
          <w:sz w:val="32"/>
          <w:szCs w:val="28"/>
        </w:rPr>
        <w:t>碳离子/质子治疗系统风险管理应符合GB/T</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42062《医疗器械</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风险管理对医疗器械的应用》、YY/T</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1406.1《医疗器械软件</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第1部分：YY/T</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0316应用于医疗器械软件的指南》。</w:t>
      </w:r>
    </w:p>
    <w:p w:rsidR="00B21435" w:rsidRDefault="00F21DBE">
      <w:pPr>
        <w:numPr>
          <w:ilvl w:val="0"/>
          <w:numId w:val="3"/>
        </w:numPr>
        <w:spacing w:line="560" w:lineRule="exact"/>
        <w:ind w:firstLine="636"/>
        <w:rPr>
          <w:rFonts w:ascii="仿宋_GB2312" w:eastAsia="仿宋_GB2312" w:hAnsi="Arial" w:cs="Arial"/>
          <w:color w:val="000000"/>
          <w:spacing w:val="-1"/>
          <w:sz w:val="32"/>
          <w:szCs w:val="28"/>
        </w:rPr>
      </w:pPr>
      <w:r>
        <w:rPr>
          <w:rFonts w:ascii="仿宋_GB2312" w:eastAsia="仿宋_GB2312" w:hAnsi="Arial" w:cs="Arial" w:hint="eastAsia"/>
          <w:color w:val="000000"/>
          <w:spacing w:val="-1"/>
          <w:sz w:val="32"/>
          <w:szCs w:val="28"/>
        </w:rPr>
        <w:lastRenderedPageBreak/>
        <w:t>碳离子/质子治疗系统生物学评价应符合GB/T 16886.1《医疗器械生物学评价 第1部分：风险管理过程中的评价与试验》。</w:t>
      </w:r>
    </w:p>
    <w:p w:rsidR="00B21435" w:rsidRDefault="00F21DBE">
      <w:pPr>
        <w:numPr>
          <w:ilvl w:val="0"/>
          <w:numId w:val="3"/>
        </w:numPr>
        <w:spacing w:line="560" w:lineRule="exact"/>
        <w:ind w:firstLine="636"/>
        <w:rPr>
          <w:rFonts w:ascii="仿宋_GB2312" w:eastAsia="仿宋_GB2312" w:hAnsi="Arial" w:cs="Arial"/>
          <w:color w:val="000000"/>
          <w:spacing w:val="-1"/>
          <w:sz w:val="32"/>
          <w:szCs w:val="28"/>
        </w:rPr>
      </w:pPr>
      <w:r>
        <w:rPr>
          <w:rFonts w:ascii="仿宋_GB2312" w:eastAsia="仿宋_GB2312" w:hAnsi="Arial" w:cs="Arial" w:hint="eastAsia"/>
          <w:color w:val="000000"/>
          <w:spacing w:val="-1"/>
          <w:sz w:val="32"/>
          <w:szCs w:val="28"/>
        </w:rPr>
        <w:t>碳离子/质子治疗系统可用性工程应符合YY/T</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1474《医疗器械</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可用性工程对医疗器械的应用》、YY/T 9706.106《医用电气设备 第1-6部分：基本安全和基本性能的通用要求 并列标准：可用性》。</w:t>
      </w:r>
    </w:p>
    <w:p w:rsidR="00B21435" w:rsidRDefault="00F21DBE">
      <w:pPr>
        <w:numPr>
          <w:ilvl w:val="0"/>
          <w:numId w:val="3"/>
        </w:numPr>
        <w:spacing w:line="560" w:lineRule="exact"/>
        <w:ind w:firstLine="636"/>
        <w:rPr>
          <w:rFonts w:ascii="仿宋_GB2312" w:eastAsia="仿宋_GB2312" w:hAnsi="Arial" w:cs="Arial"/>
          <w:color w:val="000000"/>
          <w:spacing w:val="-1"/>
          <w:sz w:val="32"/>
          <w:szCs w:val="28"/>
        </w:rPr>
      </w:pPr>
      <w:r>
        <w:rPr>
          <w:rFonts w:ascii="仿宋_GB2312" w:eastAsia="仿宋_GB2312" w:hAnsi="Arial" w:cs="Arial" w:hint="eastAsia"/>
          <w:color w:val="000000"/>
          <w:spacing w:val="-1"/>
          <w:sz w:val="32"/>
          <w:szCs w:val="28"/>
        </w:rPr>
        <w:t>加速器子系统电气安全和电磁兼容应符合GB</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4793.1《测量、控制和实验室用电气设备的安全要求</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第1部分：通用要求》、YY</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9706.102《医用电气设备第1-2</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部分基本安全和基本性能的通用要求并列标准:电磁兼容要求和试验》。</w:t>
      </w:r>
    </w:p>
    <w:p w:rsidR="00B21435" w:rsidRDefault="00F21DBE">
      <w:pPr>
        <w:widowControl/>
        <w:numPr>
          <w:ilvl w:val="0"/>
          <w:numId w:val="3"/>
        </w:numPr>
        <w:spacing w:line="560" w:lineRule="exact"/>
        <w:ind w:firstLine="636"/>
        <w:rPr>
          <w:rFonts w:ascii="仿宋_GB2312" w:eastAsia="仿宋_GB2312" w:hAnsi="Arial" w:cs="Arial"/>
          <w:color w:val="000000"/>
          <w:spacing w:val="-1"/>
          <w:sz w:val="32"/>
          <w:szCs w:val="28"/>
        </w:rPr>
      </w:pPr>
      <w:r>
        <w:rPr>
          <w:rFonts w:ascii="仿宋_GB2312" w:eastAsia="仿宋_GB2312" w:hAnsi="Arial" w:cs="Arial" w:hint="eastAsia"/>
          <w:color w:val="000000"/>
          <w:spacing w:val="-1"/>
          <w:sz w:val="32"/>
          <w:szCs w:val="28"/>
        </w:rPr>
        <w:t>治疗子系统电气安全和电磁兼容应符合GB</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9706.1《医用电气设备</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第1部分：基本安全和基本性能的通用要求》、YY</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9706.102《医用电气设备第1-2</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部分基本安全和基本性能的通用要求并列标准:电磁兼容要求和试验》。</w:t>
      </w:r>
    </w:p>
    <w:p w:rsidR="00B21435" w:rsidRDefault="00F21DBE">
      <w:pPr>
        <w:widowControl/>
        <w:numPr>
          <w:ilvl w:val="0"/>
          <w:numId w:val="3"/>
        </w:numPr>
        <w:spacing w:line="560" w:lineRule="exact"/>
        <w:ind w:firstLine="636"/>
        <w:rPr>
          <w:rFonts w:ascii="仿宋_GB2312" w:eastAsia="仿宋_GB2312" w:hAnsi="Arial" w:cs="Arial"/>
          <w:color w:val="000000"/>
          <w:spacing w:val="-1"/>
          <w:sz w:val="32"/>
          <w:szCs w:val="28"/>
        </w:rPr>
      </w:pPr>
      <w:r>
        <w:rPr>
          <w:rFonts w:ascii="仿宋_GB2312" w:eastAsia="仿宋_GB2312" w:hAnsi="Arial" w:cs="Arial" w:hint="eastAsia"/>
          <w:color w:val="000000"/>
          <w:spacing w:val="-1"/>
          <w:sz w:val="32"/>
          <w:szCs w:val="28"/>
        </w:rPr>
        <w:t>患者支撑系统电气安全和电磁兼容应符合GB</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9706.1《医用电气设备</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第1部分：基本安全和基本性能的通用要求》、YY</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9706.102《医用电气设备第1-2</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部分基本安全和基本性能的通用要求并列标准:电磁兼容要求和试验》。</w:t>
      </w:r>
    </w:p>
    <w:p w:rsidR="00B21435" w:rsidRDefault="00F21DBE">
      <w:pPr>
        <w:shd w:val="clear" w:color="auto" w:fill="FFFFFF"/>
        <w:spacing w:line="9" w:lineRule="atLeast"/>
        <w:ind w:firstLineChars="200" w:firstLine="636"/>
        <w:rPr>
          <w:rFonts w:ascii="仿宋_GB2312" w:eastAsia="仿宋_GB2312" w:hAnsi="Arial" w:cs="Arial"/>
          <w:spacing w:val="-1"/>
          <w:sz w:val="32"/>
          <w:szCs w:val="28"/>
        </w:rPr>
      </w:pPr>
      <w:r>
        <w:rPr>
          <w:rFonts w:ascii="仿宋_GB2312" w:eastAsia="仿宋_GB2312" w:hAnsi="Arial" w:cs="Arial" w:hint="eastAsia"/>
          <w:spacing w:val="-1"/>
          <w:sz w:val="32"/>
          <w:szCs w:val="28"/>
        </w:rPr>
        <w:t>11.激光定位系统性能、安全、电磁兼容应符合GB7247.1《激光产品的安全 第1部分：设备分类、要求》YY/T</w:t>
      </w:r>
      <w:r>
        <w:rPr>
          <w:rFonts w:ascii="仿宋_GB2312" w:eastAsia="仿宋_GB2312" w:hAnsi="Arial" w:cs="Arial"/>
          <w:spacing w:val="-1"/>
          <w:sz w:val="32"/>
          <w:szCs w:val="28"/>
        </w:rPr>
        <w:t xml:space="preserve"> 1537 </w:t>
      </w:r>
      <w:r>
        <w:rPr>
          <w:rFonts w:ascii="仿宋_GB2312" w:eastAsia="仿宋_GB2312" w:hAnsi="Arial" w:cs="Arial" w:hint="eastAsia"/>
          <w:spacing w:val="-1"/>
          <w:sz w:val="32"/>
          <w:szCs w:val="28"/>
        </w:rPr>
        <w:t>《放射治疗用激光定位系统性能和试验方法》、GB</w:t>
      </w:r>
      <w:r>
        <w:rPr>
          <w:rFonts w:ascii="仿宋_GB2312" w:eastAsia="仿宋_GB2312" w:hAnsi="Arial" w:cs="Arial"/>
          <w:spacing w:val="-1"/>
          <w:sz w:val="32"/>
          <w:szCs w:val="28"/>
        </w:rPr>
        <w:t xml:space="preserve"> </w:t>
      </w:r>
      <w:r>
        <w:rPr>
          <w:rFonts w:ascii="仿宋_GB2312" w:eastAsia="仿宋_GB2312" w:hAnsi="Arial" w:cs="Arial" w:hint="eastAsia"/>
          <w:spacing w:val="-1"/>
          <w:sz w:val="32"/>
          <w:szCs w:val="28"/>
        </w:rPr>
        <w:t>9706.1《医用电气设备</w:t>
      </w:r>
      <w:r>
        <w:rPr>
          <w:rFonts w:ascii="仿宋_GB2312" w:eastAsia="仿宋_GB2312" w:hAnsi="Arial" w:cs="Arial"/>
          <w:spacing w:val="-1"/>
          <w:sz w:val="32"/>
          <w:szCs w:val="28"/>
        </w:rPr>
        <w:t xml:space="preserve"> </w:t>
      </w:r>
      <w:r>
        <w:rPr>
          <w:rFonts w:ascii="仿宋_GB2312" w:eastAsia="仿宋_GB2312" w:hAnsi="Arial" w:cs="Arial" w:hint="eastAsia"/>
          <w:spacing w:val="-1"/>
          <w:sz w:val="32"/>
          <w:szCs w:val="28"/>
        </w:rPr>
        <w:t>第1部分：基本安全和基本性能的通用要求》、YY</w:t>
      </w:r>
      <w:r>
        <w:rPr>
          <w:rFonts w:ascii="仿宋_GB2312" w:eastAsia="仿宋_GB2312" w:hAnsi="Arial" w:cs="Arial"/>
          <w:spacing w:val="-1"/>
          <w:sz w:val="32"/>
          <w:szCs w:val="28"/>
        </w:rPr>
        <w:t xml:space="preserve"> </w:t>
      </w:r>
      <w:r>
        <w:rPr>
          <w:rFonts w:ascii="仿宋_GB2312" w:eastAsia="仿宋_GB2312" w:hAnsi="Arial" w:cs="Arial" w:hint="eastAsia"/>
          <w:spacing w:val="-1"/>
          <w:sz w:val="32"/>
          <w:szCs w:val="28"/>
        </w:rPr>
        <w:t>9706.102《医用电气设备第1-2</w:t>
      </w:r>
      <w:r>
        <w:rPr>
          <w:rFonts w:ascii="仿宋_GB2312" w:eastAsia="仿宋_GB2312" w:hAnsi="Arial" w:cs="Arial"/>
          <w:spacing w:val="-1"/>
          <w:sz w:val="32"/>
          <w:szCs w:val="28"/>
        </w:rPr>
        <w:t xml:space="preserve"> </w:t>
      </w:r>
      <w:r>
        <w:rPr>
          <w:rFonts w:ascii="仿宋_GB2312" w:eastAsia="仿宋_GB2312" w:hAnsi="Arial" w:cs="Arial" w:hint="eastAsia"/>
          <w:spacing w:val="-1"/>
          <w:sz w:val="32"/>
          <w:szCs w:val="28"/>
        </w:rPr>
        <w:t>部分基本安全和基本性</w:t>
      </w:r>
      <w:r>
        <w:rPr>
          <w:rFonts w:ascii="仿宋_GB2312" w:eastAsia="仿宋_GB2312" w:hAnsi="Arial" w:cs="Arial" w:hint="eastAsia"/>
          <w:spacing w:val="-1"/>
          <w:sz w:val="32"/>
          <w:szCs w:val="28"/>
        </w:rPr>
        <w:lastRenderedPageBreak/>
        <w:t>能的通用要求并列标准:电磁兼容要求和试验》。</w:t>
      </w:r>
    </w:p>
    <w:p w:rsidR="00B21435" w:rsidRDefault="00F21DBE">
      <w:pPr>
        <w:widowControl/>
        <w:numPr>
          <w:ilvl w:val="255"/>
          <w:numId w:val="0"/>
        </w:numPr>
        <w:spacing w:line="560" w:lineRule="exact"/>
        <w:ind w:firstLineChars="200" w:firstLine="636"/>
        <w:rPr>
          <w:rFonts w:ascii="仿宋_GB2312" w:eastAsia="仿宋_GB2312" w:hAnsi="Arial" w:cs="Arial"/>
          <w:color w:val="000000"/>
          <w:spacing w:val="-1"/>
          <w:sz w:val="32"/>
          <w:szCs w:val="28"/>
        </w:rPr>
      </w:pPr>
      <w:r>
        <w:rPr>
          <w:rFonts w:ascii="仿宋_GB2312" w:eastAsia="仿宋_GB2312" w:hAnsi="Arial" w:cs="Arial" w:hint="eastAsia"/>
          <w:color w:val="000000"/>
          <w:spacing w:val="-1"/>
          <w:sz w:val="32"/>
          <w:szCs w:val="28"/>
        </w:rPr>
        <w:t>12.放射治疗X射线图像引导系统性能、安全、电磁兼容应符合YY/T</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0741《数字化摄影X射线机专用技术条件》、YY</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1650《X射线图像引导放射治疗设备</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性能和试验方法》、GB</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9706.1《医用电气设备</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第1部分：基本安全和基本性能的通用要求》、YY</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9706.102《医用电气设备第1-2</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部分基本安全和基本性能的通用要求并列标准:电磁兼容要求和试验》、GB</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9706.103《医用电气设备</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第1-3部分：基本安全和基本性能的通用要求</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并列标准：诊断X射线设备的辐射防护》、GB</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9706.228《医用电气设备</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第2-28部分：医用诊断X射线管组件的基本安全和基本性能专用要求》、YY</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9706.268《医用电气设备第2-68部分：电子加速器、轻离子束治疗设备和放射性核素射束治疗设备用的X射线图像引导放射治疗设备的基本安全和基本性能专用要求》。</w:t>
      </w:r>
    </w:p>
    <w:p w:rsidR="00B21435" w:rsidRDefault="00F21DBE">
      <w:pPr>
        <w:numPr>
          <w:ilvl w:val="255"/>
          <w:numId w:val="0"/>
        </w:numPr>
        <w:spacing w:line="560" w:lineRule="exact"/>
        <w:ind w:firstLineChars="200" w:firstLine="636"/>
        <w:rPr>
          <w:rFonts w:ascii="仿宋_GB2312" w:eastAsia="仿宋_GB2312" w:hAnsi="Arial" w:cs="Arial"/>
          <w:color w:val="000000"/>
          <w:spacing w:val="-1"/>
          <w:sz w:val="32"/>
          <w:szCs w:val="28"/>
        </w:rPr>
      </w:pPr>
      <w:r>
        <w:rPr>
          <w:rFonts w:ascii="仿宋_GB2312" w:eastAsia="仿宋_GB2312" w:hAnsi="Arial" w:cs="Arial" w:hint="eastAsia"/>
          <w:color w:val="000000"/>
          <w:spacing w:val="-1"/>
          <w:sz w:val="32"/>
          <w:szCs w:val="28"/>
        </w:rPr>
        <w:t>13.放射治疗CT图像引导系统性能、安全、电磁兼容应符合YY/T</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0310《X</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射线计算机体层摄影设备通用技术条件》、YY</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1650《X射线图像引导放射治疗设备</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性能和试验方法》、GB</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9706.1《医用电气设备</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第1部分：基本安全和基本性能的通用要求》、YY</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9706.102《医用电气设备第1-2</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部分基本安全和基本性能的通用要求并列标准:电磁兼容要求和试验》、GB</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7247.1《激光产品的安全</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第1部分：设备分类、要求》、GB</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9706.103《医用电气设备</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第1-3部分：基本安全和基本性能的通用要求</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并列标准：诊断X射线设备的辐射防护》、GB</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9706.228《医用电气设备</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第2-28部分：医用诊断X射线</w:t>
      </w:r>
      <w:r>
        <w:rPr>
          <w:rFonts w:ascii="仿宋_GB2312" w:eastAsia="仿宋_GB2312" w:hAnsi="Arial" w:cs="Arial" w:hint="eastAsia"/>
          <w:color w:val="000000"/>
          <w:spacing w:val="-1"/>
          <w:sz w:val="32"/>
          <w:szCs w:val="28"/>
        </w:rPr>
        <w:lastRenderedPageBreak/>
        <w:t>管组件的基本安全和基本性能专用要求》、YY</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9706.268《医用电气设备第2-68部分：电子加速器、轻离子束治疗设备和放射性核素射束治疗设备用的X射线图像引导放射治疗设备的基本安全和基本性能专用要求》。</w:t>
      </w:r>
    </w:p>
    <w:p w:rsidR="00B21435" w:rsidRDefault="00F21DBE">
      <w:pPr>
        <w:numPr>
          <w:ilvl w:val="255"/>
          <w:numId w:val="0"/>
        </w:numPr>
        <w:spacing w:line="560" w:lineRule="exact"/>
        <w:ind w:firstLineChars="200" w:firstLine="636"/>
        <w:rPr>
          <w:rFonts w:ascii="仿宋_GB2312" w:eastAsia="仿宋_GB2312" w:hAnsi="Arial" w:cs="Arial"/>
          <w:color w:val="000000"/>
          <w:spacing w:val="-1"/>
          <w:sz w:val="32"/>
          <w:szCs w:val="28"/>
        </w:rPr>
      </w:pPr>
      <w:r>
        <w:rPr>
          <w:rFonts w:ascii="仿宋_GB2312" w:eastAsia="仿宋_GB2312" w:hAnsi="Arial" w:cs="Arial" w:hint="eastAsia"/>
          <w:spacing w:val="-1"/>
          <w:sz w:val="32"/>
          <w:szCs w:val="28"/>
        </w:rPr>
        <w:t>14.放射治疗MR图像引导系统</w:t>
      </w:r>
      <w:r>
        <w:rPr>
          <w:rFonts w:ascii="仿宋_GB2312" w:eastAsia="仿宋_GB2312" w:hAnsi="Arial" w:cs="Arial" w:hint="eastAsia"/>
          <w:color w:val="000000"/>
          <w:spacing w:val="-1"/>
          <w:sz w:val="32"/>
          <w:szCs w:val="28"/>
        </w:rPr>
        <w:t>性能、安全、电磁兼容应符合YY/T</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0482《医疗诊断用磁共振设备技术要求及试验方法》、YY</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9706.233《医用电气设备第2-33部分:医疗诊断用磁共振设备的基本安全和基本性能专用要求》、GB</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9706.1《医用电气设备</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第1部分：基本安全和基本性能的通用要求》、YY</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9706.102《医用电气设备第1-2</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部分基本安全和基本性能的通用要求并列标准:电磁兼容要求和试验》、GB</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7247.1《激光产品的安全</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第1部分：设备分类、要求》。</w:t>
      </w:r>
    </w:p>
    <w:p w:rsidR="00B21435" w:rsidRDefault="00F21DBE">
      <w:pPr>
        <w:numPr>
          <w:ilvl w:val="255"/>
          <w:numId w:val="0"/>
        </w:numPr>
        <w:spacing w:line="560" w:lineRule="exact"/>
        <w:ind w:firstLineChars="200" w:firstLine="636"/>
        <w:rPr>
          <w:rFonts w:ascii="仿宋_GB2312" w:eastAsia="仿宋_GB2312" w:hAnsi="Arial" w:cs="Arial"/>
          <w:color w:val="000000"/>
          <w:spacing w:val="-1"/>
          <w:sz w:val="32"/>
          <w:szCs w:val="28"/>
        </w:rPr>
      </w:pPr>
      <w:r>
        <w:rPr>
          <w:rFonts w:ascii="仿宋_GB2312" w:eastAsia="仿宋_GB2312" w:hAnsi="Arial" w:cs="Arial" w:hint="eastAsia"/>
          <w:color w:val="000000"/>
          <w:spacing w:val="-1"/>
          <w:sz w:val="32"/>
          <w:szCs w:val="28"/>
        </w:rPr>
        <w:t>15.治疗计划系统性能、安全应符合YY</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0637《医用电气设备</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放射治疗计划系统的安全要求》、YY/T</w:t>
      </w:r>
      <w:r>
        <w:rPr>
          <w:rFonts w:ascii="仿宋_GB2312" w:eastAsia="仿宋_GB2312" w:hAnsi="Arial" w:cs="Arial"/>
          <w:color w:val="000000"/>
          <w:spacing w:val="-1"/>
          <w:sz w:val="32"/>
          <w:szCs w:val="28"/>
        </w:rPr>
        <w:t xml:space="preserve"> 1905 </w:t>
      </w:r>
      <w:r>
        <w:rPr>
          <w:rFonts w:ascii="仿宋_GB2312" w:eastAsia="仿宋_GB2312" w:hAnsi="Arial" w:cs="Arial" w:hint="eastAsia"/>
          <w:color w:val="000000"/>
          <w:spacing w:val="-1"/>
          <w:sz w:val="32"/>
          <w:szCs w:val="28"/>
        </w:rPr>
        <w:t>《轻离子束放射治疗计划剂量计算准确性要求》。</w:t>
      </w:r>
    </w:p>
    <w:p w:rsidR="00B21435" w:rsidRDefault="00F21DBE">
      <w:pPr>
        <w:widowControl/>
        <w:numPr>
          <w:ilvl w:val="255"/>
          <w:numId w:val="0"/>
        </w:numPr>
        <w:spacing w:line="560" w:lineRule="exact"/>
        <w:ind w:firstLineChars="200" w:firstLine="636"/>
        <w:rPr>
          <w:rFonts w:ascii="仿宋_GB2312" w:eastAsia="仿宋_GB2312" w:hAnsi="Arial" w:cs="Arial"/>
          <w:color w:val="000000"/>
          <w:spacing w:val="-1"/>
          <w:sz w:val="32"/>
          <w:szCs w:val="28"/>
        </w:rPr>
      </w:pPr>
      <w:r>
        <w:rPr>
          <w:rFonts w:ascii="仿宋_GB2312" w:eastAsia="仿宋_GB2312" w:hAnsi="Arial" w:cs="Arial" w:hint="eastAsia"/>
          <w:color w:val="000000"/>
          <w:spacing w:val="-1"/>
          <w:sz w:val="32"/>
          <w:szCs w:val="28"/>
        </w:rPr>
        <w:t>16.肿瘤信息管理系统（治疗</w:t>
      </w:r>
      <w:r>
        <w:rPr>
          <w:rFonts w:eastAsia="仿宋_GB2312" w:cs="Calibri" w:hint="eastAsia"/>
          <w:color w:val="000000"/>
          <w:spacing w:val="-1"/>
          <w:sz w:val="32"/>
          <w:szCs w:val="28"/>
        </w:rPr>
        <w:t>记录与验证</w:t>
      </w:r>
      <w:r>
        <w:rPr>
          <w:rFonts w:ascii="仿宋_GB2312" w:eastAsia="仿宋_GB2312" w:hAnsi="Arial" w:cs="Arial" w:hint="eastAsia"/>
          <w:color w:val="000000"/>
          <w:spacing w:val="-1"/>
          <w:sz w:val="32"/>
          <w:szCs w:val="28"/>
        </w:rPr>
        <w:t>系统）应符合YY</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0721《医用电气设备</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放射治疗记录与验证系统的安全》。</w:t>
      </w:r>
    </w:p>
    <w:p w:rsidR="00B21435" w:rsidRDefault="00F21DBE">
      <w:pPr>
        <w:widowControl/>
        <w:numPr>
          <w:ilvl w:val="255"/>
          <w:numId w:val="0"/>
        </w:numPr>
        <w:spacing w:line="560" w:lineRule="exact"/>
        <w:ind w:firstLineChars="200" w:firstLine="636"/>
        <w:rPr>
          <w:rFonts w:ascii="仿宋_GB2312" w:eastAsia="仿宋_GB2312" w:hAnsi="Arial" w:cs="Arial"/>
          <w:color w:val="000000"/>
          <w:spacing w:val="-1"/>
          <w:sz w:val="32"/>
          <w:szCs w:val="28"/>
        </w:rPr>
      </w:pPr>
      <w:r>
        <w:rPr>
          <w:rFonts w:ascii="仿宋_GB2312" w:eastAsia="仿宋_GB2312" w:hAnsi="Arial" w:cs="Arial" w:hint="eastAsia"/>
          <w:color w:val="000000"/>
          <w:spacing w:val="-1"/>
          <w:sz w:val="32"/>
          <w:szCs w:val="28"/>
        </w:rPr>
        <w:t>17.多叶光栅装置应性能、安全、电磁兼容符合YY/T</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0971《放射治疗用多元限束装置</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性能和试验方法》、GB</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9706.1《医用电气设备</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第1部分：基本安全和基本性能的通用要求》、YY</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9706.102《医用电气设备第1-2</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部分基本安全和基本性能的通用要求并列标准:电磁兼容要求和试验》。</w:t>
      </w:r>
    </w:p>
    <w:p w:rsidR="00B21435" w:rsidRDefault="00F21DBE">
      <w:pPr>
        <w:widowControl/>
        <w:numPr>
          <w:ilvl w:val="255"/>
          <w:numId w:val="0"/>
        </w:numPr>
        <w:spacing w:line="560" w:lineRule="exact"/>
        <w:ind w:firstLineChars="200" w:firstLine="636"/>
        <w:rPr>
          <w:rFonts w:ascii="仿宋_GB2312" w:eastAsia="仿宋_GB2312" w:hAnsi="Arial" w:cs="Arial"/>
          <w:color w:val="000000"/>
          <w:spacing w:val="-1"/>
          <w:sz w:val="32"/>
          <w:szCs w:val="28"/>
        </w:rPr>
      </w:pPr>
      <w:r>
        <w:rPr>
          <w:rFonts w:ascii="仿宋_GB2312" w:eastAsia="仿宋_GB2312" w:hAnsi="Arial" w:cs="Arial" w:hint="eastAsia"/>
          <w:color w:val="000000"/>
          <w:spacing w:val="-1"/>
          <w:sz w:val="32"/>
          <w:szCs w:val="28"/>
        </w:rPr>
        <w:t>18.软件生存周期及质量管理应符合GB/T 25000.1《软件工程 软件产品质量要求与评价（</w:t>
      </w:r>
      <w:proofErr w:type="spellStart"/>
      <w:r>
        <w:rPr>
          <w:rFonts w:ascii="仿宋_GB2312" w:eastAsia="仿宋_GB2312" w:hAnsi="Arial" w:cs="Arial" w:hint="eastAsia"/>
          <w:color w:val="000000"/>
          <w:spacing w:val="-1"/>
          <w:sz w:val="32"/>
          <w:szCs w:val="28"/>
        </w:rPr>
        <w:t>SQuaRE</w:t>
      </w:r>
      <w:proofErr w:type="spellEnd"/>
      <w:r>
        <w:rPr>
          <w:rFonts w:ascii="仿宋_GB2312" w:eastAsia="仿宋_GB2312" w:hAnsi="Arial" w:cs="Arial" w:hint="eastAsia"/>
          <w:color w:val="000000"/>
          <w:spacing w:val="-1"/>
          <w:sz w:val="32"/>
          <w:szCs w:val="28"/>
        </w:rPr>
        <w:t>）</w:t>
      </w:r>
      <w:proofErr w:type="spellStart"/>
      <w:r>
        <w:rPr>
          <w:rFonts w:ascii="仿宋_GB2312" w:eastAsia="仿宋_GB2312" w:hAnsi="Arial" w:cs="Arial" w:hint="eastAsia"/>
          <w:color w:val="000000"/>
          <w:spacing w:val="-1"/>
          <w:sz w:val="32"/>
          <w:szCs w:val="28"/>
        </w:rPr>
        <w:t>SQuaRE</w:t>
      </w:r>
      <w:proofErr w:type="spellEnd"/>
      <w:r>
        <w:rPr>
          <w:rFonts w:ascii="仿宋_GB2312" w:eastAsia="仿宋_GB2312" w:hAnsi="Arial" w:cs="Arial" w:hint="eastAsia"/>
          <w:color w:val="000000"/>
          <w:spacing w:val="-1"/>
          <w:sz w:val="32"/>
          <w:szCs w:val="28"/>
        </w:rPr>
        <w:t>指南》、</w:t>
      </w:r>
      <w:r>
        <w:rPr>
          <w:rFonts w:ascii="仿宋_GB2312" w:eastAsia="仿宋_GB2312" w:hAnsi="Arial" w:cs="Arial" w:hint="eastAsia"/>
          <w:color w:val="000000"/>
          <w:spacing w:val="-1"/>
          <w:sz w:val="32"/>
          <w:szCs w:val="28"/>
        </w:rPr>
        <w:lastRenderedPageBreak/>
        <w:t>GB/T</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25000.51《系统与软件工程</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系统与软件质量要求和评价（</w:t>
      </w:r>
      <w:proofErr w:type="spellStart"/>
      <w:r>
        <w:rPr>
          <w:rFonts w:ascii="仿宋_GB2312" w:eastAsia="仿宋_GB2312" w:hAnsi="Arial" w:cs="Arial" w:hint="eastAsia"/>
          <w:color w:val="000000"/>
          <w:spacing w:val="-1"/>
          <w:sz w:val="32"/>
          <w:szCs w:val="28"/>
        </w:rPr>
        <w:t>SQuaRE</w:t>
      </w:r>
      <w:proofErr w:type="spellEnd"/>
      <w:r>
        <w:rPr>
          <w:rFonts w:ascii="仿宋_GB2312" w:eastAsia="仿宋_GB2312" w:hAnsi="Arial" w:cs="Arial" w:hint="eastAsia"/>
          <w:color w:val="000000"/>
          <w:spacing w:val="-1"/>
          <w:sz w:val="32"/>
          <w:szCs w:val="28"/>
        </w:rPr>
        <w:t>）</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第51部分：就绪可用软件产品（RUSP）的质量要求和测试细则》、YY/T</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0664《医疗器械软件</w:t>
      </w:r>
      <w:r>
        <w:rPr>
          <w:rFonts w:ascii="仿宋_GB2312" w:eastAsia="仿宋_GB2312" w:hAnsi="Arial" w:cs="Arial"/>
          <w:color w:val="000000"/>
          <w:spacing w:val="-1"/>
          <w:sz w:val="32"/>
          <w:szCs w:val="28"/>
        </w:rPr>
        <w:t xml:space="preserve"> </w:t>
      </w:r>
      <w:r>
        <w:rPr>
          <w:rFonts w:ascii="仿宋_GB2312" w:eastAsia="仿宋_GB2312" w:hAnsi="Arial" w:cs="Arial" w:hint="eastAsia"/>
          <w:color w:val="000000"/>
          <w:spacing w:val="-1"/>
          <w:sz w:val="32"/>
          <w:szCs w:val="28"/>
        </w:rPr>
        <w:t>软件生存周期过程》。</w:t>
      </w:r>
    </w:p>
    <w:p w:rsidR="00B21435" w:rsidRDefault="00F21DBE">
      <w:pPr>
        <w:spacing w:line="560" w:lineRule="exact"/>
        <w:outlineLvl w:val="1"/>
        <w:rPr>
          <w:rFonts w:ascii="Arial" w:eastAsia="黑体" w:hAnsi="Arial" w:cs="Arial"/>
          <w:kern w:val="0"/>
          <w:sz w:val="36"/>
          <w:szCs w:val="36"/>
        </w:rPr>
      </w:pPr>
      <w:bookmarkStart w:id="171" w:name="_Toc30818"/>
      <w:bookmarkStart w:id="172" w:name="_Toc10992"/>
      <w:bookmarkStart w:id="173" w:name="_Toc185"/>
      <w:bookmarkStart w:id="174" w:name="_Toc8110"/>
      <w:bookmarkStart w:id="175" w:name="_Toc26412"/>
      <w:bookmarkStart w:id="176" w:name="_Toc2007"/>
      <w:bookmarkStart w:id="177" w:name="_Toc20037"/>
      <w:bookmarkStart w:id="178" w:name="_Toc17485"/>
      <w:bookmarkStart w:id="179" w:name="_Toc1625"/>
      <w:bookmarkStart w:id="180" w:name="_Toc2970"/>
      <w:bookmarkStart w:id="181" w:name="_Toc31169"/>
      <w:bookmarkStart w:id="182" w:name="_Toc16585"/>
      <w:bookmarkStart w:id="183" w:name="_Toc23799"/>
      <w:r>
        <w:rPr>
          <w:rFonts w:ascii="Arial" w:eastAsia="黑体" w:hAnsi="Arial" w:cs="Arial" w:hint="eastAsia"/>
          <w:kern w:val="0"/>
          <w:sz w:val="36"/>
          <w:szCs w:val="36"/>
        </w:rPr>
        <w:t>三、生产</w:t>
      </w:r>
      <w:r>
        <w:rPr>
          <w:rFonts w:ascii="Arial" w:eastAsia="黑体" w:hAnsi="Arial" w:cs="Arial"/>
          <w:kern w:val="0"/>
          <w:sz w:val="36"/>
          <w:szCs w:val="36"/>
        </w:rPr>
        <w:t>工艺和质量关键控制点</w:t>
      </w:r>
      <w:bookmarkEnd w:id="171"/>
      <w:bookmarkEnd w:id="172"/>
      <w:bookmarkEnd w:id="173"/>
      <w:bookmarkEnd w:id="174"/>
      <w:bookmarkEnd w:id="175"/>
      <w:bookmarkEnd w:id="176"/>
      <w:bookmarkEnd w:id="177"/>
      <w:bookmarkEnd w:id="178"/>
      <w:bookmarkEnd w:id="179"/>
      <w:bookmarkEnd w:id="180"/>
      <w:bookmarkEnd w:id="181"/>
      <w:bookmarkEnd w:id="182"/>
      <w:bookmarkEnd w:id="183"/>
    </w:p>
    <w:p w:rsidR="00B21435" w:rsidRDefault="00F21DBE">
      <w:pPr>
        <w:spacing w:line="560" w:lineRule="exact"/>
        <w:ind w:firstLineChars="200" w:firstLine="640"/>
        <w:outlineLvl w:val="2"/>
        <w:rPr>
          <w:rFonts w:ascii="楷体" w:eastAsia="楷体" w:hAnsi="楷体" w:cs="楷体"/>
          <w:sz w:val="32"/>
          <w:szCs w:val="32"/>
        </w:rPr>
      </w:pPr>
      <w:bookmarkStart w:id="184" w:name="_Toc11289"/>
      <w:bookmarkStart w:id="185" w:name="_Toc9925"/>
      <w:bookmarkStart w:id="186" w:name="_Toc18279"/>
      <w:bookmarkStart w:id="187" w:name="_Toc2329"/>
      <w:bookmarkStart w:id="188" w:name="_Toc26524"/>
      <w:bookmarkStart w:id="189" w:name="_Toc26603"/>
      <w:bookmarkStart w:id="190" w:name="_Toc20467"/>
      <w:bookmarkStart w:id="191" w:name="_Toc30576"/>
      <w:bookmarkStart w:id="192" w:name="_Toc10348"/>
      <w:bookmarkStart w:id="193" w:name="_Toc13832"/>
      <w:bookmarkStart w:id="194" w:name="_Toc26393"/>
      <w:bookmarkStart w:id="195" w:name="_Toc17185"/>
      <w:bookmarkStart w:id="196" w:name="_Toc6098"/>
      <w:r>
        <w:rPr>
          <w:rFonts w:ascii="楷体" w:eastAsia="楷体" w:hAnsi="楷体" w:cs="楷体" w:hint="eastAsia"/>
          <w:sz w:val="32"/>
          <w:szCs w:val="32"/>
        </w:rPr>
        <w:t>（一）产品工艺流程图</w:t>
      </w:r>
      <w:bookmarkEnd w:id="184"/>
      <w:bookmarkEnd w:id="185"/>
      <w:bookmarkEnd w:id="186"/>
      <w:bookmarkEnd w:id="187"/>
      <w:bookmarkEnd w:id="188"/>
      <w:bookmarkEnd w:id="189"/>
      <w:bookmarkEnd w:id="190"/>
      <w:bookmarkEnd w:id="191"/>
      <w:bookmarkEnd w:id="192"/>
      <w:bookmarkEnd w:id="193"/>
      <w:bookmarkEnd w:id="194"/>
      <w:bookmarkEnd w:id="195"/>
      <w:bookmarkEnd w:id="196"/>
    </w:p>
    <w:p w:rsidR="00B21435" w:rsidRDefault="00F21DBE">
      <w:pPr>
        <w:pStyle w:val="41"/>
        <w:spacing w:before="0"/>
        <w:ind w:left="0" w:firstLineChars="200" w:firstLine="640"/>
        <w:jc w:val="left"/>
      </w:pPr>
      <w:r>
        <w:rPr>
          <w:rFonts w:hAnsi="Arial" w:cs="Arial" w:hint="eastAsia"/>
          <w:sz w:val="32"/>
        </w:rPr>
        <w:t>碳离子/质子治疗系统产品实现流程图和生产工艺流程图，如图6、图7所示：</w:t>
      </w:r>
      <w:r>
        <w:rPr>
          <w:rFonts w:hint="eastAsia"/>
          <w:noProof/>
        </w:rPr>
        <w:drawing>
          <wp:inline distT="0" distB="0" distL="114300" distR="114300">
            <wp:extent cx="5266690" cy="3950335"/>
            <wp:effectExtent l="0" t="0" r="3810" b="12065"/>
            <wp:docPr id="9" name="图片 9" descr="碳离子治疗系统生产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碳离子治疗系统生产流程"/>
                    <pic:cNvPicPr>
                      <a:picLocks noChangeAspect="1"/>
                    </pic:cNvPicPr>
                  </pic:nvPicPr>
                  <pic:blipFill>
                    <a:blip r:embed="rId14"/>
                    <a:stretch>
                      <a:fillRect/>
                    </a:stretch>
                  </pic:blipFill>
                  <pic:spPr>
                    <a:xfrm>
                      <a:off x="0" y="0"/>
                      <a:ext cx="5266690" cy="3950335"/>
                    </a:xfrm>
                    <a:prstGeom prst="rect">
                      <a:avLst/>
                    </a:prstGeom>
                  </pic:spPr>
                </pic:pic>
              </a:graphicData>
            </a:graphic>
          </wp:inline>
        </w:drawing>
      </w:r>
    </w:p>
    <w:p w:rsidR="00B21435" w:rsidRDefault="00F21DBE">
      <w:pPr>
        <w:jc w:val="center"/>
        <w:rPr>
          <w:rFonts w:ascii="Times New Roman" w:eastAsia="仿宋_GB2312" w:hAnsi="Times New Roman" w:cs="Times New Roman"/>
          <w:sz w:val="30"/>
          <w:szCs w:val="30"/>
        </w:rPr>
      </w:pPr>
      <w:r>
        <w:rPr>
          <w:rFonts w:ascii="Times New Roman" w:eastAsia="仿宋_GB2312" w:hAnsi="Times New Roman" w:cs="Times New Roman"/>
          <w:sz w:val="30"/>
          <w:szCs w:val="30"/>
        </w:rPr>
        <w:t>图</w:t>
      </w:r>
      <w:r>
        <w:rPr>
          <w:rFonts w:ascii="Times New Roman" w:eastAsia="仿宋_GB2312" w:hAnsi="Times New Roman" w:cs="Times New Roman" w:hint="eastAsia"/>
          <w:sz w:val="30"/>
          <w:szCs w:val="30"/>
        </w:rPr>
        <w:t>6</w:t>
      </w:r>
      <w:r>
        <w:rPr>
          <w:rFonts w:ascii="Times New Roman" w:eastAsia="仿宋_GB2312" w:hAnsi="Times New Roman" w:cs="Times New Roman"/>
          <w:sz w:val="30"/>
          <w:szCs w:val="30"/>
        </w:rPr>
        <w:t xml:space="preserve"> </w:t>
      </w:r>
      <w:r>
        <w:rPr>
          <w:rFonts w:ascii="Times New Roman" w:eastAsia="仿宋_GB2312" w:hAnsi="Times New Roman" w:cs="Times New Roman"/>
          <w:sz w:val="30"/>
          <w:szCs w:val="30"/>
        </w:rPr>
        <w:t>碳离子</w:t>
      </w:r>
      <w:r>
        <w:rPr>
          <w:rFonts w:ascii="Times New Roman" w:eastAsia="仿宋_GB2312" w:hAnsi="Times New Roman" w:cs="Times New Roman"/>
          <w:sz w:val="30"/>
          <w:szCs w:val="30"/>
        </w:rPr>
        <w:t>/</w:t>
      </w:r>
      <w:r>
        <w:rPr>
          <w:rFonts w:ascii="Times New Roman" w:eastAsia="仿宋_GB2312" w:hAnsi="Times New Roman" w:cs="Times New Roman"/>
          <w:sz w:val="30"/>
          <w:szCs w:val="30"/>
        </w:rPr>
        <w:t>质子治疗系统</w:t>
      </w:r>
      <w:r>
        <w:rPr>
          <w:rFonts w:ascii="Times New Roman" w:eastAsia="仿宋_GB2312" w:hAnsi="Times New Roman" w:cs="Times New Roman" w:hint="eastAsia"/>
          <w:sz w:val="30"/>
          <w:szCs w:val="30"/>
        </w:rPr>
        <w:t>产品实现</w:t>
      </w:r>
      <w:r>
        <w:rPr>
          <w:rFonts w:ascii="Times New Roman" w:eastAsia="仿宋_GB2312" w:hAnsi="Times New Roman" w:cs="Times New Roman"/>
          <w:sz w:val="30"/>
          <w:szCs w:val="30"/>
        </w:rPr>
        <w:t>流程图</w:t>
      </w:r>
    </w:p>
    <w:p w:rsidR="00B21435" w:rsidRDefault="00B21435">
      <w:pPr>
        <w:jc w:val="center"/>
        <w:rPr>
          <w:rFonts w:ascii="Times New Roman" w:eastAsia="仿宋_GB2312" w:hAnsi="Times New Roman" w:cs="Times New Roman"/>
          <w:sz w:val="30"/>
          <w:szCs w:val="30"/>
        </w:rPr>
        <w:sectPr w:rsidR="00B21435">
          <w:footerReference w:type="default" r:id="rId15"/>
          <w:type w:val="continuous"/>
          <w:pgSz w:w="11906" w:h="16838"/>
          <w:pgMar w:top="1440" w:right="1800" w:bottom="1440" w:left="1800" w:header="851" w:footer="992" w:gutter="0"/>
          <w:cols w:space="425"/>
          <w:docGrid w:type="lines" w:linePitch="312"/>
        </w:sectPr>
      </w:pPr>
    </w:p>
    <w:p w:rsidR="00B21435" w:rsidRDefault="00F21DBE">
      <w:pPr>
        <w:jc w:val="center"/>
        <w:rPr>
          <w:rFonts w:ascii="Times New Roman" w:eastAsia="仿宋_GB2312" w:hAnsi="Times New Roman" w:cs="Times New Roman"/>
          <w:sz w:val="30"/>
          <w:szCs w:val="30"/>
        </w:rPr>
      </w:pPr>
      <w:r>
        <w:rPr>
          <w:rFonts w:ascii="Times New Roman" w:eastAsia="仿宋_GB2312" w:hAnsi="Times New Roman" w:cs="Times New Roman" w:hint="eastAsia"/>
          <w:noProof/>
          <w:sz w:val="30"/>
          <w:szCs w:val="30"/>
        </w:rPr>
        <w:lastRenderedPageBreak/>
        <w:drawing>
          <wp:inline distT="0" distB="0" distL="114300" distR="114300">
            <wp:extent cx="8851900" cy="4651375"/>
            <wp:effectExtent l="0" t="0" r="6350" b="6350"/>
            <wp:docPr id="1" name="图片 1" descr="碳离子治疗系统架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碳离子治疗系统架构图"/>
                    <pic:cNvPicPr>
                      <a:picLocks noChangeAspect="1"/>
                    </pic:cNvPicPr>
                  </pic:nvPicPr>
                  <pic:blipFill>
                    <a:blip r:embed="rId16"/>
                    <a:stretch>
                      <a:fillRect/>
                    </a:stretch>
                  </pic:blipFill>
                  <pic:spPr>
                    <a:xfrm>
                      <a:off x="0" y="0"/>
                      <a:ext cx="8851900" cy="4651375"/>
                    </a:xfrm>
                    <a:prstGeom prst="rect">
                      <a:avLst/>
                    </a:prstGeom>
                  </pic:spPr>
                </pic:pic>
              </a:graphicData>
            </a:graphic>
          </wp:inline>
        </w:drawing>
      </w:r>
    </w:p>
    <w:p w:rsidR="00B21435" w:rsidRDefault="00F21DBE">
      <w:pPr>
        <w:jc w:val="center"/>
        <w:rPr>
          <w:rFonts w:ascii="Times New Roman" w:eastAsia="仿宋_GB2312" w:hAnsi="Times New Roman" w:cs="Times New Roman"/>
          <w:sz w:val="30"/>
          <w:szCs w:val="30"/>
        </w:rPr>
      </w:pPr>
      <w:r>
        <w:rPr>
          <w:rFonts w:ascii="Times New Roman" w:eastAsia="仿宋_GB2312" w:hAnsi="Times New Roman" w:cs="Times New Roman"/>
          <w:sz w:val="30"/>
          <w:szCs w:val="30"/>
        </w:rPr>
        <w:t>图</w:t>
      </w:r>
      <w:r>
        <w:rPr>
          <w:rFonts w:ascii="Times New Roman" w:eastAsia="仿宋_GB2312" w:hAnsi="Times New Roman" w:cs="Times New Roman"/>
          <w:sz w:val="30"/>
          <w:szCs w:val="30"/>
        </w:rPr>
        <w:t xml:space="preserve">7 </w:t>
      </w:r>
      <w:r>
        <w:rPr>
          <w:rFonts w:ascii="Times New Roman" w:eastAsia="仿宋_GB2312" w:hAnsi="Times New Roman" w:cs="Times New Roman"/>
          <w:sz w:val="30"/>
          <w:szCs w:val="30"/>
        </w:rPr>
        <w:t>碳离子</w:t>
      </w:r>
      <w:r>
        <w:rPr>
          <w:rFonts w:ascii="Times New Roman" w:eastAsia="仿宋_GB2312" w:hAnsi="Times New Roman" w:cs="Times New Roman"/>
          <w:sz w:val="30"/>
          <w:szCs w:val="30"/>
        </w:rPr>
        <w:t>/</w:t>
      </w:r>
      <w:r>
        <w:rPr>
          <w:rFonts w:ascii="Times New Roman" w:eastAsia="仿宋_GB2312" w:hAnsi="Times New Roman" w:cs="Times New Roman"/>
          <w:sz w:val="30"/>
          <w:szCs w:val="30"/>
        </w:rPr>
        <w:t>质子治疗系统生产工艺流程图</w:t>
      </w:r>
    </w:p>
    <w:p w:rsidR="00B21435" w:rsidRDefault="00B21435">
      <w:pPr>
        <w:rPr>
          <w:rFonts w:ascii="Times New Roman" w:eastAsia="仿宋_GB2312" w:hAnsi="Times New Roman" w:cs="Times New Roman"/>
          <w:sz w:val="30"/>
          <w:szCs w:val="30"/>
        </w:rPr>
        <w:sectPr w:rsidR="00B21435">
          <w:pgSz w:w="16838" w:h="11906" w:orient="landscape"/>
          <w:pgMar w:top="1800" w:right="1440" w:bottom="1800" w:left="1440" w:header="851" w:footer="992" w:gutter="0"/>
          <w:cols w:space="425"/>
          <w:docGrid w:type="lines" w:linePitch="312"/>
        </w:sectPr>
      </w:pPr>
    </w:p>
    <w:p w:rsidR="00B21435" w:rsidRDefault="00F21DBE">
      <w:pPr>
        <w:spacing w:line="560" w:lineRule="exact"/>
        <w:ind w:firstLineChars="200" w:firstLine="640"/>
        <w:outlineLvl w:val="2"/>
        <w:rPr>
          <w:rFonts w:ascii="楷体" w:eastAsia="楷体" w:hAnsi="楷体" w:cs="楷体"/>
          <w:sz w:val="32"/>
          <w:szCs w:val="32"/>
        </w:rPr>
      </w:pPr>
      <w:bookmarkStart w:id="197" w:name="_Toc17120"/>
      <w:bookmarkStart w:id="198" w:name="_Toc6731"/>
      <w:bookmarkStart w:id="199" w:name="_Toc9524"/>
      <w:bookmarkStart w:id="200" w:name="_Toc8081"/>
      <w:bookmarkStart w:id="201" w:name="_Toc6752"/>
      <w:bookmarkStart w:id="202" w:name="_Toc26158"/>
      <w:bookmarkStart w:id="203" w:name="_Toc27690"/>
      <w:bookmarkStart w:id="204" w:name="_Toc2975"/>
      <w:bookmarkStart w:id="205" w:name="_Toc10874"/>
      <w:bookmarkStart w:id="206" w:name="_Toc14598"/>
      <w:bookmarkStart w:id="207" w:name="_Toc19048"/>
      <w:bookmarkStart w:id="208" w:name="_Toc23287"/>
      <w:bookmarkStart w:id="209" w:name="_Toc6539"/>
      <w:r>
        <w:rPr>
          <w:rFonts w:ascii="楷体" w:eastAsia="楷体" w:hAnsi="楷体" w:cs="楷体" w:hint="eastAsia"/>
          <w:sz w:val="32"/>
          <w:szCs w:val="32"/>
        </w:rPr>
        <w:lastRenderedPageBreak/>
        <w:t>（二）生产环节风险点</w:t>
      </w:r>
      <w:bookmarkEnd w:id="197"/>
      <w:bookmarkEnd w:id="198"/>
      <w:bookmarkEnd w:id="199"/>
      <w:bookmarkEnd w:id="200"/>
      <w:bookmarkEnd w:id="201"/>
      <w:bookmarkEnd w:id="202"/>
      <w:bookmarkEnd w:id="203"/>
      <w:bookmarkEnd w:id="204"/>
      <w:bookmarkEnd w:id="205"/>
      <w:bookmarkEnd w:id="206"/>
      <w:bookmarkEnd w:id="207"/>
      <w:bookmarkEnd w:id="208"/>
      <w:bookmarkEnd w:id="209"/>
    </w:p>
    <w:p w:rsidR="00B21435" w:rsidRDefault="00F21DBE">
      <w:pPr>
        <w:spacing w:line="560" w:lineRule="exact"/>
        <w:ind w:firstLineChars="200" w:firstLine="640"/>
        <w:rPr>
          <w:rFonts w:ascii="仿宋_GB2312" w:eastAsia="仿宋_GB2312" w:hAnsi="Arial" w:cs="Arial"/>
          <w:color w:val="000000"/>
          <w:kern w:val="0"/>
          <w:sz w:val="32"/>
          <w:szCs w:val="28"/>
        </w:rPr>
      </w:pPr>
      <w:r>
        <w:rPr>
          <w:rFonts w:ascii="仿宋_GB2312" w:eastAsia="仿宋_GB2312" w:hAnsi="Arial" w:cs="Arial" w:hint="eastAsia"/>
          <w:color w:val="000000"/>
          <w:kern w:val="0"/>
          <w:sz w:val="32"/>
          <w:szCs w:val="28"/>
        </w:rPr>
        <w:t>碳离子/质子治疗系统因其特殊性，生产环节风险点主要存在与人员、环境（生产环境、安装环境）、设备、采购、生产、安装调试、质量控制、外协加工等方面。</w:t>
      </w:r>
    </w:p>
    <w:p w:rsidR="00B21435" w:rsidRDefault="00F21DBE">
      <w:pPr>
        <w:spacing w:line="560" w:lineRule="exact"/>
        <w:ind w:firstLineChars="200" w:firstLine="640"/>
        <w:outlineLvl w:val="3"/>
        <w:rPr>
          <w:rFonts w:ascii="仿宋_GB2312" w:eastAsia="仿宋_GB2312" w:hAnsi="Arial" w:cs="Arial"/>
          <w:color w:val="000000"/>
          <w:kern w:val="0"/>
          <w:sz w:val="32"/>
          <w:szCs w:val="28"/>
        </w:rPr>
      </w:pPr>
      <w:r>
        <w:rPr>
          <w:rFonts w:ascii="仿宋_GB2312" w:eastAsia="仿宋_GB2312" w:hAnsi="Arial" w:cs="Arial" w:hint="eastAsia"/>
          <w:color w:val="000000"/>
          <w:kern w:val="0"/>
          <w:sz w:val="32"/>
          <w:szCs w:val="28"/>
        </w:rPr>
        <w:t>1.人员：包括关键岗位人员的配备、人员能力与岗位要求的匹配等。</w:t>
      </w:r>
    </w:p>
    <w:p w:rsidR="00B21435" w:rsidRDefault="00F21DBE">
      <w:pPr>
        <w:spacing w:line="560" w:lineRule="exact"/>
        <w:ind w:firstLineChars="200" w:firstLine="640"/>
        <w:outlineLvl w:val="3"/>
        <w:rPr>
          <w:rFonts w:ascii="仿宋_GB2312" w:eastAsia="仿宋_GB2312" w:hAnsi="Arial" w:cs="Arial"/>
          <w:color w:val="000000"/>
          <w:kern w:val="0"/>
          <w:sz w:val="32"/>
          <w:szCs w:val="28"/>
        </w:rPr>
      </w:pPr>
      <w:r>
        <w:rPr>
          <w:rFonts w:ascii="仿宋_GB2312" w:eastAsia="仿宋_GB2312" w:hAnsi="Arial" w:cs="Arial" w:hint="eastAsia"/>
          <w:color w:val="000000"/>
          <w:kern w:val="0"/>
          <w:sz w:val="32"/>
          <w:szCs w:val="28"/>
        </w:rPr>
        <w:t>2.环境控制：包括生产制造商的生产场地、设备安装场地要求及检验检测环境控制三个方面。</w:t>
      </w:r>
    </w:p>
    <w:p w:rsidR="00B21435" w:rsidRDefault="00F21DBE">
      <w:pPr>
        <w:spacing w:line="560" w:lineRule="exact"/>
        <w:ind w:firstLineChars="200" w:firstLine="640"/>
        <w:outlineLvl w:val="3"/>
        <w:rPr>
          <w:rFonts w:ascii="仿宋_GB2312" w:eastAsia="仿宋_GB2312" w:hAnsi="Arial" w:cs="Arial"/>
          <w:color w:val="000000"/>
          <w:kern w:val="0"/>
          <w:sz w:val="32"/>
          <w:szCs w:val="28"/>
        </w:rPr>
      </w:pPr>
      <w:r>
        <w:rPr>
          <w:rFonts w:ascii="仿宋_GB2312" w:eastAsia="仿宋_GB2312" w:hAnsi="Arial" w:cs="Arial" w:hint="eastAsia"/>
          <w:color w:val="000000"/>
          <w:kern w:val="0"/>
          <w:sz w:val="32"/>
          <w:szCs w:val="28"/>
        </w:rPr>
        <w:t>3.设备：包括生产设备、安装设备和监视测量设备的配备、使用、维护等方面。</w:t>
      </w:r>
    </w:p>
    <w:p w:rsidR="00B21435" w:rsidRDefault="00F21DBE">
      <w:pPr>
        <w:spacing w:line="560" w:lineRule="exact"/>
        <w:ind w:firstLineChars="200" w:firstLine="640"/>
        <w:outlineLvl w:val="3"/>
        <w:rPr>
          <w:rFonts w:ascii="仿宋_GB2312" w:eastAsia="仿宋_GB2312" w:hAnsi="Arial" w:cs="Arial"/>
          <w:color w:val="000000"/>
          <w:kern w:val="0"/>
          <w:sz w:val="32"/>
          <w:szCs w:val="28"/>
        </w:rPr>
      </w:pPr>
      <w:r>
        <w:rPr>
          <w:rFonts w:ascii="仿宋_GB2312" w:eastAsia="仿宋_GB2312" w:hAnsi="Arial" w:cs="Arial" w:hint="eastAsia"/>
          <w:color w:val="000000"/>
          <w:kern w:val="0"/>
          <w:sz w:val="32"/>
          <w:szCs w:val="28"/>
        </w:rPr>
        <w:t>4.采购控制：包括子系统、关键部件及软件采购、</w:t>
      </w:r>
      <w:r>
        <w:rPr>
          <w:rFonts w:ascii="仿宋_GB2312" w:eastAsia="仿宋_GB2312" w:hAnsi="Arial" w:cs="Arial" w:hint="eastAsia"/>
          <w:color w:val="000000"/>
          <w:sz w:val="32"/>
          <w:szCs w:val="28"/>
        </w:rPr>
        <w:t>供应商</w:t>
      </w:r>
      <w:r>
        <w:rPr>
          <w:rFonts w:ascii="仿宋_GB2312" w:eastAsia="仿宋_GB2312" w:hAnsi="Arial" w:cs="Arial" w:hint="eastAsia"/>
          <w:color w:val="000000"/>
          <w:kern w:val="0"/>
          <w:sz w:val="32"/>
          <w:szCs w:val="28"/>
        </w:rPr>
        <w:t>评价审核，质量协议的签订以及外协、外包企业</w:t>
      </w:r>
      <w:r>
        <w:rPr>
          <w:rFonts w:ascii="仿宋_GB2312" w:eastAsia="仿宋_GB2312" w:hAnsi="Arial" w:cs="Arial" w:hint="eastAsia"/>
          <w:kern w:val="0"/>
          <w:sz w:val="32"/>
          <w:szCs w:val="28"/>
        </w:rPr>
        <w:t>的能力要求等。</w:t>
      </w:r>
    </w:p>
    <w:p w:rsidR="00B21435" w:rsidRDefault="00F21DBE">
      <w:pPr>
        <w:spacing w:line="560" w:lineRule="exact"/>
        <w:ind w:firstLineChars="200" w:firstLine="640"/>
        <w:outlineLvl w:val="3"/>
        <w:rPr>
          <w:rFonts w:ascii="仿宋_GB2312" w:eastAsia="仿宋_GB2312" w:hAnsi="Arial" w:cs="Arial"/>
          <w:color w:val="000000"/>
          <w:kern w:val="0"/>
          <w:sz w:val="32"/>
          <w:szCs w:val="28"/>
        </w:rPr>
      </w:pPr>
      <w:r>
        <w:rPr>
          <w:rFonts w:ascii="仿宋_GB2312" w:eastAsia="仿宋_GB2312" w:hAnsi="Arial" w:cs="Arial" w:hint="eastAsia"/>
          <w:color w:val="000000"/>
          <w:kern w:val="0"/>
          <w:sz w:val="32"/>
          <w:szCs w:val="28"/>
        </w:rPr>
        <w:t>5.生产管理：包括关键工序和特殊过程的识别、验证和确认等。</w:t>
      </w:r>
    </w:p>
    <w:p w:rsidR="00B21435" w:rsidRDefault="00F21DBE">
      <w:pPr>
        <w:spacing w:line="560" w:lineRule="exact"/>
        <w:ind w:firstLineChars="200" w:firstLine="640"/>
        <w:outlineLvl w:val="3"/>
        <w:rPr>
          <w:rFonts w:ascii="仿宋_GB2312" w:eastAsia="仿宋_GB2312" w:hAnsi="Arial" w:cs="Arial"/>
          <w:color w:val="000000"/>
          <w:kern w:val="0"/>
          <w:sz w:val="32"/>
          <w:szCs w:val="28"/>
        </w:rPr>
      </w:pPr>
      <w:r>
        <w:rPr>
          <w:rFonts w:ascii="仿宋_GB2312" w:eastAsia="仿宋_GB2312" w:hAnsi="Arial" w:cs="Arial" w:hint="eastAsia"/>
          <w:color w:val="000000"/>
          <w:kern w:val="0"/>
          <w:sz w:val="32"/>
          <w:szCs w:val="28"/>
        </w:rPr>
        <w:t>6.安装调试：包括各安装调试工序作业文件的制定，各设备的安装、调试以及束流调试等。</w:t>
      </w:r>
    </w:p>
    <w:p w:rsidR="00B21435" w:rsidRDefault="00F21DBE">
      <w:pPr>
        <w:spacing w:line="560" w:lineRule="exact"/>
        <w:ind w:firstLineChars="200" w:firstLine="640"/>
        <w:outlineLvl w:val="3"/>
        <w:rPr>
          <w:rFonts w:ascii="仿宋_GB2312" w:eastAsia="仿宋_GB2312" w:hAnsi="Arial" w:cs="Arial"/>
          <w:color w:val="000000"/>
          <w:kern w:val="0"/>
          <w:sz w:val="32"/>
          <w:szCs w:val="28"/>
        </w:rPr>
      </w:pPr>
      <w:r>
        <w:rPr>
          <w:rFonts w:ascii="仿宋_GB2312" w:eastAsia="仿宋_GB2312" w:hAnsi="Arial" w:cs="Arial" w:hint="eastAsia"/>
          <w:color w:val="000000"/>
          <w:kern w:val="0"/>
          <w:sz w:val="32"/>
          <w:szCs w:val="28"/>
        </w:rPr>
        <w:t>7.质量控制：主要包括原材料、关键部件及软件的采购检验、过程检验、成品检验、计算机软件确认、不合格品控制、生产放行、上市放行、运行维护等。</w:t>
      </w:r>
    </w:p>
    <w:p w:rsidR="00B21435" w:rsidRDefault="00F21DBE">
      <w:pPr>
        <w:spacing w:line="560" w:lineRule="exact"/>
        <w:ind w:firstLineChars="200" w:firstLine="640"/>
        <w:outlineLvl w:val="3"/>
        <w:rPr>
          <w:rFonts w:ascii="仿宋_GB2312" w:eastAsia="仿宋_GB2312" w:hAnsi="仿宋_GB2312" w:cs="仿宋_GB2312"/>
          <w:color w:val="000000"/>
          <w:kern w:val="0"/>
          <w:sz w:val="32"/>
          <w:szCs w:val="28"/>
        </w:rPr>
      </w:pPr>
      <w:r>
        <w:rPr>
          <w:rFonts w:ascii="仿宋_GB2312" w:eastAsia="仿宋_GB2312" w:hAnsi="Arial" w:cs="Arial" w:hint="eastAsia"/>
          <w:color w:val="000000"/>
          <w:kern w:val="0"/>
          <w:sz w:val="32"/>
          <w:szCs w:val="28"/>
        </w:rPr>
        <w:t>8.外协加工：</w:t>
      </w:r>
      <w:r>
        <w:rPr>
          <w:rFonts w:ascii="仿宋_GB2312" w:eastAsia="仿宋_GB2312" w:hAnsi="Arial" w:cs="Arial" w:hint="eastAsia"/>
          <w:kern w:val="0"/>
          <w:sz w:val="32"/>
          <w:szCs w:val="28"/>
        </w:rPr>
        <w:t>包括</w:t>
      </w:r>
      <w:r>
        <w:rPr>
          <w:rFonts w:ascii="仿宋_GB2312" w:eastAsia="仿宋_GB2312" w:hAnsi="仿宋_GB2312" w:cs="仿宋_GB2312" w:hint="eastAsia"/>
          <w:kern w:val="0"/>
          <w:sz w:val="32"/>
          <w:szCs w:val="28"/>
        </w:rPr>
        <w:t>注册人的主体责任落实、</w:t>
      </w:r>
      <w:r>
        <w:rPr>
          <w:rFonts w:ascii="仿宋_GB2312" w:eastAsia="仿宋_GB2312" w:hAnsi="Arial" w:cs="Arial" w:hint="eastAsia"/>
          <w:kern w:val="0"/>
          <w:sz w:val="32"/>
          <w:szCs w:val="28"/>
        </w:rPr>
        <w:t>制造商的</w:t>
      </w:r>
      <w:r>
        <w:rPr>
          <w:rFonts w:ascii="仿宋_GB2312" w:eastAsia="仿宋_GB2312" w:hAnsi="仿宋_GB2312" w:cs="仿宋_GB2312" w:hint="eastAsia"/>
          <w:kern w:val="0"/>
          <w:sz w:val="32"/>
          <w:szCs w:val="28"/>
        </w:rPr>
        <w:t>生产及质量保证能力、生产变更控制及不合格控制等。</w:t>
      </w:r>
    </w:p>
    <w:p w:rsidR="00B21435" w:rsidRDefault="00F21DBE">
      <w:pPr>
        <w:spacing w:line="560" w:lineRule="exact"/>
        <w:ind w:firstLineChars="200" w:firstLine="640"/>
        <w:outlineLvl w:val="2"/>
        <w:rPr>
          <w:rFonts w:eastAsia="楷体"/>
        </w:rPr>
      </w:pPr>
      <w:bookmarkStart w:id="210" w:name="_Toc7922"/>
      <w:bookmarkStart w:id="211" w:name="_Toc26488"/>
      <w:bookmarkStart w:id="212" w:name="_Toc19160"/>
      <w:bookmarkStart w:id="213" w:name="_Toc25112"/>
      <w:bookmarkStart w:id="214" w:name="_Toc16999"/>
      <w:bookmarkStart w:id="215" w:name="_Toc12622"/>
      <w:bookmarkStart w:id="216" w:name="_Toc12143"/>
      <w:bookmarkStart w:id="217" w:name="_Toc4458"/>
      <w:bookmarkStart w:id="218" w:name="_Toc21968"/>
      <w:bookmarkStart w:id="219" w:name="_Toc8529"/>
      <w:bookmarkStart w:id="220" w:name="_Toc26966"/>
      <w:bookmarkStart w:id="221" w:name="_Toc24607"/>
      <w:bookmarkStart w:id="222" w:name="_Toc24247"/>
      <w:r>
        <w:rPr>
          <w:rFonts w:ascii="楷体" w:eastAsia="楷体" w:hAnsi="楷体" w:cs="楷体" w:hint="eastAsia"/>
          <w:sz w:val="32"/>
          <w:szCs w:val="32"/>
        </w:rPr>
        <w:t>（三）生产质量管理关键控制点</w:t>
      </w:r>
      <w:bookmarkEnd w:id="210"/>
      <w:bookmarkEnd w:id="211"/>
      <w:bookmarkEnd w:id="212"/>
      <w:bookmarkEnd w:id="213"/>
      <w:bookmarkEnd w:id="214"/>
      <w:bookmarkEnd w:id="215"/>
      <w:bookmarkEnd w:id="216"/>
      <w:bookmarkEnd w:id="217"/>
      <w:bookmarkEnd w:id="218"/>
      <w:bookmarkEnd w:id="219"/>
      <w:bookmarkEnd w:id="220"/>
      <w:bookmarkEnd w:id="221"/>
      <w:bookmarkEnd w:id="222"/>
    </w:p>
    <w:p w:rsidR="00B21435" w:rsidRDefault="00F21DBE">
      <w:pPr>
        <w:spacing w:line="560" w:lineRule="exact"/>
        <w:ind w:firstLine="697"/>
        <w:rPr>
          <w:rFonts w:ascii="仿宋_GB2312" w:eastAsia="仿宋_GB2312" w:hAnsi="仿宋_GB2312" w:cs="仿宋_GB2312"/>
          <w:kern w:val="0"/>
          <w:sz w:val="32"/>
          <w:szCs w:val="28"/>
        </w:rPr>
      </w:pPr>
      <w:bookmarkStart w:id="223" w:name="_Toc30867"/>
      <w:bookmarkStart w:id="224" w:name="_Toc9436"/>
      <w:bookmarkStart w:id="225" w:name="_Toc18445"/>
      <w:bookmarkStart w:id="226" w:name="_Toc31080"/>
      <w:bookmarkStart w:id="227" w:name="_Toc11655"/>
      <w:bookmarkStart w:id="228" w:name="_Toc25757"/>
      <w:bookmarkStart w:id="229" w:name="_Toc30460"/>
      <w:bookmarkStart w:id="230" w:name="_Toc18741"/>
      <w:bookmarkStart w:id="231" w:name="_Toc12232"/>
      <w:bookmarkStart w:id="232" w:name="_Toc27801"/>
      <w:bookmarkStart w:id="233" w:name="_Toc32306"/>
      <w:bookmarkStart w:id="234" w:name="_Toc4019"/>
      <w:bookmarkStart w:id="235" w:name="_Toc9169"/>
      <w:r>
        <w:rPr>
          <w:rFonts w:ascii="仿宋_GB2312" w:eastAsia="仿宋_GB2312" w:hAnsi="仿宋_GB2312" w:cs="仿宋_GB2312" w:hint="eastAsia"/>
          <w:kern w:val="0"/>
          <w:sz w:val="32"/>
          <w:szCs w:val="28"/>
        </w:rPr>
        <w:t>1.人员：企业应结合产品生产规模和工艺岗位特点，明</w:t>
      </w:r>
      <w:r>
        <w:rPr>
          <w:rFonts w:ascii="仿宋_GB2312" w:eastAsia="仿宋_GB2312" w:hAnsi="仿宋_GB2312" w:cs="仿宋_GB2312" w:hint="eastAsia"/>
          <w:kern w:val="0"/>
          <w:sz w:val="32"/>
          <w:szCs w:val="28"/>
        </w:rPr>
        <w:lastRenderedPageBreak/>
        <w:t>确各关键岗位人员的配备数量和任职资格要求。任职资格应包括专业及学历要求、工作经历、考核评价等内容。关键岗位人员应至少包括设计、生产、采购、安装、检测、运维以及核安全管理人员。</w:t>
      </w:r>
    </w:p>
    <w:p w:rsidR="00B21435" w:rsidRDefault="00F21DBE">
      <w:pPr>
        <w:spacing w:line="560" w:lineRule="exact"/>
        <w:ind w:firstLine="697"/>
        <w:rPr>
          <w:rFonts w:ascii="仿宋_GB2312" w:eastAsia="仿宋_GB2312" w:hAnsi="仿宋_GB2312" w:cs="仿宋_GB2312"/>
          <w:kern w:val="0"/>
          <w:sz w:val="32"/>
          <w:szCs w:val="28"/>
        </w:rPr>
      </w:pPr>
      <w:r>
        <w:rPr>
          <w:rFonts w:ascii="仿宋_GB2312" w:eastAsia="仿宋_GB2312" w:hAnsi="仿宋_GB2312" w:cs="仿宋_GB2312" w:hint="eastAsia"/>
          <w:kern w:val="0"/>
          <w:sz w:val="32"/>
          <w:szCs w:val="28"/>
        </w:rPr>
        <w:t>2.环境控制：企业应明确生产制造、安装调试、检测所需的环境要求。生产制造环境要求应至少包括生产制造所需的基本条件，如能源、通风、温度、湿度、给排水、压缩空气等。生产制造工艺有特殊要求的，应当有明确要求，如辐射屏蔽厂房、</w:t>
      </w:r>
      <w:r>
        <w:rPr>
          <w:rFonts w:ascii="仿宋_GB2312" w:eastAsia="仿宋_GB2312" w:hAnsi="仿宋_GB2312" w:cs="仿宋_GB2312" w:hint="eastAsia"/>
          <w:kern w:val="0"/>
          <w:sz w:val="32"/>
          <w:szCs w:val="28"/>
        </w:rPr>
        <w:fldChar w:fldCharType="begin"/>
      </w:r>
      <w:r>
        <w:rPr>
          <w:rFonts w:ascii="仿宋_GB2312" w:eastAsia="仿宋_GB2312" w:hAnsi="仿宋_GB2312" w:cs="仿宋_GB2312" w:hint="eastAsia"/>
          <w:kern w:val="0"/>
          <w:sz w:val="32"/>
          <w:szCs w:val="28"/>
        </w:rPr>
        <w:instrText xml:space="preserve"> = 1 \* ROMAN \* MERGEFORMAT </w:instrText>
      </w:r>
      <w:r>
        <w:rPr>
          <w:rFonts w:ascii="仿宋_GB2312" w:eastAsia="仿宋_GB2312" w:hAnsi="仿宋_GB2312" w:cs="仿宋_GB2312" w:hint="eastAsia"/>
          <w:kern w:val="0"/>
          <w:sz w:val="32"/>
          <w:szCs w:val="28"/>
        </w:rPr>
        <w:fldChar w:fldCharType="separate"/>
      </w:r>
      <w:r>
        <w:rPr>
          <w:rFonts w:ascii="仿宋_GB2312" w:eastAsia="仿宋_GB2312" w:hAnsi="仿宋_GB2312" w:cs="仿宋_GB2312" w:hint="eastAsia"/>
          <w:kern w:val="0"/>
          <w:sz w:val="32"/>
          <w:szCs w:val="28"/>
        </w:rPr>
        <w:t>I</w:t>
      </w:r>
      <w:r>
        <w:rPr>
          <w:rFonts w:ascii="仿宋_GB2312" w:eastAsia="仿宋_GB2312" w:hAnsi="仿宋_GB2312" w:cs="仿宋_GB2312" w:hint="eastAsia"/>
          <w:kern w:val="0"/>
          <w:sz w:val="32"/>
          <w:szCs w:val="28"/>
        </w:rPr>
        <w:fldChar w:fldCharType="end"/>
      </w:r>
      <w:r>
        <w:rPr>
          <w:rFonts w:ascii="仿宋_GB2312" w:eastAsia="仿宋_GB2312" w:hAnsi="仿宋_GB2312" w:cs="仿宋_GB2312" w:hint="eastAsia"/>
          <w:kern w:val="0"/>
          <w:sz w:val="32"/>
          <w:szCs w:val="28"/>
        </w:rPr>
        <w:t>类或Ⅱ类射线装置辐射安全设施等。安装调试环境要求应至少包括进场前土建验收要求、临时水电、通风照明、起重机等设施要求。检测环境应明确检测所需的基本要求，如空间、通风、温度、湿度、噪声、大气压力、洁净度、微波屏蔽等要求。</w:t>
      </w:r>
    </w:p>
    <w:p w:rsidR="00B21435" w:rsidRDefault="00F21DBE">
      <w:pPr>
        <w:spacing w:line="560" w:lineRule="exact"/>
        <w:ind w:firstLine="697"/>
        <w:rPr>
          <w:rFonts w:ascii="仿宋_GB2312" w:eastAsia="仿宋_GB2312" w:hAnsi="仿宋_GB2312" w:cs="仿宋_GB2312"/>
          <w:kern w:val="0"/>
          <w:sz w:val="32"/>
          <w:szCs w:val="28"/>
        </w:rPr>
      </w:pPr>
      <w:r>
        <w:rPr>
          <w:rFonts w:ascii="仿宋_GB2312" w:eastAsia="仿宋_GB2312" w:hAnsi="仿宋_GB2312" w:cs="仿宋_GB2312" w:hint="eastAsia"/>
          <w:kern w:val="0"/>
          <w:sz w:val="32"/>
          <w:szCs w:val="28"/>
        </w:rPr>
        <w:t>3.设备：企业应明确生产制造、安装调试、检验检测所需的设备及配备要求，主要设备应建立使用、维护保养、检定校准等操作规程及制度文件。对外部方提供的设备，企业应保证设备的受控，确保关键设备的验证或确认等有效性评价文件的可追溯。</w:t>
      </w:r>
    </w:p>
    <w:p w:rsidR="00B21435" w:rsidRDefault="00F21DBE">
      <w:pPr>
        <w:spacing w:line="560" w:lineRule="exact"/>
        <w:ind w:firstLine="697"/>
        <w:rPr>
          <w:rFonts w:ascii="仿宋_GB2312" w:eastAsia="仿宋_GB2312" w:hAnsi="仿宋_GB2312" w:cs="仿宋_GB2312"/>
          <w:kern w:val="0"/>
          <w:sz w:val="32"/>
          <w:szCs w:val="28"/>
        </w:rPr>
      </w:pPr>
      <w:r>
        <w:rPr>
          <w:rFonts w:ascii="仿宋_GB2312" w:eastAsia="仿宋_GB2312" w:hAnsi="仿宋_GB2312" w:cs="仿宋_GB2312" w:hint="eastAsia"/>
          <w:kern w:val="0"/>
          <w:sz w:val="32"/>
          <w:szCs w:val="28"/>
        </w:rPr>
        <w:t>4.采购控制：企业应对加速器子系统（包括：注入器系统、主加速器系统、束流传输系统）、治疗子系统中旋转机架系统、子系统中扫描磁铁电源、图像引导系统（例如：DR图像引导定位系统、CT图像引导系统）、患者支撑装置以及治疗控制系统、治疗计划系统软件等关键部件或子系统供应商进行评价，包括过程审核和现场审核。外协、外包供应商</w:t>
      </w:r>
      <w:r>
        <w:rPr>
          <w:rFonts w:ascii="仿宋_GB2312" w:eastAsia="仿宋_GB2312" w:hAnsi="仿宋_GB2312" w:cs="仿宋_GB2312" w:hint="eastAsia"/>
          <w:kern w:val="0"/>
          <w:sz w:val="32"/>
          <w:szCs w:val="28"/>
        </w:rPr>
        <w:lastRenderedPageBreak/>
        <w:t>应具备加速器子系统关键部件的生产、总装、测试和售后维保能力。</w:t>
      </w:r>
    </w:p>
    <w:p w:rsidR="00B21435" w:rsidRDefault="00F21DBE">
      <w:pPr>
        <w:spacing w:line="560" w:lineRule="exact"/>
        <w:ind w:firstLine="697"/>
        <w:rPr>
          <w:rFonts w:ascii="仿宋_GB2312" w:eastAsia="仿宋_GB2312" w:hAnsi="仿宋_GB2312" w:cs="仿宋_GB2312"/>
          <w:kern w:val="0"/>
          <w:sz w:val="32"/>
          <w:szCs w:val="28"/>
        </w:rPr>
      </w:pPr>
      <w:r>
        <w:rPr>
          <w:rFonts w:ascii="仿宋_GB2312" w:eastAsia="仿宋_GB2312" w:hAnsi="仿宋_GB2312" w:cs="仿宋_GB2312" w:hint="eastAsia"/>
          <w:kern w:val="0"/>
          <w:sz w:val="32"/>
          <w:szCs w:val="28"/>
        </w:rPr>
        <w:t>5.生产管理：企业应对识别的特殊过程和关键工序进行确认或验证。离子源系统、高频系统、电源系统、束流诊断系统、辐射防护系统、加速器控制系统、治疗控制系统、治疗计划系统、真空系统等设备应按照制定的作业文件进行生产、调试。</w:t>
      </w:r>
    </w:p>
    <w:p w:rsidR="00B21435" w:rsidRDefault="00F21DBE">
      <w:pPr>
        <w:spacing w:line="560" w:lineRule="exact"/>
        <w:ind w:firstLine="697"/>
        <w:rPr>
          <w:rFonts w:ascii="仿宋_GB2312" w:eastAsia="仿宋_GB2312" w:hAnsi="仿宋_GB2312" w:cs="仿宋_GB2312"/>
          <w:kern w:val="0"/>
          <w:sz w:val="32"/>
          <w:szCs w:val="28"/>
        </w:rPr>
      </w:pPr>
      <w:r>
        <w:rPr>
          <w:rFonts w:ascii="仿宋_GB2312" w:eastAsia="仿宋_GB2312" w:hAnsi="仿宋_GB2312" w:cs="仿宋_GB2312" w:hint="eastAsia"/>
          <w:kern w:val="0"/>
          <w:sz w:val="32"/>
          <w:szCs w:val="28"/>
        </w:rPr>
        <w:t>6.安装调试：企业应制定各系统安装和调试作业文件，并按照制定的作业文件、机械总图和安装工艺要求对设备进行上线前的检查、标定以及安装准直和调试，确保设备安装精度及功能性能满足要求。安装调试仪器设备应经过检验或校准，以确保设备性能稳定，结果可靠。安装、调试记录应能完整体现安装调试全过程，并满足可追溯性要求。</w:t>
      </w:r>
    </w:p>
    <w:p w:rsidR="00B21435" w:rsidRDefault="00F21DBE">
      <w:pPr>
        <w:spacing w:line="560" w:lineRule="exact"/>
        <w:ind w:firstLine="697"/>
        <w:rPr>
          <w:rFonts w:ascii="仿宋_GB2312" w:eastAsia="仿宋_GB2312" w:hAnsi="仿宋_GB2312" w:cs="仿宋_GB2312"/>
          <w:kern w:val="0"/>
          <w:sz w:val="32"/>
          <w:szCs w:val="28"/>
        </w:rPr>
      </w:pPr>
      <w:r>
        <w:rPr>
          <w:rFonts w:ascii="仿宋_GB2312" w:eastAsia="仿宋_GB2312" w:hAnsi="仿宋_GB2312" w:cs="仿宋_GB2312" w:hint="eastAsia"/>
          <w:kern w:val="0"/>
          <w:sz w:val="32"/>
          <w:szCs w:val="28"/>
        </w:rPr>
        <w:t>7.质量控制：企业应制定质量控制文件，并按照制定的文件对来料、过程、成品进行检验，出具相应的检验报告，确保报告与规程、技术要求的一致性。</w:t>
      </w:r>
      <w:r>
        <w:rPr>
          <w:rFonts w:ascii="仿宋_GB2312" w:eastAsia="仿宋_GB2312" w:hAnsi="仿宋_GB2312" w:cs="仿宋_GB2312" w:hint="eastAsia"/>
          <w:sz w:val="32"/>
          <w:szCs w:val="32"/>
        </w:rPr>
        <w:t>对来料检验、过程检验、成品检验过程中发现的不合格品应按文件要求进行评审、处置等。企业应进行计算机软件确认、运行维护质量控制、生产放行、上市放行等质量活动，保留相应记录，满足可追溯的要求。</w:t>
      </w:r>
    </w:p>
    <w:p w:rsidR="00B21435" w:rsidRDefault="00F21DBE">
      <w:pPr>
        <w:spacing w:line="560" w:lineRule="exact"/>
        <w:ind w:firstLine="697"/>
        <w:rPr>
          <w:rFonts w:ascii="仿宋_GB2312" w:eastAsia="仿宋_GB2312" w:hAnsi="仿宋_GB2312" w:cs="仿宋_GB2312"/>
          <w:kern w:val="0"/>
          <w:sz w:val="32"/>
          <w:szCs w:val="28"/>
        </w:rPr>
      </w:pPr>
      <w:r>
        <w:rPr>
          <w:rFonts w:ascii="仿宋_GB2312" w:eastAsia="仿宋_GB2312" w:hAnsi="仿宋_GB2312" w:cs="仿宋_GB2312" w:hint="eastAsia"/>
          <w:kern w:val="0"/>
          <w:sz w:val="32"/>
          <w:szCs w:val="28"/>
        </w:rPr>
        <w:t>8.外协加工：外协加工协议和质量协议应明确双方权利、义务和责任。制造商应按照法律法规、医疗器械生产质量管理规范、强制性标准、技术要求、外协加工协议和质量协议组织生产。当发生变更时应经过评估及批准，并按照批准的</w:t>
      </w:r>
      <w:r>
        <w:rPr>
          <w:rFonts w:ascii="仿宋_GB2312" w:eastAsia="仿宋_GB2312" w:hAnsi="仿宋_GB2312" w:cs="仿宋_GB2312" w:hint="eastAsia"/>
          <w:kern w:val="0"/>
          <w:sz w:val="32"/>
          <w:szCs w:val="28"/>
        </w:rPr>
        <w:lastRenderedPageBreak/>
        <w:t>变更方案实施变更。需求方应按照协议要求进行验收工作，验收记录完整可追溯。</w:t>
      </w:r>
    </w:p>
    <w:p w:rsidR="00B21435" w:rsidRDefault="00F21DBE">
      <w:pPr>
        <w:spacing w:line="560" w:lineRule="exact"/>
        <w:outlineLvl w:val="1"/>
        <w:rPr>
          <w:rFonts w:ascii="Arial" w:eastAsia="黑体" w:hAnsi="Arial" w:cs="Arial"/>
          <w:kern w:val="0"/>
          <w:sz w:val="36"/>
          <w:szCs w:val="36"/>
        </w:rPr>
      </w:pPr>
      <w:r>
        <w:rPr>
          <w:rFonts w:ascii="Arial" w:eastAsia="黑体" w:hAnsi="Arial" w:cs="Arial" w:hint="eastAsia"/>
          <w:kern w:val="0"/>
          <w:sz w:val="36"/>
          <w:szCs w:val="36"/>
        </w:rPr>
        <w:t>四、检查要点</w:t>
      </w:r>
      <w:bookmarkEnd w:id="223"/>
      <w:bookmarkEnd w:id="224"/>
      <w:bookmarkEnd w:id="225"/>
      <w:bookmarkEnd w:id="226"/>
      <w:bookmarkEnd w:id="227"/>
      <w:bookmarkEnd w:id="228"/>
      <w:bookmarkEnd w:id="229"/>
      <w:bookmarkEnd w:id="230"/>
      <w:bookmarkEnd w:id="231"/>
      <w:bookmarkEnd w:id="232"/>
      <w:bookmarkEnd w:id="233"/>
      <w:bookmarkEnd w:id="234"/>
      <w:bookmarkEnd w:id="235"/>
    </w:p>
    <w:p w:rsidR="00B21435" w:rsidRDefault="00F21DBE">
      <w:pPr>
        <w:spacing w:line="560" w:lineRule="exact"/>
        <w:ind w:firstLineChars="200" w:firstLine="640"/>
        <w:outlineLvl w:val="2"/>
        <w:rPr>
          <w:rFonts w:ascii="楷体" w:eastAsia="楷体" w:hAnsi="楷体" w:cs="楷体"/>
          <w:sz w:val="32"/>
          <w:szCs w:val="32"/>
        </w:rPr>
      </w:pPr>
      <w:bookmarkStart w:id="236" w:name="_Toc7545"/>
      <w:bookmarkStart w:id="237" w:name="_Toc3401"/>
      <w:bookmarkStart w:id="238" w:name="_Toc10436"/>
      <w:bookmarkStart w:id="239" w:name="_Toc3078"/>
      <w:bookmarkStart w:id="240" w:name="_Toc32171"/>
      <w:bookmarkStart w:id="241" w:name="_Toc6307"/>
      <w:bookmarkStart w:id="242" w:name="_Toc14378"/>
      <w:bookmarkStart w:id="243" w:name="_Toc28079"/>
      <w:bookmarkStart w:id="244" w:name="_Toc10880"/>
      <w:bookmarkStart w:id="245" w:name="_Toc11177"/>
      <w:bookmarkStart w:id="246" w:name="_Toc15908"/>
      <w:bookmarkStart w:id="247" w:name="_Toc18549"/>
      <w:bookmarkStart w:id="248" w:name="_Toc12683"/>
      <w:r>
        <w:rPr>
          <w:rFonts w:ascii="楷体" w:eastAsia="楷体" w:hAnsi="楷体" w:cs="楷体" w:hint="eastAsia"/>
          <w:sz w:val="32"/>
          <w:szCs w:val="32"/>
        </w:rPr>
        <w:t>（一）机构和人员</w:t>
      </w:r>
      <w:bookmarkEnd w:id="236"/>
      <w:bookmarkEnd w:id="237"/>
      <w:bookmarkEnd w:id="238"/>
      <w:bookmarkEnd w:id="239"/>
      <w:bookmarkEnd w:id="240"/>
      <w:bookmarkEnd w:id="241"/>
      <w:bookmarkEnd w:id="242"/>
      <w:bookmarkEnd w:id="243"/>
      <w:bookmarkEnd w:id="244"/>
      <w:bookmarkEnd w:id="245"/>
      <w:bookmarkEnd w:id="246"/>
      <w:bookmarkEnd w:id="247"/>
      <w:bookmarkEnd w:id="248"/>
    </w:p>
    <w:p w:rsidR="00B21435" w:rsidRDefault="00F21DBE">
      <w:pPr>
        <w:spacing w:line="560" w:lineRule="exact"/>
        <w:ind w:firstLineChars="200" w:firstLine="636"/>
        <w:rPr>
          <w:rFonts w:ascii="仿宋_GB2312" w:eastAsia="仿宋_GB2312" w:hAnsi="Arial" w:cs="Arial"/>
          <w:color w:val="000000"/>
          <w:spacing w:val="-1"/>
          <w:sz w:val="32"/>
          <w:szCs w:val="28"/>
        </w:rPr>
      </w:pPr>
      <w:bookmarkStart w:id="249" w:name="_Toc9034"/>
      <w:bookmarkStart w:id="250" w:name="_Toc31203"/>
      <w:bookmarkStart w:id="251" w:name="_Toc31158"/>
      <w:bookmarkStart w:id="252" w:name="_Toc19791"/>
      <w:bookmarkStart w:id="253" w:name="_Toc16795"/>
      <w:bookmarkStart w:id="254" w:name="_Toc6663"/>
      <w:bookmarkStart w:id="255" w:name="_Toc7751"/>
      <w:bookmarkStart w:id="256" w:name="_Toc5853"/>
      <w:bookmarkStart w:id="257" w:name="_Toc5364"/>
      <w:bookmarkStart w:id="258" w:name="_Toc3655"/>
      <w:bookmarkStart w:id="259" w:name="_Toc6675"/>
      <w:bookmarkStart w:id="260" w:name="_Toc32767"/>
      <w:r>
        <w:rPr>
          <w:rFonts w:ascii="仿宋_GB2312" w:eastAsia="仿宋_GB2312" w:hAnsi="Arial" w:cs="Arial" w:hint="eastAsia"/>
          <w:color w:val="000000"/>
          <w:spacing w:val="-1"/>
          <w:sz w:val="32"/>
          <w:szCs w:val="28"/>
        </w:rPr>
        <w:t>企业应当建立与碳离子/质子治疗系统生产相适应的组织机构，以保证产品的设计和生产符合质量管理体系相关法规要求，</w:t>
      </w:r>
      <w:r>
        <w:rPr>
          <w:rFonts w:ascii="仿宋_GB2312" w:eastAsia="仿宋_GB2312" w:hAnsi="仿宋_GB2312" w:cs="仿宋_GB2312" w:hint="eastAsia"/>
          <w:color w:val="000000"/>
          <w:spacing w:val="-1"/>
          <w:sz w:val="32"/>
          <w:szCs w:val="28"/>
        </w:rPr>
        <w:t>配备足够数量且能力满足的人员。</w:t>
      </w:r>
    </w:p>
    <w:p w:rsidR="00B21435" w:rsidRDefault="00F21DBE">
      <w:pPr>
        <w:pStyle w:val="4"/>
        <w:ind w:firstLine="640"/>
      </w:pPr>
      <w:r>
        <w:rPr>
          <w:rFonts w:hint="eastAsia"/>
        </w:rPr>
        <w:t>1.</w:t>
      </w:r>
      <w:r>
        <w:rPr>
          <w:rFonts w:hint="eastAsia"/>
        </w:rPr>
        <w:t>组织机构</w:t>
      </w:r>
      <w:bookmarkEnd w:id="249"/>
      <w:bookmarkEnd w:id="250"/>
      <w:bookmarkEnd w:id="251"/>
      <w:bookmarkEnd w:id="252"/>
      <w:bookmarkEnd w:id="253"/>
      <w:bookmarkEnd w:id="254"/>
      <w:bookmarkEnd w:id="255"/>
      <w:bookmarkEnd w:id="256"/>
      <w:bookmarkEnd w:id="257"/>
      <w:bookmarkEnd w:id="258"/>
      <w:bookmarkEnd w:id="259"/>
      <w:bookmarkEnd w:id="260"/>
    </w:p>
    <w:p w:rsidR="00B21435" w:rsidRDefault="00F21DBE">
      <w:pPr>
        <w:spacing w:line="560" w:lineRule="exact"/>
        <w:ind w:firstLineChars="200" w:firstLine="636"/>
        <w:rPr>
          <w:rFonts w:ascii="仿宋_GB2312" w:eastAsia="仿宋_GB2312" w:hAnsi="Arial" w:cs="Arial"/>
          <w:color w:val="000000"/>
          <w:spacing w:val="-1"/>
          <w:sz w:val="32"/>
          <w:szCs w:val="28"/>
        </w:rPr>
      </w:pPr>
      <w:r>
        <w:rPr>
          <w:rFonts w:ascii="仿宋_GB2312" w:eastAsia="仿宋_GB2312" w:hAnsi="Arial" w:cs="Arial" w:hint="eastAsia"/>
          <w:color w:val="000000"/>
          <w:spacing w:val="-1"/>
          <w:sz w:val="32"/>
          <w:szCs w:val="28"/>
        </w:rPr>
        <w:t>企业应建立与生产产品相适应的组织机构，至少应设置技术、采购、生产、质量、销售、运维等职能部门，岗位职责中应明确各部门的职责和权限，明确质量管理职能以及相互沟通的关系。</w:t>
      </w:r>
    </w:p>
    <w:p w:rsidR="00B21435" w:rsidRDefault="00F21DBE">
      <w:pPr>
        <w:pStyle w:val="4"/>
        <w:ind w:firstLine="640"/>
      </w:pPr>
      <w:bookmarkStart w:id="261" w:name="_Toc6264"/>
      <w:bookmarkStart w:id="262" w:name="_Toc14044"/>
      <w:bookmarkStart w:id="263" w:name="_Toc4327"/>
      <w:bookmarkStart w:id="264" w:name="_Toc17789"/>
      <w:bookmarkStart w:id="265" w:name="_Toc30310"/>
      <w:bookmarkStart w:id="266" w:name="_Toc13740"/>
      <w:bookmarkStart w:id="267" w:name="_Toc9988"/>
      <w:bookmarkStart w:id="268" w:name="_Toc16466"/>
      <w:bookmarkStart w:id="269" w:name="_Toc11512"/>
      <w:bookmarkStart w:id="270" w:name="_Toc22634"/>
      <w:bookmarkStart w:id="271" w:name="_Toc642"/>
      <w:bookmarkStart w:id="272" w:name="_Toc13811"/>
      <w:r>
        <w:rPr>
          <w:rFonts w:hint="eastAsia"/>
        </w:rPr>
        <w:t>2.</w:t>
      </w:r>
      <w:r>
        <w:rPr>
          <w:rFonts w:hint="eastAsia"/>
        </w:rPr>
        <w:t>关键岗位人员</w:t>
      </w:r>
      <w:bookmarkEnd w:id="261"/>
      <w:bookmarkEnd w:id="262"/>
      <w:bookmarkEnd w:id="263"/>
      <w:bookmarkEnd w:id="264"/>
      <w:bookmarkEnd w:id="265"/>
      <w:bookmarkEnd w:id="266"/>
      <w:bookmarkEnd w:id="267"/>
      <w:bookmarkEnd w:id="268"/>
      <w:bookmarkEnd w:id="269"/>
      <w:bookmarkEnd w:id="270"/>
      <w:bookmarkEnd w:id="271"/>
      <w:bookmarkEnd w:id="272"/>
    </w:p>
    <w:p w:rsidR="00B21435" w:rsidRDefault="00A62EAD">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1）企业负责人、管理者代表及生产、技术、采购、运维、质量管理部门负责人和成品放行、上市放行人员应具备相应的专业知识水平、工作技能和实践经验，满足任职资格要求。企业应制定关键岗位人员考核、评价的制度，并按规定进行考核评价并保留相应记录。</w:t>
      </w:r>
    </w:p>
    <w:p w:rsidR="00B21435" w:rsidRDefault="00A62EAD">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2）企业应对影响产品质量的关键岗位（技术研发、从事关键和特殊生产过程、安装调试、检验检测、运行维护等）人员所必须具备的专业知识水平、工作技能、实践经验</w:t>
      </w:r>
      <w:proofErr w:type="gramStart"/>
      <w:r w:rsidR="00F21DBE">
        <w:rPr>
          <w:rFonts w:ascii="仿宋_GB2312" w:eastAsia="仿宋_GB2312" w:hAnsi="Arial" w:cs="Arial" w:hint="eastAsia"/>
          <w:color w:val="000000"/>
          <w:sz w:val="32"/>
          <w:szCs w:val="28"/>
        </w:rPr>
        <w:t>作出</w:t>
      </w:r>
      <w:proofErr w:type="gramEnd"/>
      <w:r w:rsidR="00F21DBE">
        <w:rPr>
          <w:rFonts w:ascii="仿宋_GB2312" w:eastAsia="仿宋_GB2312" w:hAnsi="Arial" w:cs="Arial" w:hint="eastAsia"/>
          <w:color w:val="000000"/>
          <w:sz w:val="32"/>
          <w:szCs w:val="28"/>
        </w:rPr>
        <w:t>规定，应按规定进行培训评价并保留相应记录。</w:t>
      </w:r>
    </w:p>
    <w:p w:rsidR="00B21435" w:rsidRDefault="00F21DBE">
      <w:pPr>
        <w:pStyle w:val="4"/>
        <w:keepNext w:val="0"/>
        <w:keepLines w:val="0"/>
        <w:ind w:firstLine="640"/>
        <w:rPr>
          <w:rFonts w:ascii="仿宋_GB2312" w:hAnsi="Arial" w:cs="Arial"/>
          <w:color w:val="000000"/>
        </w:rPr>
      </w:pPr>
      <w:r>
        <w:rPr>
          <w:rFonts w:ascii="仿宋_GB2312" w:hAnsi="Arial" w:cs="Arial" w:hint="eastAsia"/>
          <w:color w:val="000000"/>
        </w:rPr>
        <w:t>3.人员能力</w:t>
      </w:r>
    </w:p>
    <w:p w:rsidR="00B21435" w:rsidRDefault="00F21DBE">
      <w:pPr>
        <w:numPr>
          <w:ilvl w:val="0"/>
          <w:numId w:val="4"/>
        </w:numPr>
        <w:spacing w:line="560" w:lineRule="exact"/>
        <w:ind w:firstLineChars="200" w:firstLine="640"/>
        <w:rPr>
          <w:rFonts w:ascii="仿宋_GB2312" w:eastAsia="仿宋_GB2312" w:hAnsi="Arial" w:cs="Arial"/>
          <w:color w:val="000000"/>
          <w:sz w:val="32"/>
          <w:szCs w:val="28"/>
        </w:rPr>
      </w:pPr>
      <w:bookmarkStart w:id="273" w:name="_Toc23082"/>
      <w:bookmarkStart w:id="274" w:name="_Toc31624"/>
      <w:bookmarkStart w:id="275" w:name="_Toc32314"/>
      <w:bookmarkStart w:id="276" w:name="_Toc2323"/>
      <w:bookmarkStart w:id="277" w:name="_Toc27450"/>
      <w:bookmarkStart w:id="278" w:name="_Toc10813"/>
      <w:bookmarkStart w:id="279" w:name="_Toc20173"/>
      <w:bookmarkStart w:id="280" w:name="_Toc68"/>
      <w:bookmarkStart w:id="281" w:name="_Toc14397"/>
      <w:bookmarkStart w:id="282" w:name="_Toc4015"/>
      <w:bookmarkStart w:id="283" w:name="_Toc20208"/>
      <w:bookmarkStart w:id="284" w:name="_Toc28699"/>
      <w:r>
        <w:rPr>
          <w:rFonts w:ascii="仿宋_GB2312" w:eastAsia="仿宋_GB2312" w:hAnsi="Arial" w:cs="Arial" w:hint="eastAsia"/>
          <w:color w:val="000000"/>
          <w:sz w:val="32"/>
          <w:szCs w:val="28"/>
        </w:rPr>
        <w:t>技术人员：</w:t>
      </w:r>
    </w:p>
    <w:p w:rsidR="00B21435" w:rsidRDefault="00F21DBE">
      <w:pPr>
        <w:numPr>
          <w:ilvl w:val="255"/>
          <w:numId w:val="0"/>
        </w:numPr>
        <w:spacing w:line="560" w:lineRule="exact"/>
        <w:ind w:firstLineChars="200" w:firstLine="640"/>
        <w:rPr>
          <w:rFonts w:ascii="仿宋_GB2312" w:eastAsia="仿宋_GB2312" w:hAnsi="Arial" w:cs="Arial"/>
          <w:color w:val="000000"/>
          <w:sz w:val="32"/>
          <w:szCs w:val="28"/>
        </w:rPr>
      </w:pPr>
      <w:r>
        <w:rPr>
          <w:rFonts w:ascii="仿宋_GB2312" w:eastAsia="仿宋_GB2312" w:hAnsi="仿宋_GB2312" w:cs="仿宋_GB2312" w:hint="eastAsia"/>
          <w:color w:val="000000"/>
          <w:kern w:val="0"/>
          <w:sz w:val="32"/>
          <w:szCs w:val="28"/>
        </w:rPr>
        <w:lastRenderedPageBreak/>
        <w:fldChar w:fldCharType="begin"/>
      </w:r>
      <w:r>
        <w:rPr>
          <w:rFonts w:ascii="仿宋_GB2312" w:eastAsia="仿宋_GB2312" w:hAnsi="仿宋_GB2312" w:cs="仿宋_GB2312" w:hint="eastAsia"/>
          <w:color w:val="000000"/>
          <w:kern w:val="0"/>
          <w:sz w:val="32"/>
          <w:szCs w:val="28"/>
        </w:rPr>
        <w:instrText xml:space="preserve"> = 1 \* GB3 \* MERGEFORMAT </w:instrText>
      </w:r>
      <w:r>
        <w:rPr>
          <w:rFonts w:ascii="仿宋_GB2312" w:eastAsia="仿宋_GB2312" w:hAnsi="仿宋_GB2312" w:cs="仿宋_GB2312" w:hint="eastAsia"/>
          <w:color w:val="000000"/>
          <w:kern w:val="0"/>
          <w:sz w:val="32"/>
          <w:szCs w:val="28"/>
        </w:rPr>
        <w:fldChar w:fldCharType="separate"/>
      </w:r>
      <w:r>
        <w:rPr>
          <w:rFonts w:ascii="仿宋_GB2312" w:eastAsia="仿宋_GB2312" w:hAnsi="仿宋_GB2312" w:cs="仿宋_GB2312" w:hint="eastAsia"/>
          <w:color w:val="000000"/>
          <w:kern w:val="0"/>
          <w:sz w:val="32"/>
          <w:szCs w:val="28"/>
        </w:rPr>
        <w:t>①</w:t>
      </w:r>
      <w:r>
        <w:rPr>
          <w:rFonts w:ascii="仿宋_GB2312" w:eastAsia="仿宋_GB2312" w:hAnsi="仿宋_GB2312" w:cs="仿宋_GB2312" w:hint="eastAsia"/>
          <w:color w:val="000000"/>
          <w:kern w:val="0"/>
          <w:sz w:val="32"/>
          <w:szCs w:val="28"/>
        </w:rPr>
        <w:fldChar w:fldCharType="end"/>
      </w:r>
      <w:r>
        <w:rPr>
          <w:rFonts w:ascii="仿宋_GB2312" w:eastAsia="仿宋_GB2312" w:hAnsi="仿宋_GB2312" w:cs="仿宋_GB2312" w:hint="eastAsia"/>
          <w:color w:val="000000"/>
          <w:kern w:val="0"/>
          <w:sz w:val="32"/>
          <w:szCs w:val="28"/>
        </w:rPr>
        <w:t>设计人员</w:t>
      </w:r>
      <w:r>
        <w:rPr>
          <w:rFonts w:ascii="仿宋_GB2312" w:eastAsia="仿宋_GB2312" w:hAnsi="Arial" w:cs="Arial" w:hint="eastAsia"/>
          <w:color w:val="000000"/>
          <w:sz w:val="32"/>
          <w:szCs w:val="28"/>
        </w:rPr>
        <w:t>应具备加速器物理、超高真空、辐射屏蔽、磁铁设计与磁场测量、控制系统、软件、束流探测器、电源、高频、离子源、直线注入器、机械结构设计等专业知识。</w:t>
      </w:r>
    </w:p>
    <w:p w:rsidR="00B21435" w:rsidRDefault="00F21DBE">
      <w:pPr>
        <w:numPr>
          <w:ilvl w:val="255"/>
          <w:numId w:val="0"/>
        </w:numPr>
        <w:spacing w:line="560" w:lineRule="exact"/>
        <w:ind w:firstLineChars="200" w:firstLine="640"/>
        <w:rPr>
          <w:rFonts w:ascii="仿宋_GB2312" w:eastAsia="仿宋_GB2312" w:hAnsi="Arial" w:cs="Arial"/>
          <w:color w:val="000000"/>
          <w:sz w:val="32"/>
          <w:szCs w:val="28"/>
        </w:rPr>
      </w:pPr>
      <w:r>
        <w:rPr>
          <w:rFonts w:ascii="仿宋_GB2312" w:eastAsia="仿宋_GB2312" w:hAnsi="仿宋_GB2312" w:cs="仿宋_GB2312" w:hint="eastAsia"/>
          <w:color w:val="000000"/>
          <w:kern w:val="0"/>
          <w:sz w:val="32"/>
          <w:szCs w:val="28"/>
        </w:rPr>
        <w:fldChar w:fldCharType="begin"/>
      </w:r>
      <w:r>
        <w:rPr>
          <w:rFonts w:ascii="仿宋_GB2312" w:eastAsia="仿宋_GB2312" w:hAnsi="仿宋_GB2312" w:cs="仿宋_GB2312" w:hint="eastAsia"/>
          <w:color w:val="000000"/>
          <w:kern w:val="0"/>
          <w:sz w:val="32"/>
          <w:szCs w:val="28"/>
        </w:rPr>
        <w:instrText xml:space="preserve"> = 2 \* GB3 \* MERGEFORMAT </w:instrText>
      </w:r>
      <w:r>
        <w:rPr>
          <w:rFonts w:ascii="仿宋_GB2312" w:eastAsia="仿宋_GB2312" w:hAnsi="仿宋_GB2312" w:cs="仿宋_GB2312" w:hint="eastAsia"/>
          <w:color w:val="000000"/>
          <w:kern w:val="0"/>
          <w:sz w:val="32"/>
          <w:szCs w:val="28"/>
        </w:rPr>
        <w:fldChar w:fldCharType="separate"/>
      </w:r>
      <w:r>
        <w:rPr>
          <w:rFonts w:ascii="仿宋_GB2312" w:eastAsia="仿宋_GB2312" w:hAnsi="仿宋_GB2312" w:cs="仿宋_GB2312" w:hint="eastAsia"/>
          <w:color w:val="000000"/>
          <w:kern w:val="0"/>
          <w:sz w:val="32"/>
          <w:szCs w:val="28"/>
        </w:rPr>
        <w:t>②</w:t>
      </w:r>
      <w:r>
        <w:rPr>
          <w:rFonts w:ascii="仿宋_GB2312" w:eastAsia="仿宋_GB2312" w:hAnsi="仿宋_GB2312" w:cs="仿宋_GB2312" w:hint="eastAsia"/>
          <w:color w:val="000000"/>
          <w:kern w:val="0"/>
          <w:sz w:val="32"/>
          <w:szCs w:val="28"/>
        </w:rPr>
        <w:fldChar w:fldCharType="end"/>
      </w:r>
      <w:r>
        <w:rPr>
          <w:rFonts w:ascii="仿宋_GB2312" w:eastAsia="仿宋_GB2312" w:hAnsi="仿宋_GB2312" w:cs="仿宋_GB2312" w:hint="eastAsia"/>
          <w:color w:val="000000"/>
          <w:kern w:val="0"/>
          <w:sz w:val="32"/>
          <w:szCs w:val="28"/>
        </w:rPr>
        <w:t>企业</w:t>
      </w:r>
      <w:r>
        <w:rPr>
          <w:rFonts w:ascii="仿宋_GB2312" w:eastAsia="仿宋_GB2312" w:hAnsi="Arial" w:cs="Arial" w:hint="eastAsia"/>
          <w:color w:val="000000"/>
          <w:sz w:val="32"/>
          <w:szCs w:val="28"/>
        </w:rPr>
        <w:t>应配备熟悉离子治疗原理、剂量计算算法、剂量优化算法、医学图像处理等医学物理人员。</w:t>
      </w:r>
    </w:p>
    <w:p w:rsidR="00B21435" w:rsidRDefault="00F21DBE">
      <w:pPr>
        <w:numPr>
          <w:ilvl w:val="255"/>
          <w:numId w:val="0"/>
        </w:num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③企业应配备工艺冷却水、供气系统、低压配电、通风空调系统、土建布局、土建接口等设计人员。</w:t>
      </w:r>
    </w:p>
    <w:p w:rsidR="00B21435" w:rsidRDefault="00F21DBE">
      <w:pPr>
        <w:numPr>
          <w:ilvl w:val="0"/>
          <w:numId w:val="4"/>
        </w:num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生产人员：</w:t>
      </w:r>
    </w:p>
    <w:p w:rsidR="00B21435" w:rsidRDefault="00F21DBE">
      <w:pPr>
        <w:numPr>
          <w:ilvl w:val="255"/>
          <w:numId w:val="0"/>
        </w:numPr>
        <w:spacing w:line="560" w:lineRule="exact"/>
        <w:ind w:firstLineChars="200" w:firstLine="640"/>
        <w:rPr>
          <w:rFonts w:ascii="仿宋_GB2312" w:eastAsia="仿宋_GB2312" w:hAnsi="Arial" w:cs="Arial"/>
          <w:color w:val="000000"/>
          <w:sz w:val="32"/>
          <w:szCs w:val="28"/>
        </w:rPr>
      </w:pPr>
      <w:r>
        <w:rPr>
          <w:rFonts w:ascii="仿宋_GB2312" w:eastAsia="仿宋_GB2312" w:hAnsi="仿宋_GB2312" w:cs="仿宋_GB2312" w:hint="eastAsia"/>
          <w:color w:val="000000"/>
          <w:kern w:val="0"/>
          <w:sz w:val="32"/>
          <w:szCs w:val="28"/>
        </w:rPr>
        <w:fldChar w:fldCharType="begin"/>
      </w:r>
      <w:r>
        <w:rPr>
          <w:rFonts w:ascii="仿宋_GB2312" w:eastAsia="仿宋_GB2312" w:hAnsi="仿宋_GB2312" w:cs="仿宋_GB2312" w:hint="eastAsia"/>
          <w:color w:val="000000"/>
          <w:kern w:val="0"/>
          <w:sz w:val="32"/>
          <w:szCs w:val="28"/>
        </w:rPr>
        <w:instrText xml:space="preserve"> = 1 \* GB3 \* MERGEFORMAT </w:instrText>
      </w:r>
      <w:r>
        <w:rPr>
          <w:rFonts w:ascii="仿宋_GB2312" w:eastAsia="仿宋_GB2312" w:hAnsi="仿宋_GB2312" w:cs="仿宋_GB2312" w:hint="eastAsia"/>
          <w:color w:val="000000"/>
          <w:kern w:val="0"/>
          <w:sz w:val="32"/>
          <w:szCs w:val="28"/>
        </w:rPr>
        <w:fldChar w:fldCharType="separate"/>
      </w:r>
      <w:r>
        <w:rPr>
          <w:rFonts w:ascii="仿宋_GB2312" w:eastAsia="仿宋_GB2312" w:hAnsi="仿宋_GB2312" w:cs="仿宋_GB2312" w:hint="eastAsia"/>
          <w:color w:val="000000"/>
          <w:kern w:val="0"/>
          <w:sz w:val="32"/>
          <w:szCs w:val="28"/>
        </w:rPr>
        <w:t>①</w:t>
      </w:r>
      <w:r>
        <w:rPr>
          <w:rFonts w:ascii="仿宋_GB2312" w:eastAsia="仿宋_GB2312" w:hAnsi="仿宋_GB2312" w:cs="仿宋_GB2312" w:hint="eastAsia"/>
          <w:color w:val="000000"/>
          <w:kern w:val="0"/>
          <w:sz w:val="32"/>
          <w:szCs w:val="28"/>
        </w:rPr>
        <w:fldChar w:fldCharType="end"/>
      </w:r>
      <w:r>
        <w:rPr>
          <w:rFonts w:ascii="仿宋_GB2312" w:eastAsia="仿宋_GB2312" w:hAnsi="Arial" w:cs="Arial" w:hint="eastAsia"/>
          <w:color w:val="000000"/>
          <w:sz w:val="32"/>
          <w:szCs w:val="28"/>
        </w:rPr>
        <w:t>企业应配备常规磁铁、束流探测器、真空腔体、真空管道与泵室、</w:t>
      </w:r>
      <w:r>
        <w:rPr>
          <w:rFonts w:ascii="仿宋_GB2312" w:eastAsia="仿宋_GB2312" w:hAnsi="仿宋_GB2312" w:cs="仿宋_GB2312" w:hint="eastAsia"/>
          <w:color w:val="000000"/>
          <w:sz w:val="32"/>
          <w:szCs w:val="28"/>
        </w:rPr>
        <w:t>RFQ（射频四极场加速器）、DTL（漂移管直线加速器）腔体</w:t>
      </w:r>
      <w:r>
        <w:rPr>
          <w:rFonts w:ascii="仿宋_GB2312" w:eastAsia="仿宋_GB2312" w:hAnsi="Arial" w:cs="Arial" w:hint="eastAsia"/>
          <w:color w:val="000000"/>
          <w:sz w:val="32"/>
          <w:szCs w:val="28"/>
        </w:rPr>
        <w:t>、</w:t>
      </w:r>
      <w:r>
        <w:rPr>
          <w:rFonts w:ascii="仿宋_GB2312" w:eastAsia="仿宋_GB2312" w:hAnsi="Arial" w:cs="Arial" w:hint="eastAsia"/>
          <w:color w:val="000000"/>
          <w:kern w:val="0"/>
          <w:sz w:val="32"/>
          <w:szCs w:val="28"/>
        </w:rPr>
        <w:t>超导磁体、脊形过滤器</w:t>
      </w:r>
      <w:r>
        <w:rPr>
          <w:rFonts w:ascii="仿宋_GB2312" w:eastAsia="仿宋_GB2312" w:hAnsi="Arial" w:cs="Arial" w:hint="eastAsia"/>
          <w:color w:val="000000"/>
          <w:sz w:val="32"/>
          <w:szCs w:val="28"/>
        </w:rPr>
        <w:t>等核心部件的工艺设计、加工和装配人员。</w:t>
      </w:r>
    </w:p>
    <w:p w:rsidR="00B21435" w:rsidRDefault="00F21DBE">
      <w:pPr>
        <w:numPr>
          <w:ilvl w:val="255"/>
          <w:numId w:val="0"/>
        </w:numPr>
        <w:spacing w:line="560" w:lineRule="exact"/>
        <w:ind w:firstLineChars="200" w:firstLine="640"/>
        <w:rPr>
          <w:rFonts w:ascii="仿宋_GB2312" w:eastAsia="仿宋_GB2312" w:hAnsi="Arial" w:cs="Arial"/>
          <w:color w:val="000000"/>
          <w:sz w:val="32"/>
          <w:szCs w:val="28"/>
        </w:rPr>
      </w:pPr>
      <w:r>
        <w:rPr>
          <w:rFonts w:ascii="仿宋_GB2312" w:eastAsia="仿宋_GB2312" w:hAnsi="仿宋_GB2312" w:cs="仿宋_GB2312" w:hint="eastAsia"/>
          <w:color w:val="000000"/>
          <w:kern w:val="0"/>
          <w:sz w:val="32"/>
          <w:szCs w:val="28"/>
        </w:rPr>
        <w:fldChar w:fldCharType="begin"/>
      </w:r>
      <w:r>
        <w:rPr>
          <w:rFonts w:ascii="仿宋_GB2312" w:eastAsia="仿宋_GB2312" w:hAnsi="仿宋_GB2312" w:cs="仿宋_GB2312" w:hint="eastAsia"/>
          <w:color w:val="000000"/>
          <w:kern w:val="0"/>
          <w:sz w:val="32"/>
          <w:szCs w:val="28"/>
        </w:rPr>
        <w:instrText xml:space="preserve"> = 2 \* GB3 \* MERGEFORMAT </w:instrText>
      </w:r>
      <w:r>
        <w:rPr>
          <w:rFonts w:ascii="仿宋_GB2312" w:eastAsia="仿宋_GB2312" w:hAnsi="仿宋_GB2312" w:cs="仿宋_GB2312" w:hint="eastAsia"/>
          <w:color w:val="000000"/>
          <w:kern w:val="0"/>
          <w:sz w:val="32"/>
          <w:szCs w:val="28"/>
        </w:rPr>
        <w:fldChar w:fldCharType="separate"/>
      </w:r>
      <w:r>
        <w:rPr>
          <w:rFonts w:ascii="仿宋_GB2312" w:eastAsia="仿宋_GB2312" w:hAnsi="仿宋_GB2312" w:cs="仿宋_GB2312" w:hint="eastAsia"/>
          <w:color w:val="000000"/>
          <w:kern w:val="0"/>
          <w:sz w:val="32"/>
          <w:szCs w:val="28"/>
        </w:rPr>
        <w:t>②</w:t>
      </w:r>
      <w:r>
        <w:rPr>
          <w:rFonts w:ascii="仿宋_GB2312" w:eastAsia="仿宋_GB2312" w:hAnsi="仿宋_GB2312" w:cs="仿宋_GB2312" w:hint="eastAsia"/>
          <w:color w:val="000000"/>
          <w:kern w:val="0"/>
          <w:sz w:val="32"/>
          <w:szCs w:val="28"/>
        </w:rPr>
        <w:fldChar w:fldCharType="end"/>
      </w:r>
      <w:r>
        <w:rPr>
          <w:rFonts w:ascii="仿宋_GB2312" w:eastAsia="仿宋_GB2312" w:hAnsi="Arial" w:cs="Arial" w:hint="eastAsia"/>
          <w:color w:val="000000"/>
          <w:sz w:val="32"/>
          <w:szCs w:val="28"/>
        </w:rPr>
        <w:t>企业应</w:t>
      </w:r>
      <w:r>
        <w:rPr>
          <w:rFonts w:ascii="仿宋_GB2312" w:eastAsia="仿宋_GB2312" w:hAnsi="Arial" w:cs="Arial" w:hint="eastAsia"/>
          <w:color w:val="000000"/>
          <w:kern w:val="0"/>
          <w:sz w:val="32"/>
          <w:szCs w:val="28"/>
        </w:rPr>
        <w:t>配备离子源、高频、电源、束诊、真空、控制等各系统的调试人员。</w:t>
      </w:r>
    </w:p>
    <w:p w:rsidR="00B21435" w:rsidRDefault="00F21DBE">
      <w:pPr>
        <w:numPr>
          <w:ilvl w:val="255"/>
          <w:numId w:val="0"/>
        </w:num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③从事关键工序和特殊过程的人员，应具备相应的专业知识、工作技能及实践经验，符合岗位任职要求和上岗要求。企业应定期对从事关键工序和特殊过程的人员能力进行考核评价。</w:t>
      </w:r>
    </w:p>
    <w:p w:rsidR="00B21435" w:rsidRDefault="00F21DBE">
      <w:pPr>
        <w:numPr>
          <w:ilvl w:val="0"/>
          <w:numId w:val="4"/>
        </w:numPr>
        <w:spacing w:line="560" w:lineRule="exact"/>
        <w:ind w:firstLineChars="200" w:firstLine="640"/>
        <w:rPr>
          <w:rFonts w:ascii="仿宋_GB2312" w:hAnsi="Arial" w:cs="Arial"/>
          <w:color w:val="000000"/>
          <w:spacing w:val="-1"/>
        </w:rPr>
      </w:pPr>
      <w:r>
        <w:rPr>
          <w:rFonts w:ascii="仿宋_GB2312" w:eastAsia="仿宋_GB2312" w:hAnsi="Arial" w:cs="Arial" w:hint="eastAsia"/>
          <w:color w:val="000000"/>
          <w:sz w:val="32"/>
          <w:szCs w:val="28"/>
        </w:rPr>
        <w:t>安装人员：</w:t>
      </w:r>
    </w:p>
    <w:p w:rsidR="00B21435" w:rsidRDefault="00F21DBE">
      <w:pPr>
        <w:numPr>
          <w:ilvl w:val="255"/>
          <w:numId w:val="0"/>
        </w:numPr>
        <w:spacing w:line="560" w:lineRule="exact"/>
        <w:ind w:firstLineChars="200" w:firstLine="640"/>
        <w:rPr>
          <w:rFonts w:ascii="仿宋_GB2312" w:eastAsia="仿宋_GB2312" w:hAnsi="Arial" w:cs="Arial"/>
          <w:color w:val="000000"/>
          <w:sz w:val="32"/>
          <w:szCs w:val="28"/>
        </w:rPr>
      </w:pPr>
      <w:r>
        <w:rPr>
          <w:rFonts w:ascii="仿宋_GB2312" w:eastAsia="仿宋_GB2312" w:hAnsi="仿宋_GB2312" w:cs="仿宋_GB2312" w:hint="eastAsia"/>
          <w:color w:val="000000"/>
          <w:kern w:val="0"/>
          <w:sz w:val="32"/>
          <w:szCs w:val="28"/>
        </w:rPr>
        <w:fldChar w:fldCharType="begin"/>
      </w:r>
      <w:r>
        <w:rPr>
          <w:rFonts w:ascii="仿宋_GB2312" w:eastAsia="仿宋_GB2312" w:hAnsi="仿宋_GB2312" w:cs="仿宋_GB2312" w:hint="eastAsia"/>
          <w:color w:val="000000"/>
          <w:kern w:val="0"/>
          <w:sz w:val="32"/>
          <w:szCs w:val="28"/>
        </w:rPr>
        <w:instrText xml:space="preserve"> = 1 \* GB3 \* MERGEFORMAT </w:instrText>
      </w:r>
      <w:r>
        <w:rPr>
          <w:rFonts w:ascii="仿宋_GB2312" w:eastAsia="仿宋_GB2312" w:hAnsi="仿宋_GB2312" w:cs="仿宋_GB2312" w:hint="eastAsia"/>
          <w:color w:val="000000"/>
          <w:kern w:val="0"/>
          <w:sz w:val="32"/>
          <w:szCs w:val="28"/>
        </w:rPr>
        <w:fldChar w:fldCharType="separate"/>
      </w:r>
      <w:r>
        <w:rPr>
          <w:rFonts w:ascii="仿宋_GB2312" w:eastAsia="仿宋_GB2312" w:hAnsi="仿宋_GB2312" w:cs="仿宋_GB2312" w:hint="eastAsia"/>
          <w:color w:val="000000"/>
          <w:kern w:val="0"/>
          <w:sz w:val="32"/>
          <w:szCs w:val="28"/>
        </w:rPr>
        <w:t>①</w:t>
      </w:r>
      <w:r>
        <w:rPr>
          <w:rFonts w:ascii="仿宋_GB2312" w:eastAsia="仿宋_GB2312" w:hAnsi="仿宋_GB2312" w:cs="仿宋_GB2312" w:hint="eastAsia"/>
          <w:color w:val="000000"/>
          <w:kern w:val="0"/>
          <w:sz w:val="32"/>
          <w:szCs w:val="28"/>
        </w:rPr>
        <w:fldChar w:fldCharType="end"/>
      </w:r>
      <w:r>
        <w:rPr>
          <w:rFonts w:ascii="仿宋_GB2312" w:eastAsia="仿宋_GB2312" w:hAnsi="仿宋_GB2312" w:cs="仿宋_GB2312" w:hint="eastAsia"/>
          <w:color w:val="000000"/>
          <w:kern w:val="0"/>
          <w:sz w:val="32"/>
          <w:szCs w:val="28"/>
        </w:rPr>
        <w:t>企业应配备</w:t>
      </w:r>
      <w:r>
        <w:rPr>
          <w:rFonts w:ascii="仿宋_GB2312" w:eastAsia="仿宋_GB2312" w:hAnsi="Arial" w:cs="Arial" w:hint="eastAsia"/>
          <w:color w:val="000000"/>
          <w:sz w:val="32"/>
          <w:szCs w:val="28"/>
        </w:rPr>
        <w:t>磁铁、真空、高频、电源、束诊、离子源等各系统设备的安装人员，安装人员</w:t>
      </w:r>
      <w:r>
        <w:rPr>
          <w:rFonts w:ascii="仿宋_GB2312" w:eastAsia="仿宋_GB2312" w:hAnsi="仿宋_GB2312" w:cs="仿宋_GB2312" w:hint="eastAsia"/>
          <w:color w:val="000000"/>
          <w:sz w:val="32"/>
          <w:szCs w:val="28"/>
        </w:rPr>
        <w:t>应具备相应的工作技能及安装经验，</w:t>
      </w:r>
      <w:r>
        <w:rPr>
          <w:rFonts w:ascii="仿宋_GB2312" w:eastAsia="仿宋_GB2312" w:hAnsi="Arial" w:cs="Arial" w:hint="eastAsia"/>
          <w:color w:val="000000"/>
          <w:sz w:val="32"/>
          <w:szCs w:val="28"/>
        </w:rPr>
        <w:t>符合岗位任职要求，具有特种设备如天车、叉车等的资格证书。</w:t>
      </w:r>
    </w:p>
    <w:p w:rsidR="00B21435" w:rsidRDefault="00F21DBE">
      <w:pPr>
        <w:numPr>
          <w:ilvl w:val="255"/>
          <w:numId w:val="0"/>
        </w:numPr>
        <w:spacing w:line="560" w:lineRule="exact"/>
        <w:ind w:firstLineChars="200" w:firstLine="640"/>
        <w:rPr>
          <w:rFonts w:ascii="仿宋_GB2312" w:eastAsia="仿宋_GB2312" w:hAnsi="Arial" w:cs="Arial"/>
          <w:color w:val="000000"/>
          <w:sz w:val="32"/>
          <w:szCs w:val="28"/>
        </w:rPr>
      </w:pPr>
      <w:r>
        <w:rPr>
          <w:rFonts w:ascii="仿宋_GB2312" w:eastAsia="仿宋_GB2312" w:hAnsi="仿宋_GB2312" w:cs="仿宋_GB2312" w:hint="eastAsia"/>
          <w:color w:val="000000"/>
          <w:kern w:val="0"/>
          <w:sz w:val="32"/>
          <w:szCs w:val="28"/>
        </w:rPr>
        <w:fldChar w:fldCharType="begin"/>
      </w:r>
      <w:r>
        <w:rPr>
          <w:rFonts w:ascii="仿宋_GB2312" w:eastAsia="仿宋_GB2312" w:hAnsi="仿宋_GB2312" w:cs="仿宋_GB2312" w:hint="eastAsia"/>
          <w:color w:val="000000"/>
          <w:kern w:val="0"/>
          <w:sz w:val="32"/>
          <w:szCs w:val="28"/>
        </w:rPr>
        <w:instrText xml:space="preserve"> = 2 \* GB3 \* MERGEFORMAT </w:instrText>
      </w:r>
      <w:r>
        <w:rPr>
          <w:rFonts w:ascii="仿宋_GB2312" w:eastAsia="仿宋_GB2312" w:hAnsi="仿宋_GB2312" w:cs="仿宋_GB2312" w:hint="eastAsia"/>
          <w:color w:val="000000"/>
          <w:kern w:val="0"/>
          <w:sz w:val="32"/>
          <w:szCs w:val="28"/>
        </w:rPr>
        <w:fldChar w:fldCharType="separate"/>
      </w:r>
      <w:r>
        <w:rPr>
          <w:rFonts w:ascii="仿宋_GB2312" w:eastAsia="仿宋_GB2312" w:hAnsi="仿宋_GB2312" w:cs="仿宋_GB2312" w:hint="eastAsia"/>
          <w:color w:val="000000"/>
          <w:kern w:val="0"/>
          <w:sz w:val="32"/>
          <w:szCs w:val="28"/>
        </w:rPr>
        <w:t>②</w:t>
      </w:r>
      <w:r>
        <w:rPr>
          <w:rFonts w:ascii="仿宋_GB2312" w:eastAsia="仿宋_GB2312" w:hAnsi="仿宋_GB2312" w:cs="仿宋_GB2312" w:hint="eastAsia"/>
          <w:color w:val="000000"/>
          <w:kern w:val="0"/>
          <w:sz w:val="32"/>
          <w:szCs w:val="28"/>
        </w:rPr>
        <w:fldChar w:fldCharType="end"/>
      </w:r>
      <w:r>
        <w:rPr>
          <w:rFonts w:ascii="仿宋_GB2312" w:eastAsia="仿宋_GB2312" w:hAnsi="仿宋_GB2312" w:cs="仿宋_GB2312" w:hint="eastAsia"/>
          <w:color w:val="000000"/>
          <w:kern w:val="0"/>
          <w:sz w:val="32"/>
          <w:szCs w:val="28"/>
        </w:rPr>
        <w:t>企业应配备设备</w:t>
      </w:r>
      <w:r>
        <w:rPr>
          <w:rFonts w:ascii="仿宋_GB2312" w:eastAsia="仿宋_GB2312" w:hAnsi="Arial" w:cs="Arial" w:hint="eastAsia"/>
          <w:color w:val="000000"/>
          <w:sz w:val="32"/>
          <w:szCs w:val="28"/>
        </w:rPr>
        <w:t>的准直人员，准直人员</w:t>
      </w:r>
      <w:r>
        <w:rPr>
          <w:rFonts w:ascii="仿宋_GB2312" w:eastAsia="仿宋_GB2312" w:hAnsi="仿宋_GB2312" w:cs="仿宋_GB2312" w:hint="eastAsia"/>
          <w:color w:val="000000"/>
          <w:sz w:val="32"/>
          <w:szCs w:val="28"/>
        </w:rPr>
        <w:t>应具备相应的</w:t>
      </w:r>
      <w:r>
        <w:rPr>
          <w:rFonts w:ascii="仿宋_GB2312" w:eastAsia="仿宋_GB2312" w:hAnsi="仿宋_GB2312" w:cs="仿宋_GB2312" w:hint="eastAsia"/>
          <w:color w:val="000000"/>
          <w:sz w:val="32"/>
          <w:szCs w:val="28"/>
        </w:rPr>
        <w:lastRenderedPageBreak/>
        <w:t>工作技能及准直经验，</w:t>
      </w:r>
      <w:r>
        <w:rPr>
          <w:rFonts w:ascii="仿宋_GB2312" w:eastAsia="仿宋_GB2312" w:hAnsi="Arial" w:cs="Arial" w:hint="eastAsia"/>
          <w:color w:val="000000"/>
          <w:sz w:val="32"/>
          <w:szCs w:val="28"/>
        </w:rPr>
        <w:t>符合岗位任职要求</w:t>
      </w:r>
      <w:r>
        <w:rPr>
          <w:rFonts w:ascii="仿宋_GB2312" w:eastAsia="仿宋_GB2312" w:hAnsi="Arial" w:cs="Arial" w:hint="eastAsia"/>
          <w:b/>
          <w:bCs/>
          <w:color w:val="000000"/>
          <w:sz w:val="32"/>
          <w:szCs w:val="28"/>
        </w:rPr>
        <w:t>，</w:t>
      </w:r>
      <w:r>
        <w:rPr>
          <w:rFonts w:ascii="仿宋_GB2312" w:eastAsia="仿宋_GB2312" w:hAnsi="Arial" w:cs="Arial" w:hint="eastAsia"/>
          <w:color w:val="000000"/>
          <w:sz w:val="32"/>
          <w:szCs w:val="28"/>
        </w:rPr>
        <w:t>能够按设计要求建立准直控制网并进行复验。</w:t>
      </w:r>
    </w:p>
    <w:p w:rsidR="00B21435" w:rsidRDefault="00F21DBE">
      <w:pPr>
        <w:numPr>
          <w:ilvl w:val="0"/>
          <w:numId w:val="4"/>
        </w:numPr>
        <w:spacing w:line="560" w:lineRule="exact"/>
        <w:ind w:firstLine="640"/>
        <w:rPr>
          <w:rFonts w:ascii="仿宋_GB2312" w:eastAsia="仿宋_GB2312" w:hAnsi="Arial" w:cs="Arial"/>
          <w:color w:val="000000"/>
          <w:sz w:val="32"/>
          <w:szCs w:val="28"/>
        </w:rPr>
      </w:pPr>
      <w:r>
        <w:rPr>
          <w:rFonts w:ascii="仿宋_GB2312" w:eastAsia="仿宋_GB2312" w:hAnsi="仿宋_GB2312" w:cs="仿宋_GB2312" w:hint="eastAsia"/>
          <w:color w:val="000000"/>
          <w:spacing w:val="-1"/>
          <w:sz w:val="32"/>
          <w:szCs w:val="32"/>
        </w:rPr>
        <w:t>检验人员：</w:t>
      </w:r>
    </w:p>
    <w:p w:rsidR="00B21435" w:rsidRDefault="00F21DBE">
      <w:pPr>
        <w:numPr>
          <w:ilvl w:val="255"/>
          <w:numId w:val="0"/>
        </w:numPr>
        <w:spacing w:line="560" w:lineRule="exact"/>
        <w:ind w:firstLineChars="200" w:firstLine="640"/>
        <w:rPr>
          <w:rFonts w:ascii="仿宋_GB2312" w:eastAsia="仿宋_GB2312" w:hAnsi="Arial" w:cs="Arial"/>
          <w:color w:val="000000"/>
          <w:sz w:val="32"/>
          <w:szCs w:val="28"/>
        </w:rPr>
      </w:pPr>
      <w:r>
        <w:rPr>
          <w:rFonts w:ascii="仿宋_GB2312" w:eastAsia="仿宋_GB2312" w:hAnsi="仿宋_GB2312" w:cs="仿宋_GB2312" w:hint="eastAsia"/>
          <w:color w:val="000000"/>
          <w:kern w:val="0"/>
          <w:sz w:val="32"/>
          <w:szCs w:val="28"/>
        </w:rPr>
        <w:fldChar w:fldCharType="begin"/>
      </w:r>
      <w:r>
        <w:rPr>
          <w:rFonts w:ascii="仿宋_GB2312" w:eastAsia="仿宋_GB2312" w:hAnsi="仿宋_GB2312" w:cs="仿宋_GB2312" w:hint="eastAsia"/>
          <w:color w:val="000000"/>
          <w:kern w:val="0"/>
          <w:sz w:val="32"/>
          <w:szCs w:val="28"/>
        </w:rPr>
        <w:instrText xml:space="preserve"> = 1 \* GB3 \* MERGEFORMAT </w:instrText>
      </w:r>
      <w:r>
        <w:rPr>
          <w:rFonts w:ascii="仿宋_GB2312" w:eastAsia="仿宋_GB2312" w:hAnsi="仿宋_GB2312" w:cs="仿宋_GB2312" w:hint="eastAsia"/>
          <w:color w:val="000000"/>
          <w:kern w:val="0"/>
          <w:sz w:val="32"/>
          <w:szCs w:val="28"/>
        </w:rPr>
        <w:fldChar w:fldCharType="separate"/>
      </w:r>
      <w:r>
        <w:rPr>
          <w:rFonts w:ascii="仿宋_GB2312" w:eastAsia="仿宋_GB2312" w:hAnsi="仿宋_GB2312" w:cs="仿宋_GB2312" w:hint="eastAsia"/>
          <w:color w:val="000000"/>
          <w:kern w:val="0"/>
          <w:sz w:val="32"/>
          <w:szCs w:val="28"/>
        </w:rPr>
        <w:t>①</w:t>
      </w:r>
      <w:r>
        <w:rPr>
          <w:rFonts w:ascii="仿宋_GB2312" w:eastAsia="仿宋_GB2312" w:hAnsi="仿宋_GB2312" w:cs="仿宋_GB2312" w:hint="eastAsia"/>
          <w:color w:val="000000"/>
          <w:kern w:val="0"/>
          <w:sz w:val="32"/>
          <w:szCs w:val="28"/>
        </w:rPr>
        <w:fldChar w:fldCharType="end"/>
      </w:r>
      <w:bookmarkEnd w:id="273"/>
      <w:bookmarkEnd w:id="274"/>
      <w:bookmarkEnd w:id="275"/>
      <w:bookmarkEnd w:id="276"/>
      <w:bookmarkEnd w:id="277"/>
      <w:bookmarkEnd w:id="278"/>
      <w:bookmarkEnd w:id="279"/>
      <w:bookmarkEnd w:id="280"/>
      <w:bookmarkEnd w:id="281"/>
      <w:bookmarkEnd w:id="282"/>
      <w:bookmarkEnd w:id="283"/>
      <w:bookmarkEnd w:id="284"/>
      <w:r>
        <w:rPr>
          <w:rFonts w:ascii="仿宋_GB2312" w:eastAsia="仿宋_GB2312" w:hAnsi="Arial" w:cs="Arial" w:hint="eastAsia"/>
          <w:color w:val="000000"/>
          <w:sz w:val="32"/>
          <w:szCs w:val="28"/>
        </w:rPr>
        <w:t>检测的人员岗位职责应覆盖碳离子/质子治疗系统来料、过程、成品检验等过程。</w:t>
      </w:r>
    </w:p>
    <w:p w:rsidR="00B21435" w:rsidRDefault="00F21DBE">
      <w:pPr>
        <w:numPr>
          <w:ilvl w:val="255"/>
          <w:numId w:val="0"/>
        </w:numPr>
        <w:spacing w:line="560" w:lineRule="exact"/>
        <w:ind w:firstLineChars="200" w:firstLine="640"/>
        <w:rPr>
          <w:rFonts w:ascii="仿宋_GB2312" w:eastAsia="仿宋_GB2312" w:hAnsi="Arial" w:cs="Arial"/>
          <w:color w:val="000000"/>
          <w:sz w:val="32"/>
          <w:szCs w:val="28"/>
        </w:rPr>
      </w:pPr>
      <w:r>
        <w:rPr>
          <w:rFonts w:ascii="仿宋_GB2312" w:eastAsia="仿宋_GB2312" w:hAnsi="仿宋_GB2312" w:cs="仿宋_GB2312" w:hint="eastAsia"/>
          <w:color w:val="000000"/>
          <w:kern w:val="0"/>
          <w:sz w:val="32"/>
          <w:szCs w:val="28"/>
        </w:rPr>
        <w:fldChar w:fldCharType="begin"/>
      </w:r>
      <w:r>
        <w:rPr>
          <w:rFonts w:ascii="仿宋_GB2312" w:eastAsia="仿宋_GB2312" w:hAnsi="仿宋_GB2312" w:cs="仿宋_GB2312" w:hint="eastAsia"/>
          <w:color w:val="000000"/>
          <w:kern w:val="0"/>
          <w:sz w:val="32"/>
          <w:szCs w:val="28"/>
        </w:rPr>
        <w:instrText xml:space="preserve"> = 2 \* GB3 \* MERGEFORMAT </w:instrText>
      </w:r>
      <w:r>
        <w:rPr>
          <w:rFonts w:ascii="仿宋_GB2312" w:eastAsia="仿宋_GB2312" w:hAnsi="仿宋_GB2312" w:cs="仿宋_GB2312" w:hint="eastAsia"/>
          <w:color w:val="000000"/>
          <w:kern w:val="0"/>
          <w:sz w:val="32"/>
          <w:szCs w:val="28"/>
        </w:rPr>
        <w:fldChar w:fldCharType="separate"/>
      </w:r>
      <w:r>
        <w:rPr>
          <w:rFonts w:ascii="仿宋_GB2312" w:eastAsia="仿宋_GB2312" w:hAnsi="仿宋_GB2312" w:cs="仿宋_GB2312" w:hint="eastAsia"/>
          <w:color w:val="000000"/>
          <w:kern w:val="0"/>
          <w:sz w:val="32"/>
          <w:szCs w:val="28"/>
        </w:rPr>
        <w:t>②</w:t>
      </w:r>
      <w:r>
        <w:rPr>
          <w:rFonts w:ascii="仿宋_GB2312" w:eastAsia="仿宋_GB2312" w:hAnsi="仿宋_GB2312" w:cs="仿宋_GB2312" w:hint="eastAsia"/>
          <w:color w:val="000000"/>
          <w:kern w:val="0"/>
          <w:sz w:val="32"/>
          <w:szCs w:val="28"/>
        </w:rPr>
        <w:fldChar w:fldCharType="end"/>
      </w:r>
      <w:r>
        <w:rPr>
          <w:rFonts w:ascii="仿宋_GB2312" w:eastAsia="仿宋_GB2312" w:hAnsi="Arial" w:cs="Arial" w:hint="eastAsia"/>
          <w:color w:val="000000"/>
          <w:sz w:val="32"/>
          <w:szCs w:val="28"/>
        </w:rPr>
        <w:t>关键岗位人员（成品放行、</w:t>
      </w:r>
      <w:r>
        <w:rPr>
          <w:rFonts w:eastAsia="仿宋_GB2312" w:cs="Calibri" w:hint="eastAsia"/>
          <w:color w:val="000000"/>
          <w:sz w:val="32"/>
          <w:szCs w:val="28"/>
        </w:rPr>
        <w:t>检验</w:t>
      </w:r>
      <w:r>
        <w:rPr>
          <w:rFonts w:ascii="仿宋_GB2312" w:eastAsia="仿宋_GB2312" w:hAnsi="Arial" w:cs="Arial" w:hint="eastAsia"/>
          <w:color w:val="000000"/>
          <w:sz w:val="32"/>
          <w:szCs w:val="28"/>
        </w:rPr>
        <w:t>报告审核和批准、上市放行批准）应具有相关专业本科及以上学历，具有3年以上相关专业的技术工作经历。检测人员授权书应覆盖从事检测活动的人员。</w:t>
      </w:r>
    </w:p>
    <w:p w:rsidR="00B21435" w:rsidRDefault="00F21DBE">
      <w:pPr>
        <w:numPr>
          <w:ilvl w:val="255"/>
          <w:numId w:val="0"/>
        </w:numPr>
        <w:spacing w:line="560" w:lineRule="exact"/>
        <w:ind w:firstLineChars="200" w:firstLine="640"/>
        <w:rPr>
          <w:rFonts w:ascii="仿宋_GB2312" w:eastAsia="仿宋_GB2312" w:hAnsi="Arial" w:cs="Arial"/>
          <w:color w:val="000000"/>
          <w:sz w:val="32"/>
          <w:szCs w:val="28"/>
        </w:rPr>
      </w:pPr>
      <w:r>
        <w:rPr>
          <w:rFonts w:ascii="仿宋_GB2312" w:eastAsia="仿宋_GB2312" w:hAnsi="仿宋_GB2312" w:cs="仿宋_GB2312" w:hint="eastAsia"/>
          <w:color w:val="000000"/>
          <w:kern w:val="0"/>
          <w:sz w:val="32"/>
          <w:szCs w:val="28"/>
        </w:rPr>
        <w:t>③</w:t>
      </w:r>
      <w:r>
        <w:rPr>
          <w:rFonts w:ascii="仿宋_GB2312" w:eastAsia="仿宋_GB2312" w:hAnsi="Arial" w:cs="Arial" w:hint="eastAsia"/>
          <w:color w:val="000000"/>
          <w:kern w:val="0"/>
          <w:sz w:val="32"/>
          <w:szCs w:val="32"/>
        </w:rPr>
        <w:t>从事与辐射防护相关的检测人员</w:t>
      </w:r>
      <w:r>
        <w:rPr>
          <w:rFonts w:ascii="仿宋_GB2312" w:eastAsia="仿宋_GB2312" w:hAnsi="Arial" w:cs="Arial" w:hint="eastAsia"/>
          <w:color w:val="000000"/>
          <w:kern w:val="0"/>
          <w:sz w:val="32"/>
          <w:szCs w:val="28"/>
        </w:rPr>
        <w:t>应通过核技术利用辐射安全与防护考核并取得证书</w:t>
      </w:r>
      <w:r>
        <w:rPr>
          <w:rFonts w:ascii="仿宋_GB2312" w:eastAsia="仿宋_GB2312" w:hAnsi="Arial" w:cs="Arial" w:hint="eastAsia"/>
          <w:color w:val="000000"/>
          <w:sz w:val="32"/>
          <w:szCs w:val="28"/>
        </w:rPr>
        <w:t>。</w:t>
      </w:r>
    </w:p>
    <w:p w:rsidR="00B21435" w:rsidRDefault="00F21DBE">
      <w:pPr>
        <w:numPr>
          <w:ilvl w:val="0"/>
          <w:numId w:val="4"/>
        </w:numPr>
        <w:spacing w:line="560" w:lineRule="exact"/>
        <w:ind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调试、运维人员：</w:t>
      </w:r>
    </w:p>
    <w:p w:rsidR="00B21435" w:rsidRDefault="00F21DBE">
      <w:pPr>
        <w:numPr>
          <w:ilvl w:val="255"/>
          <w:numId w:val="0"/>
        </w:numPr>
        <w:spacing w:line="560" w:lineRule="exact"/>
        <w:ind w:firstLineChars="200" w:firstLine="640"/>
        <w:rPr>
          <w:rFonts w:ascii="仿宋_GB2312" w:eastAsia="仿宋_GB2312" w:hAnsi="Arial" w:cs="Arial"/>
          <w:color w:val="000000"/>
          <w:sz w:val="32"/>
          <w:szCs w:val="28"/>
        </w:rPr>
      </w:pPr>
      <w:r>
        <w:rPr>
          <w:rFonts w:ascii="仿宋_GB2312" w:eastAsia="仿宋_GB2312" w:hAnsi="仿宋_GB2312" w:cs="仿宋_GB2312" w:hint="eastAsia"/>
          <w:color w:val="000000"/>
          <w:kern w:val="0"/>
          <w:sz w:val="32"/>
          <w:szCs w:val="28"/>
        </w:rPr>
        <w:fldChar w:fldCharType="begin"/>
      </w:r>
      <w:r>
        <w:rPr>
          <w:rFonts w:ascii="仿宋_GB2312" w:eastAsia="仿宋_GB2312" w:hAnsi="仿宋_GB2312" w:cs="仿宋_GB2312" w:hint="eastAsia"/>
          <w:color w:val="000000"/>
          <w:kern w:val="0"/>
          <w:sz w:val="32"/>
          <w:szCs w:val="28"/>
        </w:rPr>
        <w:instrText xml:space="preserve"> = 1 \* GB3 \* MERGEFORMAT </w:instrText>
      </w:r>
      <w:r>
        <w:rPr>
          <w:rFonts w:ascii="仿宋_GB2312" w:eastAsia="仿宋_GB2312" w:hAnsi="仿宋_GB2312" w:cs="仿宋_GB2312" w:hint="eastAsia"/>
          <w:color w:val="000000"/>
          <w:kern w:val="0"/>
          <w:sz w:val="32"/>
          <w:szCs w:val="28"/>
        </w:rPr>
        <w:fldChar w:fldCharType="separate"/>
      </w:r>
      <w:r>
        <w:rPr>
          <w:rFonts w:ascii="仿宋_GB2312" w:eastAsia="仿宋_GB2312" w:hAnsi="仿宋_GB2312" w:cs="仿宋_GB2312" w:hint="eastAsia"/>
          <w:color w:val="000000"/>
          <w:kern w:val="0"/>
          <w:sz w:val="32"/>
          <w:szCs w:val="28"/>
        </w:rPr>
        <w:t>①</w:t>
      </w:r>
      <w:r>
        <w:rPr>
          <w:rFonts w:ascii="仿宋_GB2312" w:eastAsia="仿宋_GB2312" w:hAnsi="仿宋_GB2312" w:cs="仿宋_GB2312" w:hint="eastAsia"/>
          <w:color w:val="000000"/>
          <w:kern w:val="0"/>
          <w:sz w:val="32"/>
          <w:szCs w:val="28"/>
        </w:rPr>
        <w:fldChar w:fldCharType="end"/>
      </w:r>
      <w:r>
        <w:rPr>
          <w:rFonts w:ascii="仿宋_GB2312" w:eastAsia="仿宋_GB2312" w:hAnsi="Arial" w:cs="Arial" w:hint="eastAsia"/>
          <w:color w:val="000000"/>
          <w:sz w:val="32"/>
          <w:szCs w:val="28"/>
        </w:rPr>
        <w:t>束流调试、运维人员</w:t>
      </w:r>
      <w:r>
        <w:rPr>
          <w:rFonts w:ascii="仿宋_GB2312" w:eastAsia="仿宋_GB2312" w:hAnsi="仿宋_GB2312" w:cs="仿宋_GB2312" w:hint="eastAsia"/>
          <w:color w:val="000000"/>
          <w:sz w:val="32"/>
          <w:szCs w:val="28"/>
        </w:rPr>
        <w:t>应具备相应的专业知识、工作技能及实践经验，</w:t>
      </w:r>
      <w:r>
        <w:rPr>
          <w:rFonts w:ascii="仿宋_GB2312" w:eastAsia="仿宋_GB2312" w:hAnsi="Arial" w:cs="Arial" w:hint="eastAsia"/>
          <w:color w:val="000000"/>
          <w:sz w:val="32"/>
          <w:szCs w:val="28"/>
        </w:rPr>
        <w:t>满足岗位任职要求，</w:t>
      </w:r>
      <w:r>
        <w:rPr>
          <w:rFonts w:ascii="仿宋_GB2312" w:eastAsia="仿宋_GB2312" w:hAnsi="Arial" w:cs="Arial"/>
          <w:color w:val="000000"/>
          <w:sz w:val="32"/>
          <w:szCs w:val="28"/>
        </w:rPr>
        <w:t>通过核技术利用辐射安全与防护考核</w:t>
      </w:r>
      <w:r>
        <w:rPr>
          <w:rFonts w:ascii="仿宋_GB2312" w:eastAsia="仿宋_GB2312" w:hAnsi="Arial" w:cs="Arial" w:hint="eastAsia"/>
          <w:color w:val="000000"/>
          <w:sz w:val="32"/>
          <w:szCs w:val="28"/>
        </w:rPr>
        <w:t>并取得证书。</w:t>
      </w:r>
    </w:p>
    <w:p w:rsidR="00B21435" w:rsidRDefault="00F21DBE">
      <w:pPr>
        <w:numPr>
          <w:ilvl w:val="255"/>
          <w:numId w:val="0"/>
        </w:numPr>
        <w:spacing w:line="560" w:lineRule="exact"/>
        <w:ind w:firstLineChars="200" w:firstLine="640"/>
        <w:rPr>
          <w:rFonts w:ascii="仿宋_GB2312" w:eastAsia="仿宋_GB2312" w:hAnsi="Arial" w:cs="Arial"/>
          <w:color w:val="000000"/>
          <w:sz w:val="32"/>
          <w:szCs w:val="28"/>
        </w:rPr>
      </w:pPr>
      <w:r>
        <w:rPr>
          <w:rFonts w:ascii="仿宋_GB2312" w:eastAsia="仿宋_GB2312" w:hAnsi="仿宋_GB2312" w:cs="仿宋_GB2312" w:hint="eastAsia"/>
          <w:color w:val="000000"/>
          <w:kern w:val="0"/>
          <w:sz w:val="32"/>
          <w:szCs w:val="28"/>
        </w:rPr>
        <w:fldChar w:fldCharType="begin"/>
      </w:r>
      <w:r>
        <w:rPr>
          <w:rFonts w:ascii="仿宋_GB2312" w:eastAsia="仿宋_GB2312" w:hAnsi="仿宋_GB2312" w:cs="仿宋_GB2312" w:hint="eastAsia"/>
          <w:color w:val="000000"/>
          <w:kern w:val="0"/>
          <w:sz w:val="32"/>
          <w:szCs w:val="28"/>
        </w:rPr>
        <w:instrText xml:space="preserve"> = 2 \* GB3 \* MERGEFORMAT </w:instrText>
      </w:r>
      <w:r>
        <w:rPr>
          <w:rFonts w:ascii="仿宋_GB2312" w:eastAsia="仿宋_GB2312" w:hAnsi="仿宋_GB2312" w:cs="仿宋_GB2312" w:hint="eastAsia"/>
          <w:color w:val="000000"/>
          <w:kern w:val="0"/>
          <w:sz w:val="32"/>
          <w:szCs w:val="28"/>
        </w:rPr>
        <w:fldChar w:fldCharType="separate"/>
      </w:r>
      <w:r>
        <w:rPr>
          <w:rFonts w:ascii="仿宋_GB2312" w:eastAsia="仿宋_GB2312" w:hAnsi="仿宋_GB2312" w:cs="仿宋_GB2312" w:hint="eastAsia"/>
          <w:color w:val="000000"/>
          <w:kern w:val="0"/>
          <w:sz w:val="32"/>
          <w:szCs w:val="28"/>
        </w:rPr>
        <w:t>②</w:t>
      </w:r>
      <w:r>
        <w:rPr>
          <w:rFonts w:ascii="仿宋_GB2312" w:eastAsia="仿宋_GB2312" w:hAnsi="仿宋_GB2312" w:cs="仿宋_GB2312" w:hint="eastAsia"/>
          <w:color w:val="000000"/>
          <w:kern w:val="0"/>
          <w:sz w:val="32"/>
          <w:szCs w:val="28"/>
        </w:rPr>
        <w:fldChar w:fldCharType="end"/>
      </w:r>
      <w:r>
        <w:rPr>
          <w:rFonts w:ascii="仿宋_GB2312" w:eastAsia="仿宋_GB2312" w:hAnsi="仿宋_GB2312" w:cs="仿宋_GB2312" w:hint="eastAsia"/>
          <w:color w:val="000000"/>
          <w:kern w:val="0"/>
          <w:sz w:val="32"/>
          <w:szCs w:val="28"/>
        </w:rPr>
        <w:t>束流</w:t>
      </w:r>
      <w:r>
        <w:rPr>
          <w:rFonts w:ascii="仿宋_GB2312" w:eastAsia="仿宋_GB2312" w:hAnsi="Arial" w:cs="Arial" w:hint="eastAsia"/>
          <w:color w:val="000000"/>
          <w:sz w:val="32"/>
          <w:szCs w:val="28"/>
        </w:rPr>
        <w:t>调试、运维人员应具备对碳离子/质子治疗系统</w:t>
      </w:r>
      <w:r>
        <w:rPr>
          <w:rFonts w:ascii="仿宋_GB2312" w:eastAsia="仿宋_GB2312" w:hAnsi="Arial" w:cs="Arial"/>
          <w:color w:val="000000"/>
          <w:sz w:val="32"/>
          <w:szCs w:val="28"/>
        </w:rPr>
        <w:t>设备检修维护</w:t>
      </w:r>
      <w:r>
        <w:rPr>
          <w:rFonts w:ascii="仿宋_GB2312" w:eastAsia="仿宋_GB2312" w:hAnsi="Arial" w:cs="Arial" w:hint="eastAsia"/>
          <w:color w:val="000000"/>
          <w:sz w:val="32"/>
          <w:szCs w:val="28"/>
        </w:rPr>
        <w:t>、设备</w:t>
      </w:r>
      <w:r>
        <w:rPr>
          <w:rFonts w:ascii="仿宋_GB2312" w:eastAsia="仿宋_GB2312" w:hAnsi="Arial" w:cs="Arial"/>
          <w:color w:val="000000"/>
          <w:sz w:val="32"/>
          <w:szCs w:val="28"/>
        </w:rPr>
        <w:t>准直</w:t>
      </w:r>
      <w:r>
        <w:rPr>
          <w:rFonts w:ascii="仿宋_GB2312" w:eastAsia="仿宋_GB2312" w:hAnsi="Arial" w:cs="Arial" w:hint="eastAsia"/>
          <w:color w:val="000000"/>
          <w:sz w:val="32"/>
          <w:szCs w:val="28"/>
        </w:rPr>
        <w:t>、</w:t>
      </w:r>
      <w:r>
        <w:rPr>
          <w:rFonts w:ascii="仿宋_GB2312" w:eastAsia="仿宋_GB2312" w:hAnsi="Arial" w:cs="Arial"/>
          <w:color w:val="000000"/>
          <w:sz w:val="32"/>
          <w:szCs w:val="28"/>
        </w:rPr>
        <w:t>束流</w:t>
      </w:r>
      <w:r>
        <w:rPr>
          <w:rFonts w:ascii="仿宋_GB2312" w:eastAsia="仿宋_GB2312" w:hAnsi="Arial" w:cs="Arial" w:hint="eastAsia"/>
          <w:color w:val="000000"/>
          <w:sz w:val="32"/>
          <w:szCs w:val="28"/>
        </w:rPr>
        <w:t>调试、</w:t>
      </w:r>
      <w:r>
        <w:rPr>
          <w:rFonts w:ascii="仿宋_GB2312" w:eastAsia="仿宋_GB2312" w:hAnsi="Arial" w:cs="Arial"/>
          <w:color w:val="000000"/>
          <w:sz w:val="32"/>
          <w:szCs w:val="28"/>
        </w:rPr>
        <w:t>束流</w:t>
      </w:r>
      <w:r>
        <w:rPr>
          <w:rFonts w:ascii="仿宋_GB2312" w:eastAsia="仿宋_GB2312" w:hAnsi="Arial" w:cs="Arial" w:hint="eastAsia"/>
          <w:color w:val="000000"/>
          <w:sz w:val="32"/>
          <w:szCs w:val="28"/>
        </w:rPr>
        <w:t>性能</w:t>
      </w:r>
      <w:r>
        <w:rPr>
          <w:rFonts w:ascii="仿宋_GB2312" w:eastAsia="仿宋_GB2312" w:hAnsi="Arial" w:cs="Arial"/>
          <w:color w:val="000000"/>
          <w:sz w:val="32"/>
          <w:szCs w:val="28"/>
        </w:rPr>
        <w:t>测试</w:t>
      </w:r>
      <w:r>
        <w:rPr>
          <w:rFonts w:ascii="仿宋_GB2312" w:eastAsia="仿宋_GB2312" w:hAnsi="Arial" w:cs="Arial" w:hint="eastAsia"/>
          <w:color w:val="000000"/>
          <w:sz w:val="32"/>
          <w:szCs w:val="28"/>
        </w:rPr>
        <w:t>的能力以及具有编制、改进运行维护作业文件的能力。</w:t>
      </w:r>
    </w:p>
    <w:p w:rsidR="00B21435" w:rsidRDefault="00F21DBE">
      <w:pPr>
        <w:numPr>
          <w:ilvl w:val="0"/>
          <w:numId w:val="4"/>
        </w:numPr>
        <w:spacing w:line="560" w:lineRule="exact"/>
        <w:ind w:firstLine="640"/>
        <w:rPr>
          <w:rFonts w:ascii="仿宋_GB2312" w:eastAsia="仿宋_GB2312" w:hAnsi="Arial" w:cs="Arial"/>
          <w:color w:val="000000"/>
          <w:sz w:val="32"/>
          <w:szCs w:val="28"/>
        </w:rPr>
      </w:pPr>
      <w:r>
        <w:rPr>
          <w:rFonts w:ascii="仿宋_GB2312" w:eastAsia="仿宋_GB2312" w:hAnsi="Arial" w:cs="Arial" w:hint="eastAsia"/>
          <w:color w:val="000000"/>
          <w:kern w:val="0"/>
          <w:sz w:val="32"/>
          <w:szCs w:val="28"/>
        </w:rPr>
        <w:t>核安全管理人员：</w:t>
      </w:r>
    </w:p>
    <w:p w:rsidR="00B21435" w:rsidRDefault="00F21DBE">
      <w:pPr>
        <w:numPr>
          <w:ilvl w:val="255"/>
          <w:numId w:val="0"/>
        </w:numPr>
        <w:spacing w:line="560" w:lineRule="exact"/>
        <w:ind w:firstLineChars="200" w:firstLine="640"/>
        <w:rPr>
          <w:rFonts w:ascii="仿宋_GB2312" w:eastAsia="仿宋_GB2312" w:hAnsi="Arial" w:cs="Arial"/>
          <w:color w:val="000000"/>
          <w:kern w:val="0"/>
          <w:sz w:val="32"/>
          <w:szCs w:val="28"/>
        </w:rPr>
      </w:pPr>
      <w:r>
        <w:rPr>
          <w:rFonts w:ascii="仿宋_GB2312" w:eastAsia="仿宋_GB2312" w:hAnsi="仿宋_GB2312" w:cs="仿宋_GB2312" w:hint="eastAsia"/>
          <w:color w:val="000000"/>
          <w:kern w:val="0"/>
          <w:sz w:val="32"/>
          <w:szCs w:val="28"/>
        </w:rPr>
        <w:fldChar w:fldCharType="begin"/>
      </w:r>
      <w:r>
        <w:rPr>
          <w:rFonts w:ascii="仿宋_GB2312" w:eastAsia="仿宋_GB2312" w:hAnsi="仿宋_GB2312" w:cs="仿宋_GB2312" w:hint="eastAsia"/>
          <w:color w:val="000000"/>
          <w:kern w:val="0"/>
          <w:sz w:val="32"/>
          <w:szCs w:val="28"/>
        </w:rPr>
        <w:instrText xml:space="preserve"> = 1 \* GB3 \* MERGEFORMAT </w:instrText>
      </w:r>
      <w:r>
        <w:rPr>
          <w:rFonts w:ascii="仿宋_GB2312" w:eastAsia="仿宋_GB2312" w:hAnsi="仿宋_GB2312" w:cs="仿宋_GB2312" w:hint="eastAsia"/>
          <w:color w:val="000000"/>
          <w:kern w:val="0"/>
          <w:sz w:val="32"/>
          <w:szCs w:val="28"/>
        </w:rPr>
        <w:fldChar w:fldCharType="separate"/>
      </w:r>
      <w:r>
        <w:rPr>
          <w:rFonts w:ascii="仿宋_GB2312" w:eastAsia="仿宋_GB2312" w:hAnsi="仿宋_GB2312" w:cs="仿宋_GB2312" w:hint="eastAsia"/>
          <w:color w:val="000000"/>
          <w:kern w:val="0"/>
          <w:sz w:val="32"/>
          <w:szCs w:val="28"/>
        </w:rPr>
        <w:t>①</w:t>
      </w:r>
      <w:r>
        <w:rPr>
          <w:rFonts w:ascii="仿宋_GB2312" w:eastAsia="仿宋_GB2312" w:hAnsi="仿宋_GB2312" w:cs="仿宋_GB2312" w:hint="eastAsia"/>
          <w:color w:val="000000"/>
          <w:kern w:val="0"/>
          <w:sz w:val="32"/>
          <w:szCs w:val="28"/>
        </w:rPr>
        <w:fldChar w:fldCharType="end"/>
      </w:r>
      <w:r>
        <w:rPr>
          <w:rFonts w:ascii="仿宋_GB2312" w:eastAsia="仿宋_GB2312" w:hAnsi="Arial" w:cs="Arial" w:hint="eastAsia"/>
          <w:color w:val="000000"/>
          <w:kern w:val="0"/>
          <w:sz w:val="32"/>
          <w:szCs w:val="28"/>
        </w:rPr>
        <w:t>企业应配备1名注册核安全工程师。</w:t>
      </w:r>
    </w:p>
    <w:p w:rsidR="00B21435" w:rsidRDefault="00F21DBE">
      <w:pPr>
        <w:numPr>
          <w:ilvl w:val="255"/>
          <w:numId w:val="0"/>
        </w:numPr>
        <w:spacing w:line="560" w:lineRule="exact"/>
        <w:ind w:firstLineChars="200" w:firstLine="640"/>
        <w:rPr>
          <w:rFonts w:ascii="仿宋_GB2312" w:eastAsia="仿宋_GB2312" w:hAnsi="Arial" w:cs="Arial"/>
          <w:color w:val="000000"/>
          <w:sz w:val="32"/>
          <w:szCs w:val="28"/>
        </w:rPr>
      </w:pPr>
      <w:r>
        <w:rPr>
          <w:rFonts w:ascii="仿宋_GB2312" w:eastAsia="仿宋_GB2312" w:hAnsi="仿宋_GB2312" w:cs="仿宋_GB2312" w:hint="eastAsia"/>
          <w:color w:val="000000"/>
          <w:kern w:val="0"/>
          <w:sz w:val="32"/>
          <w:szCs w:val="28"/>
        </w:rPr>
        <w:fldChar w:fldCharType="begin"/>
      </w:r>
      <w:r>
        <w:rPr>
          <w:rFonts w:ascii="仿宋_GB2312" w:eastAsia="仿宋_GB2312" w:hAnsi="仿宋_GB2312" w:cs="仿宋_GB2312" w:hint="eastAsia"/>
          <w:color w:val="000000"/>
          <w:kern w:val="0"/>
          <w:sz w:val="32"/>
          <w:szCs w:val="28"/>
        </w:rPr>
        <w:instrText xml:space="preserve"> = 2 \* GB3 \* MERGEFORMAT </w:instrText>
      </w:r>
      <w:r>
        <w:rPr>
          <w:rFonts w:ascii="仿宋_GB2312" w:eastAsia="仿宋_GB2312" w:hAnsi="仿宋_GB2312" w:cs="仿宋_GB2312" w:hint="eastAsia"/>
          <w:color w:val="000000"/>
          <w:kern w:val="0"/>
          <w:sz w:val="32"/>
          <w:szCs w:val="28"/>
        </w:rPr>
        <w:fldChar w:fldCharType="separate"/>
      </w:r>
      <w:r>
        <w:rPr>
          <w:rFonts w:ascii="仿宋_GB2312" w:eastAsia="仿宋_GB2312" w:hAnsi="仿宋_GB2312" w:cs="仿宋_GB2312" w:hint="eastAsia"/>
          <w:color w:val="000000"/>
          <w:kern w:val="0"/>
          <w:sz w:val="32"/>
          <w:szCs w:val="28"/>
        </w:rPr>
        <w:t>②</w:t>
      </w:r>
      <w:r>
        <w:rPr>
          <w:rFonts w:ascii="仿宋_GB2312" w:eastAsia="仿宋_GB2312" w:hAnsi="仿宋_GB2312" w:cs="仿宋_GB2312" w:hint="eastAsia"/>
          <w:color w:val="000000"/>
          <w:kern w:val="0"/>
          <w:sz w:val="32"/>
          <w:szCs w:val="28"/>
        </w:rPr>
        <w:fldChar w:fldCharType="end"/>
      </w:r>
      <w:r>
        <w:rPr>
          <w:rFonts w:ascii="仿宋_GB2312" w:eastAsia="仿宋_GB2312" w:hAnsi="仿宋_GB2312" w:cs="仿宋_GB2312" w:hint="eastAsia"/>
          <w:color w:val="000000"/>
          <w:kern w:val="0"/>
          <w:sz w:val="32"/>
          <w:szCs w:val="28"/>
        </w:rPr>
        <w:t>企业应配备</w:t>
      </w:r>
      <w:r>
        <w:rPr>
          <w:rFonts w:ascii="仿宋_GB2312" w:eastAsia="仿宋_GB2312" w:hAnsi="Arial" w:cs="Arial" w:hint="eastAsia"/>
          <w:color w:val="000000"/>
          <w:kern w:val="0"/>
          <w:sz w:val="32"/>
          <w:szCs w:val="28"/>
        </w:rPr>
        <w:t>至少1名本科及以上学历的专职辐射管理人员。</w:t>
      </w:r>
    </w:p>
    <w:p w:rsidR="00B21435" w:rsidRDefault="00F21DBE">
      <w:pPr>
        <w:pStyle w:val="4"/>
        <w:keepNext w:val="0"/>
        <w:keepLines w:val="0"/>
        <w:ind w:firstLine="640"/>
      </w:pPr>
      <w:bookmarkStart w:id="285" w:name="_Toc25797"/>
      <w:bookmarkStart w:id="286" w:name="_Toc6718"/>
      <w:bookmarkStart w:id="287" w:name="_Toc20149"/>
      <w:bookmarkStart w:id="288" w:name="_Toc9515"/>
      <w:bookmarkStart w:id="289" w:name="_Toc12685"/>
      <w:bookmarkStart w:id="290" w:name="_Toc14501"/>
      <w:bookmarkStart w:id="291" w:name="_Toc28567"/>
      <w:bookmarkStart w:id="292" w:name="_Toc2994"/>
      <w:bookmarkStart w:id="293" w:name="_Toc32255"/>
      <w:bookmarkStart w:id="294" w:name="_Toc18879"/>
      <w:bookmarkStart w:id="295" w:name="_Toc21805"/>
      <w:bookmarkStart w:id="296" w:name="_Toc32215"/>
      <w:r>
        <w:rPr>
          <w:rFonts w:hint="eastAsia"/>
        </w:rPr>
        <w:t>4.</w:t>
      </w:r>
      <w:r>
        <w:rPr>
          <w:rFonts w:hint="eastAsia"/>
        </w:rPr>
        <w:t>人员培训</w:t>
      </w:r>
      <w:bookmarkEnd w:id="285"/>
      <w:bookmarkEnd w:id="286"/>
      <w:bookmarkEnd w:id="287"/>
      <w:bookmarkEnd w:id="288"/>
      <w:bookmarkEnd w:id="289"/>
      <w:bookmarkEnd w:id="290"/>
      <w:bookmarkEnd w:id="291"/>
      <w:bookmarkEnd w:id="292"/>
      <w:bookmarkEnd w:id="293"/>
      <w:bookmarkEnd w:id="294"/>
      <w:bookmarkEnd w:id="295"/>
      <w:bookmarkEnd w:id="296"/>
    </w:p>
    <w:p w:rsidR="00B21435" w:rsidRDefault="00F21DBE">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企业应对从事影响产品质量的特别是从事特殊生产过</w:t>
      </w:r>
      <w:r>
        <w:rPr>
          <w:rFonts w:ascii="仿宋_GB2312" w:eastAsia="仿宋_GB2312" w:hAnsi="Arial" w:cs="Arial" w:hint="eastAsia"/>
          <w:color w:val="000000"/>
          <w:sz w:val="32"/>
          <w:szCs w:val="28"/>
        </w:rPr>
        <w:lastRenderedPageBreak/>
        <w:t>程、安装调试、检验检测、运行维护等关键岗位人员制定考核评价制度，包含但不限于</w:t>
      </w:r>
      <w:r>
        <w:rPr>
          <w:rFonts w:ascii="仿宋_GB2312" w:eastAsia="仿宋_GB2312" w:hAnsi="仿宋_GB2312" w:cs="仿宋_GB2312" w:hint="eastAsia"/>
          <w:color w:val="000000"/>
          <w:sz w:val="32"/>
          <w:szCs w:val="28"/>
        </w:rPr>
        <w:t>磁铁、真空、高频、束诊、</w:t>
      </w:r>
      <w:r>
        <w:rPr>
          <w:rFonts w:ascii="仿宋_GB2312" w:eastAsia="仿宋_GB2312" w:hAnsi="仿宋_GB2312" w:cs="仿宋_GB2312" w:hint="eastAsia"/>
          <w:color w:val="000000"/>
          <w:kern w:val="0"/>
          <w:sz w:val="32"/>
          <w:szCs w:val="28"/>
        </w:rPr>
        <w:t>离子</w:t>
      </w:r>
      <w:r>
        <w:rPr>
          <w:rFonts w:ascii="仿宋_GB2312" w:eastAsia="仿宋_GB2312" w:hAnsi="仿宋_GB2312" w:cs="仿宋_GB2312" w:hint="eastAsia"/>
          <w:color w:val="000000"/>
          <w:sz w:val="32"/>
          <w:szCs w:val="28"/>
        </w:rPr>
        <w:t>源等各系统设备安装人员，准直人员，专职检验人员等，</w:t>
      </w:r>
      <w:r>
        <w:rPr>
          <w:rFonts w:ascii="仿宋_GB2312" w:eastAsia="仿宋_GB2312" w:hAnsi="Arial" w:cs="Arial" w:hint="eastAsia"/>
          <w:color w:val="000000"/>
          <w:sz w:val="32"/>
          <w:szCs w:val="28"/>
        </w:rPr>
        <w:t>培训内容应包括相关法律法规、基础理论知识、专业操作技能、过程质量控制及质量检验等，并保留相关培训记录。</w:t>
      </w:r>
    </w:p>
    <w:p w:rsidR="00B21435" w:rsidRDefault="00F21DBE">
      <w:pPr>
        <w:pStyle w:val="4"/>
        <w:ind w:firstLine="640"/>
      </w:pPr>
      <w:bookmarkStart w:id="297" w:name="_Toc27076"/>
      <w:bookmarkStart w:id="298" w:name="_Toc22775"/>
      <w:bookmarkStart w:id="299" w:name="_Toc15035"/>
      <w:bookmarkStart w:id="300" w:name="_Toc8816"/>
      <w:bookmarkStart w:id="301" w:name="_Toc26065"/>
      <w:bookmarkStart w:id="302" w:name="_Toc32063"/>
      <w:bookmarkStart w:id="303" w:name="_Toc14812"/>
      <w:bookmarkStart w:id="304" w:name="_Toc30153"/>
      <w:bookmarkStart w:id="305" w:name="_Toc1275"/>
      <w:bookmarkStart w:id="306" w:name="_Toc16703"/>
      <w:bookmarkStart w:id="307" w:name="_Toc14061"/>
      <w:bookmarkStart w:id="308" w:name="_Toc25670"/>
      <w:r>
        <w:rPr>
          <w:rFonts w:hint="eastAsia"/>
        </w:rPr>
        <w:t>5.</w:t>
      </w:r>
      <w:r>
        <w:rPr>
          <w:rFonts w:hint="eastAsia"/>
        </w:rPr>
        <w:t>人员健康管理</w:t>
      </w:r>
      <w:bookmarkEnd w:id="297"/>
      <w:bookmarkEnd w:id="298"/>
      <w:bookmarkEnd w:id="299"/>
      <w:bookmarkEnd w:id="300"/>
      <w:bookmarkEnd w:id="301"/>
      <w:bookmarkEnd w:id="302"/>
      <w:bookmarkEnd w:id="303"/>
      <w:bookmarkEnd w:id="304"/>
      <w:bookmarkEnd w:id="305"/>
      <w:bookmarkEnd w:id="306"/>
      <w:bookmarkEnd w:id="307"/>
      <w:bookmarkEnd w:id="308"/>
    </w:p>
    <w:p w:rsidR="00B21435" w:rsidRDefault="00A62EAD">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1）企业应建立人员健康管理制度，明确人员健康管理要求，并依据制度对从事放射安全相关的人员定期进行职业健康体检和个人辐射剂量吸收水平监测，</w:t>
      </w:r>
      <w:proofErr w:type="gramStart"/>
      <w:r w:rsidR="00F21DBE">
        <w:rPr>
          <w:rFonts w:ascii="仿宋_GB2312" w:eastAsia="仿宋_GB2312" w:hAnsi="Arial" w:cs="Arial" w:hint="eastAsia"/>
          <w:color w:val="000000"/>
          <w:sz w:val="32"/>
          <w:szCs w:val="28"/>
        </w:rPr>
        <w:t>且建立</w:t>
      </w:r>
      <w:proofErr w:type="gramEnd"/>
      <w:r w:rsidR="00F21DBE">
        <w:rPr>
          <w:rFonts w:ascii="仿宋_GB2312" w:eastAsia="仿宋_GB2312" w:hAnsi="Arial" w:cs="Arial" w:hint="eastAsia"/>
          <w:color w:val="000000"/>
          <w:sz w:val="32"/>
          <w:szCs w:val="28"/>
        </w:rPr>
        <w:t>健康档案。</w:t>
      </w:r>
    </w:p>
    <w:p w:rsidR="00B21435" w:rsidRDefault="00A62EAD">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2）企业应对束流调试期间间接与产品接触的设计人员、安装人员、检验人员、运</w:t>
      </w:r>
      <w:proofErr w:type="gramStart"/>
      <w:r w:rsidR="00F21DBE">
        <w:rPr>
          <w:rFonts w:ascii="仿宋_GB2312" w:eastAsia="仿宋_GB2312" w:hAnsi="Arial" w:cs="Arial" w:hint="eastAsia"/>
          <w:color w:val="000000"/>
          <w:sz w:val="32"/>
          <w:szCs w:val="28"/>
        </w:rPr>
        <w:t>维人员</w:t>
      </w:r>
      <w:proofErr w:type="gramEnd"/>
      <w:r w:rsidR="00F21DBE">
        <w:rPr>
          <w:rFonts w:ascii="仿宋_GB2312" w:eastAsia="仿宋_GB2312" w:hAnsi="Arial" w:cs="Arial" w:hint="eastAsia"/>
          <w:color w:val="000000"/>
          <w:sz w:val="32"/>
          <w:szCs w:val="28"/>
        </w:rPr>
        <w:t>等纳入辐射安全管理，应配备个人剂量计，并采取必要的辐射防护措施。</w:t>
      </w:r>
    </w:p>
    <w:p w:rsidR="00B21435" w:rsidRDefault="00F21DBE">
      <w:pPr>
        <w:spacing w:line="560" w:lineRule="exact"/>
        <w:ind w:firstLineChars="200" w:firstLine="640"/>
        <w:outlineLvl w:val="2"/>
        <w:rPr>
          <w:rFonts w:ascii="楷体" w:eastAsia="楷体" w:hAnsi="楷体" w:cs="楷体"/>
          <w:sz w:val="32"/>
          <w:szCs w:val="32"/>
        </w:rPr>
      </w:pPr>
      <w:bookmarkStart w:id="309" w:name="_Toc22383"/>
      <w:bookmarkStart w:id="310" w:name="_Toc7241"/>
      <w:bookmarkStart w:id="311" w:name="_Toc12387"/>
      <w:bookmarkStart w:id="312" w:name="_Toc31068"/>
      <w:bookmarkStart w:id="313" w:name="_Toc20649"/>
      <w:bookmarkStart w:id="314" w:name="_Toc27948"/>
      <w:bookmarkStart w:id="315" w:name="_Toc24556"/>
      <w:bookmarkStart w:id="316" w:name="_Toc1842"/>
      <w:bookmarkStart w:id="317" w:name="_Toc17994"/>
      <w:bookmarkStart w:id="318" w:name="_Toc18787"/>
      <w:bookmarkStart w:id="319" w:name="_Toc9763"/>
      <w:bookmarkStart w:id="320" w:name="_Toc28526"/>
      <w:bookmarkStart w:id="321" w:name="_Toc7520"/>
      <w:r>
        <w:rPr>
          <w:rFonts w:ascii="楷体" w:eastAsia="楷体" w:hAnsi="楷体" w:cs="楷体" w:hint="eastAsia"/>
          <w:sz w:val="32"/>
          <w:szCs w:val="32"/>
        </w:rPr>
        <w:t>（二）厂房与设施</w:t>
      </w:r>
      <w:bookmarkEnd w:id="309"/>
      <w:bookmarkEnd w:id="310"/>
      <w:bookmarkEnd w:id="311"/>
      <w:bookmarkEnd w:id="312"/>
      <w:bookmarkEnd w:id="313"/>
      <w:bookmarkEnd w:id="314"/>
      <w:bookmarkEnd w:id="315"/>
      <w:bookmarkEnd w:id="316"/>
      <w:bookmarkEnd w:id="317"/>
      <w:bookmarkEnd w:id="318"/>
      <w:bookmarkEnd w:id="319"/>
      <w:bookmarkEnd w:id="320"/>
      <w:bookmarkEnd w:id="321"/>
    </w:p>
    <w:p w:rsidR="00B21435" w:rsidRDefault="00F21DBE">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企业应配备与所生产产品相适应的工作环境和基础设施，根据生产制造工艺流程合理划分区域，各区域应方便生产操作和管理。碳离子/质子治疗系统生产制造所需的生产场所一般包括生产企业关键零部件、子系统的生产，客户安装场地安装调试两个方面。</w:t>
      </w:r>
    </w:p>
    <w:p w:rsidR="00B21435" w:rsidRDefault="00F21DBE">
      <w:pPr>
        <w:spacing w:line="560" w:lineRule="exact"/>
        <w:ind w:firstLineChars="200" w:firstLine="640"/>
        <w:outlineLvl w:val="3"/>
        <w:rPr>
          <w:rFonts w:ascii="仿宋_GB2312" w:eastAsia="仿宋_GB2312" w:hAnsi="Arial" w:cs="Arial"/>
          <w:kern w:val="0"/>
          <w:sz w:val="32"/>
          <w:szCs w:val="32"/>
        </w:rPr>
      </w:pPr>
      <w:r>
        <w:rPr>
          <w:rFonts w:ascii="仿宋_GB2312" w:eastAsia="仿宋_GB2312" w:hAnsi="Arial" w:cs="Arial" w:hint="eastAsia"/>
          <w:color w:val="000000"/>
          <w:sz w:val="32"/>
          <w:szCs w:val="28"/>
        </w:rPr>
        <w:t>1.</w:t>
      </w:r>
      <w:r>
        <w:rPr>
          <w:rFonts w:ascii="仿宋_GB2312" w:eastAsia="仿宋_GB2312" w:hAnsi="Arial" w:cs="Arial" w:hint="eastAsia"/>
          <w:kern w:val="0"/>
          <w:sz w:val="32"/>
          <w:szCs w:val="32"/>
        </w:rPr>
        <w:t>生产制造</w:t>
      </w:r>
    </w:p>
    <w:p w:rsidR="00B21435" w:rsidRDefault="00A62EAD">
      <w:pPr>
        <w:spacing w:line="560" w:lineRule="exact"/>
        <w:ind w:firstLineChars="200" w:firstLine="640"/>
        <w:rPr>
          <w:rFonts w:ascii="仿宋_GB2312" w:eastAsia="仿宋_GB2312" w:hAnsi="Arial" w:cs="Arial"/>
          <w:kern w:val="0"/>
          <w:sz w:val="32"/>
          <w:szCs w:val="32"/>
        </w:rPr>
      </w:pPr>
      <w:r>
        <w:rPr>
          <w:rFonts w:ascii="仿宋_GB2312" w:eastAsia="仿宋_GB2312" w:hAnsi="Arial" w:cs="Arial" w:hint="eastAsia"/>
          <w:kern w:val="0"/>
          <w:sz w:val="32"/>
          <w:szCs w:val="32"/>
        </w:rPr>
        <w:t>（</w:t>
      </w:r>
      <w:r w:rsidR="00F21DBE">
        <w:rPr>
          <w:rFonts w:ascii="仿宋_GB2312" w:eastAsia="仿宋_GB2312" w:hAnsi="Arial" w:cs="Arial" w:hint="eastAsia"/>
          <w:kern w:val="0"/>
          <w:sz w:val="32"/>
          <w:szCs w:val="32"/>
        </w:rPr>
        <w:t>1）企业应配置生产制造所需的能源、通风、温度、湿度、给排水、压缩空气等设施。</w:t>
      </w:r>
    </w:p>
    <w:p w:rsidR="00B21435" w:rsidRDefault="00A62EAD">
      <w:pPr>
        <w:spacing w:line="560" w:lineRule="exact"/>
        <w:ind w:firstLineChars="200" w:firstLine="640"/>
        <w:rPr>
          <w:rFonts w:ascii="仿宋_GB2312" w:eastAsia="仿宋_GB2312" w:hAnsi="Arial" w:cs="Arial"/>
          <w:kern w:val="0"/>
          <w:sz w:val="32"/>
          <w:szCs w:val="32"/>
        </w:rPr>
      </w:pPr>
      <w:r>
        <w:rPr>
          <w:rFonts w:ascii="仿宋_GB2312" w:eastAsia="仿宋_GB2312" w:hAnsi="Arial" w:cs="Arial" w:hint="eastAsia"/>
          <w:kern w:val="0"/>
          <w:sz w:val="32"/>
          <w:szCs w:val="32"/>
        </w:rPr>
        <w:t>（</w:t>
      </w:r>
      <w:r w:rsidR="00F21DBE">
        <w:rPr>
          <w:rFonts w:ascii="仿宋_GB2312" w:eastAsia="仿宋_GB2312" w:hAnsi="Arial" w:cs="Arial" w:hint="eastAsia"/>
          <w:kern w:val="0"/>
          <w:sz w:val="32"/>
          <w:szCs w:val="32"/>
        </w:rPr>
        <w:t>2）企业应结合碳离子/质子治疗系统生产制造工艺流程将生产场所划分为加工区、装配区、仓储区、待检区、不合格品区等不同的区域，各区域应合布局理，不得相互妨碍</w:t>
      </w:r>
      <w:r w:rsidR="00F21DBE">
        <w:rPr>
          <w:rFonts w:ascii="仿宋_GB2312" w:eastAsia="仿宋_GB2312" w:hAnsi="Arial" w:cs="Arial" w:hint="eastAsia"/>
          <w:kern w:val="0"/>
          <w:sz w:val="32"/>
          <w:szCs w:val="32"/>
        </w:rPr>
        <w:lastRenderedPageBreak/>
        <w:t>或干涉。</w:t>
      </w:r>
    </w:p>
    <w:p w:rsidR="00B21435" w:rsidRDefault="00A62EAD">
      <w:pPr>
        <w:spacing w:line="560" w:lineRule="exact"/>
        <w:ind w:firstLineChars="200" w:firstLine="640"/>
        <w:rPr>
          <w:rFonts w:ascii="仿宋_GB2312" w:eastAsia="仿宋_GB2312" w:hAnsi="Arial" w:cs="Arial"/>
          <w:kern w:val="0"/>
          <w:sz w:val="32"/>
          <w:szCs w:val="32"/>
        </w:rPr>
      </w:pPr>
      <w:r>
        <w:rPr>
          <w:rFonts w:ascii="仿宋_GB2312" w:eastAsia="仿宋_GB2312" w:hAnsi="Arial" w:cs="Arial" w:hint="eastAsia"/>
          <w:kern w:val="0"/>
          <w:sz w:val="32"/>
          <w:szCs w:val="28"/>
        </w:rPr>
        <w:t>（</w:t>
      </w:r>
      <w:r w:rsidR="00F21DBE">
        <w:rPr>
          <w:rFonts w:ascii="仿宋_GB2312" w:eastAsia="仿宋_GB2312" w:hAnsi="Arial" w:cs="Arial" w:hint="eastAsia"/>
          <w:kern w:val="0"/>
          <w:sz w:val="32"/>
          <w:szCs w:val="28"/>
        </w:rPr>
        <w:t>3）原则上，</w:t>
      </w:r>
      <w:r w:rsidR="00F21DBE">
        <w:rPr>
          <w:rFonts w:ascii="仿宋_GB2312" w:eastAsia="仿宋_GB2312" w:hAnsi="Arial" w:cs="Arial" w:hint="eastAsia"/>
          <w:kern w:val="0"/>
          <w:sz w:val="32"/>
          <w:szCs w:val="32"/>
        </w:rPr>
        <w:t>企业应配置碳离子/质子治疗系统焊接、除气的厂房，如氢气炉、真空炉专用厂房。</w:t>
      </w:r>
    </w:p>
    <w:p w:rsidR="00B21435" w:rsidRDefault="00A62EAD">
      <w:pPr>
        <w:spacing w:line="560" w:lineRule="exact"/>
        <w:ind w:firstLineChars="200" w:firstLine="640"/>
        <w:rPr>
          <w:rFonts w:ascii="仿宋_GB2312" w:eastAsia="仿宋_GB2312" w:hAnsi="Arial" w:cs="Arial"/>
          <w:kern w:val="0"/>
          <w:sz w:val="32"/>
          <w:szCs w:val="32"/>
        </w:rPr>
      </w:pPr>
      <w:r>
        <w:rPr>
          <w:rFonts w:ascii="仿宋_GB2312" w:eastAsia="仿宋_GB2312" w:hAnsi="Arial" w:cs="Arial" w:hint="eastAsia"/>
          <w:kern w:val="0"/>
          <w:sz w:val="32"/>
          <w:szCs w:val="28"/>
        </w:rPr>
        <w:t>（4</w:t>
      </w:r>
      <w:r w:rsidR="00F21DBE">
        <w:rPr>
          <w:rFonts w:ascii="仿宋_GB2312" w:eastAsia="仿宋_GB2312" w:hAnsi="Arial" w:cs="Arial" w:hint="eastAsia"/>
          <w:kern w:val="0"/>
          <w:sz w:val="32"/>
          <w:szCs w:val="28"/>
        </w:rPr>
        <w:t>）原则上，</w:t>
      </w:r>
      <w:r w:rsidR="00F21DBE">
        <w:rPr>
          <w:rFonts w:ascii="仿宋_GB2312" w:eastAsia="仿宋_GB2312" w:hAnsi="Arial" w:cs="Arial" w:hint="eastAsia"/>
          <w:kern w:val="0"/>
          <w:sz w:val="32"/>
          <w:szCs w:val="32"/>
        </w:rPr>
        <w:t>企业应配置离子源、注入器、主加速器、Gantry等系统调试的辐射屏蔽厂房。</w:t>
      </w:r>
    </w:p>
    <w:p w:rsidR="00B21435" w:rsidRDefault="00A62EAD">
      <w:pPr>
        <w:spacing w:line="560" w:lineRule="exact"/>
        <w:ind w:firstLineChars="200" w:firstLine="640"/>
        <w:rPr>
          <w:rFonts w:ascii="仿宋_GB2312" w:eastAsia="仿宋_GB2312" w:hAnsi="Arial" w:cs="Arial"/>
          <w:kern w:val="0"/>
          <w:sz w:val="32"/>
          <w:szCs w:val="32"/>
        </w:rPr>
      </w:pPr>
      <w:r>
        <w:rPr>
          <w:rFonts w:ascii="仿宋_GB2312" w:eastAsia="仿宋_GB2312" w:hAnsi="Arial" w:cs="Arial" w:hint="eastAsia"/>
          <w:kern w:val="0"/>
          <w:sz w:val="32"/>
          <w:szCs w:val="28"/>
        </w:rPr>
        <w:t>（</w:t>
      </w:r>
      <w:r w:rsidR="00F21DBE">
        <w:rPr>
          <w:rFonts w:ascii="仿宋_GB2312" w:eastAsia="仿宋_GB2312" w:hAnsi="Arial" w:cs="Arial" w:hint="eastAsia"/>
          <w:kern w:val="0"/>
          <w:sz w:val="32"/>
          <w:szCs w:val="28"/>
        </w:rPr>
        <w:t>5）</w:t>
      </w:r>
      <w:r w:rsidR="00F21DBE">
        <w:rPr>
          <w:rFonts w:ascii="仿宋_GB2312" w:eastAsia="仿宋_GB2312" w:hAnsi="Arial" w:cs="Arial" w:hint="eastAsia"/>
          <w:kern w:val="0"/>
          <w:sz w:val="32"/>
          <w:szCs w:val="32"/>
        </w:rPr>
        <w:t>企业应配置</w:t>
      </w:r>
      <w:r w:rsidR="00F21DBE">
        <w:rPr>
          <w:rFonts w:ascii="仿宋_GB2312" w:eastAsia="仿宋_GB2312" w:hAnsi="仿宋_GB2312" w:cs="仿宋_GB2312" w:hint="eastAsia"/>
          <w:kern w:val="0"/>
          <w:sz w:val="32"/>
          <w:szCs w:val="32"/>
        </w:rPr>
        <w:fldChar w:fldCharType="begin"/>
      </w:r>
      <w:r w:rsidR="00F21DBE">
        <w:rPr>
          <w:rFonts w:ascii="仿宋_GB2312" w:eastAsia="仿宋_GB2312" w:hAnsi="仿宋_GB2312" w:cs="仿宋_GB2312" w:hint="eastAsia"/>
          <w:kern w:val="0"/>
          <w:sz w:val="32"/>
          <w:szCs w:val="32"/>
        </w:rPr>
        <w:instrText xml:space="preserve"> = 1 \* ROMAN \* MERGEFORMAT </w:instrText>
      </w:r>
      <w:r w:rsidR="00F21DBE">
        <w:rPr>
          <w:rFonts w:ascii="仿宋_GB2312" w:eastAsia="仿宋_GB2312" w:hAnsi="仿宋_GB2312" w:cs="仿宋_GB2312" w:hint="eastAsia"/>
          <w:kern w:val="0"/>
          <w:sz w:val="32"/>
          <w:szCs w:val="32"/>
        </w:rPr>
        <w:fldChar w:fldCharType="separate"/>
      </w:r>
      <w:r w:rsidR="00F21DBE">
        <w:rPr>
          <w:rFonts w:ascii="仿宋_GB2312" w:eastAsia="仿宋_GB2312" w:hAnsi="仿宋_GB2312" w:cs="仿宋_GB2312" w:hint="eastAsia"/>
          <w:kern w:val="0"/>
          <w:sz w:val="32"/>
          <w:szCs w:val="32"/>
        </w:rPr>
        <w:t>I</w:t>
      </w:r>
      <w:r w:rsidR="00F21DBE">
        <w:rPr>
          <w:rFonts w:ascii="仿宋_GB2312" w:eastAsia="仿宋_GB2312" w:hAnsi="仿宋_GB2312" w:cs="仿宋_GB2312" w:hint="eastAsia"/>
          <w:kern w:val="0"/>
          <w:sz w:val="32"/>
          <w:szCs w:val="32"/>
        </w:rPr>
        <w:fldChar w:fldCharType="end"/>
      </w:r>
      <w:r w:rsidR="00F21DBE">
        <w:rPr>
          <w:rFonts w:ascii="仿宋_GB2312" w:eastAsia="仿宋_GB2312" w:hAnsi="仿宋_GB2312" w:cs="仿宋_GB2312" w:hint="eastAsia"/>
          <w:kern w:val="0"/>
          <w:sz w:val="32"/>
          <w:szCs w:val="32"/>
        </w:rPr>
        <w:t>类或Ⅱ类射线装置辐射安全防护设施，如防护门、安全联锁装置、剂量监测装置等，并应取得</w:t>
      </w:r>
      <w:r w:rsidR="00F21DBE">
        <w:rPr>
          <w:rFonts w:ascii="仿宋_GB2312" w:eastAsia="仿宋_GB2312" w:hAnsi="仿宋_GB2312" w:cs="仿宋_GB2312" w:hint="eastAsia"/>
          <w:kern w:val="0"/>
          <w:sz w:val="32"/>
          <w:szCs w:val="32"/>
        </w:rPr>
        <w:fldChar w:fldCharType="begin"/>
      </w:r>
      <w:r w:rsidR="00F21DBE">
        <w:rPr>
          <w:rFonts w:ascii="仿宋_GB2312" w:eastAsia="仿宋_GB2312" w:hAnsi="仿宋_GB2312" w:cs="仿宋_GB2312" w:hint="eastAsia"/>
          <w:kern w:val="0"/>
          <w:sz w:val="32"/>
          <w:szCs w:val="32"/>
        </w:rPr>
        <w:instrText xml:space="preserve"> = 1 \* ROMAN \* MERGEFORMAT </w:instrText>
      </w:r>
      <w:r w:rsidR="00F21DBE">
        <w:rPr>
          <w:rFonts w:ascii="仿宋_GB2312" w:eastAsia="仿宋_GB2312" w:hAnsi="仿宋_GB2312" w:cs="仿宋_GB2312" w:hint="eastAsia"/>
          <w:kern w:val="0"/>
          <w:sz w:val="32"/>
          <w:szCs w:val="32"/>
        </w:rPr>
        <w:fldChar w:fldCharType="separate"/>
      </w:r>
      <w:r w:rsidR="00F21DBE">
        <w:rPr>
          <w:rFonts w:ascii="仿宋_GB2312" w:eastAsia="仿宋_GB2312" w:hAnsi="仿宋_GB2312" w:cs="仿宋_GB2312" w:hint="eastAsia"/>
          <w:kern w:val="0"/>
          <w:sz w:val="32"/>
          <w:szCs w:val="32"/>
        </w:rPr>
        <w:t>I</w:t>
      </w:r>
      <w:r w:rsidR="00F21DBE">
        <w:rPr>
          <w:rFonts w:ascii="仿宋_GB2312" w:eastAsia="仿宋_GB2312" w:hAnsi="仿宋_GB2312" w:cs="仿宋_GB2312" w:hint="eastAsia"/>
          <w:kern w:val="0"/>
          <w:sz w:val="32"/>
          <w:szCs w:val="32"/>
        </w:rPr>
        <w:fldChar w:fldCharType="end"/>
      </w:r>
      <w:r w:rsidR="00F21DBE">
        <w:rPr>
          <w:rFonts w:ascii="仿宋_GB2312" w:eastAsia="仿宋_GB2312" w:hAnsi="仿宋_GB2312" w:cs="仿宋_GB2312" w:hint="eastAsia"/>
          <w:kern w:val="0"/>
          <w:sz w:val="32"/>
          <w:szCs w:val="32"/>
        </w:rPr>
        <w:t>类或Ⅱ类射线装置辐射</w:t>
      </w:r>
      <w:r w:rsidR="00F21DBE">
        <w:rPr>
          <w:rFonts w:ascii="仿宋_GB2312" w:eastAsia="仿宋_GB2312" w:hAnsi="Arial" w:cs="Arial" w:hint="eastAsia"/>
          <w:kern w:val="0"/>
          <w:sz w:val="32"/>
          <w:szCs w:val="32"/>
        </w:rPr>
        <w:t>安全许可证</w:t>
      </w:r>
      <w:r w:rsidR="00F21DBE">
        <w:rPr>
          <w:rFonts w:ascii="仿宋_GB2312" w:eastAsia="仿宋_GB2312" w:hAnsi="Arial" w:cs="Arial" w:hint="eastAsia"/>
          <w:color w:val="000000"/>
          <w:sz w:val="32"/>
          <w:szCs w:val="28"/>
        </w:rPr>
        <w:t>。</w:t>
      </w:r>
    </w:p>
    <w:p w:rsidR="00B21435" w:rsidRDefault="00F21DBE">
      <w:pPr>
        <w:spacing w:line="560" w:lineRule="exact"/>
        <w:ind w:firstLineChars="200" w:firstLine="640"/>
        <w:outlineLvl w:val="3"/>
        <w:rPr>
          <w:rFonts w:ascii="仿宋_GB2312" w:eastAsia="仿宋_GB2312" w:hAnsi="Arial" w:cs="Arial"/>
          <w:color w:val="000000"/>
          <w:sz w:val="32"/>
          <w:szCs w:val="28"/>
        </w:rPr>
      </w:pPr>
      <w:r>
        <w:rPr>
          <w:rFonts w:ascii="仿宋_GB2312" w:eastAsia="仿宋_GB2312" w:hAnsi="Arial" w:cs="Arial" w:hint="eastAsia"/>
          <w:color w:val="000000"/>
          <w:sz w:val="32"/>
          <w:szCs w:val="28"/>
        </w:rPr>
        <w:t>2.安装调试</w:t>
      </w:r>
    </w:p>
    <w:p w:rsidR="00B21435" w:rsidRDefault="00A62EAD">
      <w:pPr>
        <w:spacing w:line="560" w:lineRule="exact"/>
        <w:ind w:firstLineChars="200" w:firstLine="640"/>
        <w:rPr>
          <w:rFonts w:ascii="仿宋_GB2312" w:hAnsi="Arial" w:cs="Arial"/>
          <w:color w:val="000000"/>
          <w:sz w:val="32"/>
          <w:szCs w:val="28"/>
        </w:rPr>
      </w:pPr>
      <w:r>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1）碳离子/质子治疗系统安装和调试通常在客户场地进行，场地应充分考虑能源、通风、温度、湿度、防静电、防辐射、卫生等要求，并应考虑环境因素对安装调试工作可能造成的不利影响而采取有效预防措施。</w:t>
      </w:r>
      <w:bookmarkStart w:id="322" w:name="_Toc1678"/>
      <w:bookmarkStart w:id="323" w:name="_Toc13081"/>
      <w:bookmarkStart w:id="324" w:name="_Toc21441"/>
      <w:bookmarkStart w:id="325" w:name="_Toc7876"/>
      <w:bookmarkStart w:id="326" w:name="_Toc17047"/>
      <w:bookmarkStart w:id="327" w:name="_Toc22587"/>
      <w:bookmarkStart w:id="328" w:name="_Toc15121"/>
      <w:bookmarkStart w:id="329" w:name="_Toc17832"/>
      <w:bookmarkStart w:id="330" w:name="_Toc14490"/>
      <w:bookmarkStart w:id="331" w:name="_Toc22470"/>
      <w:bookmarkStart w:id="332" w:name="_Toc7231"/>
      <w:bookmarkStart w:id="333" w:name="_Toc16642"/>
      <w:r w:rsidR="00F21DBE">
        <w:rPr>
          <w:rFonts w:ascii="仿宋_GB2312" w:eastAsia="仿宋_GB2312" w:hAnsi="Arial" w:cs="Arial" w:hint="eastAsia"/>
          <w:color w:val="000000"/>
          <w:sz w:val="32"/>
          <w:szCs w:val="28"/>
        </w:rPr>
        <w:t>企业应对安装区域温湿度环境进行监测和记录。</w:t>
      </w:r>
    </w:p>
    <w:p w:rsidR="00B21435" w:rsidRDefault="00A62EAD">
      <w:pPr>
        <w:numPr>
          <w:ilvl w:val="255"/>
          <w:numId w:val="0"/>
        </w:num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2）企业应在进场前完成土建验收，确保公共设施设备进场安装的条件，并对院方设备安装区域、治疗区域整体土建施工及机电安装工程验收情况进行核查。</w:t>
      </w:r>
    </w:p>
    <w:p w:rsidR="00B21435" w:rsidRDefault="00F21DBE">
      <w:pPr>
        <w:spacing w:line="560" w:lineRule="exact"/>
        <w:ind w:firstLineChars="200" w:firstLine="640"/>
        <w:outlineLvl w:val="3"/>
        <w:rPr>
          <w:rFonts w:ascii="仿宋_GB2312" w:eastAsia="仿宋_GB2312" w:hAnsi="Arial" w:cs="Arial"/>
          <w:color w:val="000000"/>
          <w:sz w:val="32"/>
          <w:szCs w:val="28"/>
        </w:rPr>
      </w:pPr>
      <w:r>
        <w:rPr>
          <w:rFonts w:ascii="仿宋_GB2312" w:eastAsia="仿宋_GB2312" w:hAnsi="Arial" w:cs="Arial" w:hint="eastAsia"/>
          <w:color w:val="000000"/>
          <w:sz w:val="32"/>
          <w:szCs w:val="28"/>
        </w:rPr>
        <w:t>3.检验环境</w:t>
      </w:r>
    </w:p>
    <w:p w:rsidR="00B21435" w:rsidRDefault="00A62EAD">
      <w:pPr>
        <w:numPr>
          <w:ilvl w:val="255"/>
          <w:numId w:val="0"/>
        </w:numPr>
        <w:spacing w:line="560" w:lineRule="exact"/>
        <w:ind w:firstLineChars="200" w:firstLine="640"/>
        <w:rPr>
          <w:rFonts w:ascii="仿宋_GB2312" w:eastAsia="仿宋_GB2312" w:hAnsi="Arial" w:cs="Arial"/>
          <w:sz w:val="32"/>
          <w:szCs w:val="28"/>
        </w:rPr>
      </w:pPr>
      <w:r>
        <w:rPr>
          <w:rFonts w:ascii="仿宋_GB2312" w:eastAsia="仿宋_GB2312" w:hAnsi="Arial" w:cs="Arial" w:hint="eastAsia"/>
          <w:sz w:val="32"/>
          <w:szCs w:val="28"/>
        </w:rPr>
        <w:t>（</w:t>
      </w:r>
      <w:r w:rsidR="00F21DBE">
        <w:rPr>
          <w:rFonts w:ascii="仿宋_GB2312" w:eastAsia="仿宋_GB2312" w:hAnsi="Arial" w:cs="Arial" w:hint="eastAsia"/>
          <w:sz w:val="32"/>
          <w:szCs w:val="28"/>
        </w:rPr>
        <w:t>1）企业应配备与碳离子/质子治疗系统相适宜的检验场地。</w:t>
      </w:r>
    </w:p>
    <w:p w:rsidR="00B21435" w:rsidRDefault="00A62EAD">
      <w:pPr>
        <w:numPr>
          <w:ilvl w:val="255"/>
          <w:numId w:val="0"/>
        </w:numPr>
        <w:spacing w:line="560" w:lineRule="exact"/>
        <w:ind w:firstLineChars="200" w:firstLine="640"/>
        <w:rPr>
          <w:rFonts w:ascii="仿宋_GB2312" w:eastAsia="仿宋_GB2312" w:hAnsi="Arial" w:cs="Arial"/>
          <w:sz w:val="32"/>
          <w:szCs w:val="28"/>
        </w:rPr>
      </w:pPr>
      <w:r>
        <w:rPr>
          <w:rFonts w:ascii="仿宋_GB2312" w:eastAsia="仿宋_GB2312" w:hAnsi="Arial" w:cs="Arial" w:hint="eastAsia"/>
          <w:sz w:val="32"/>
          <w:szCs w:val="28"/>
        </w:rPr>
        <w:t>（</w:t>
      </w:r>
      <w:r w:rsidR="00F21DBE">
        <w:rPr>
          <w:rFonts w:ascii="仿宋_GB2312" w:eastAsia="仿宋_GB2312" w:hAnsi="Arial" w:cs="Arial" w:hint="eastAsia"/>
          <w:sz w:val="32"/>
          <w:szCs w:val="28"/>
        </w:rPr>
        <w:t>2）企业应将影响检测结果的环境条件（如温度、湿度、大气压力等）的要求形成文件。</w:t>
      </w:r>
    </w:p>
    <w:p w:rsidR="00B21435" w:rsidRDefault="00A62EAD">
      <w:pPr>
        <w:numPr>
          <w:ilvl w:val="255"/>
          <w:numId w:val="0"/>
        </w:numPr>
        <w:spacing w:line="560" w:lineRule="exact"/>
        <w:ind w:firstLineChars="200" w:firstLine="640"/>
        <w:rPr>
          <w:rFonts w:ascii="仿宋_GB2312" w:eastAsia="仿宋_GB2312" w:hAnsi="Arial" w:cs="Arial"/>
          <w:sz w:val="32"/>
          <w:szCs w:val="28"/>
        </w:rPr>
      </w:pPr>
      <w:r>
        <w:rPr>
          <w:rFonts w:ascii="仿宋_GB2312" w:eastAsia="仿宋_GB2312" w:hAnsi="Arial" w:cs="Arial" w:hint="eastAsia"/>
          <w:sz w:val="32"/>
          <w:szCs w:val="28"/>
        </w:rPr>
        <w:t>（</w:t>
      </w:r>
      <w:r w:rsidR="00F21DBE">
        <w:rPr>
          <w:rFonts w:ascii="仿宋_GB2312" w:eastAsia="仿宋_GB2312" w:hAnsi="Arial" w:cs="Arial" w:hint="eastAsia"/>
          <w:sz w:val="32"/>
          <w:szCs w:val="28"/>
        </w:rPr>
        <w:t>3）束流性能（调制</w:t>
      </w:r>
      <w:proofErr w:type="gramStart"/>
      <w:r w:rsidR="00F21DBE">
        <w:rPr>
          <w:rFonts w:ascii="仿宋_GB2312" w:eastAsia="仿宋_GB2312" w:hAnsi="Arial" w:cs="Arial" w:hint="eastAsia"/>
          <w:sz w:val="32"/>
          <w:szCs w:val="28"/>
        </w:rPr>
        <w:t>扫描射野横向</w:t>
      </w:r>
      <w:proofErr w:type="gramEnd"/>
      <w:r w:rsidR="00F21DBE">
        <w:rPr>
          <w:rFonts w:ascii="仿宋_GB2312" w:eastAsia="仿宋_GB2312" w:hAnsi="Arial" w:cs="Arial" w:hint="eastAsia"/>
          <w:sz w:val="32"/>
          <w:szCs w:val="28"/>
        </w:rPr>
        <w:t>曲线、均匀扫描</w:t>
      </w:r>
      <w:proofErr w:type="gramStart"/>
      <w:r w:rsidR="00F21DBE">
        <w:rPr>
          <w:rFonts w:ascii="仿宋_GB2312" w:eastAsia="仿宋_GB2312" w:hAnsi="Arial" w:cs="Arial" w:hint="eastAsia"/>
          <w:sz w:val="32"/>
          <w:szCs w:val="28"/>
        </w:rPr>
        <w:t>射野均</w:t>
      </w:r>
      <w:proofErr w:type="gramEnd"/>
      <w:r w:rsidR="00F21DBE">
        <w:rPr>
          <w:rFonts w:ascii="仿宋_GB2312" w:eastAsia="仿宋_GB2312" w:hAnsi="Arial" w:cs="Arial" w:hint="eastAsia"/>
          <w:sz w:val="32"/>
          <w:szCs w:val="28"/>
        </w:rPr>
        <w:t>整度、对称性、半影等）、电气安全（泄漏电流、接地阻</w:t>
      </w:r>
      <w:r w:rsidR="00F21DBE">
        <w:rPr>
          <w:rFonts w:ascii="仿宋_GB2312" w:eastAsia="仿宋_GB2312" w:hAnsi="Arial" w:cs="Arial" w:hint="eastAsia"/>
          <w:sz w:val="32"/>
          <w:szCs w:val="28"/>
        </w:rPr>
        <w:lastRenderedPageBreak/>
        <w:t>抗、介电强度等）、电磁兼容（浪涌（冲击）抗扰度、工频磁场抗扰度、传导发射、电快速瞬变脉冲群抗扰度等）、软件等的检验通常在安装现场进行，企业应预留足够的操作空间。</w:t>
      </w:r>
    </w:p>
    <w:p w:rsidR="00B21435" w:rsidRDefault="00A62EAD">
      <w:pPr>
        <w:numPr>
          <w:ilvl w:val="255"/>
          <w:numId w:val="0"/>
        </w:numPr>
        <w:spacing w:line="560" w:lineRule="exact"/>
        <w:ind w:firstLineChars="200" w:firstLine="640"/>
        <w:rPr>
          <w:rFonts w:ascii="仿宋_GB2312" w:eastAsia="仿宋_GB2312" w:hAnsi="Arial" w:cs="Arial"/>
          <w:color w:val="FF0000"/>
          <w:sz w:val="32"/>
          <w:szCs w:val="28"/>
        </w:rPr>
      </w:pPr>
      <w:r>
        <w:rPr>
          <w:rFonts w:ascii="仿宋_GB2312" w:eastAsia="仿宋_GB2312" w:hAnsi="Arial" w:cs="Arial" w:hint="eastAsia"/>
          <w:sz w:val="32"/>
          <w:szCs w:val="28"/>
        </w:rPr>
        <w:t>（</w:t>
      </w:r>
      <w:r w:rsidR="00F21DBE">
        <w:rPr>
          <w:rFonts w:ascii="仿宋_GB2312" w:eastAsia="仿宋_GB2312" w:hAnsi="Arial" w:cs="Arial" w:hint="eastAsia"/>
          <w:sz w:val="32"/>
          <w:szCs w:val="28"/>
        </w:rPr>
        <w:t>4）当环境条件（如温度、湿度、大气压力等）影响检验结果的有效性时，企业应定期监测、控制和记录环境条件。特别是在安装现场进行性能、电气安全、电磁兼容等检验时，也应对安装现场环境条件进行监测、控制和记录，以确保检验结果的准确性和可靠性。</w:t>
      </w:r>
    </w:p>
    <w:p w:rsidR="00B21435" w:rsidRDefault="00F21DBE">
      <w:pPr>
        <w:spacing w:line="560" w:lineRule="exact"/>
        <w:ind w:firstLineChars="200" w:firstLine="640"/>
        <w:outlineLvl w:val="2"/>
        <w:rPr>
          <w:rFonts w:ascii="楷体" w:eastAsia="楷体" w:hAnsi="楷体" w:cs="楷体"/>
          <w:sz w:val="32"/>
          <w:szCs w:val="32"/>
        </w:rPr>
      </w:pPr>
      <w:bookmarkStart w:id="334" w:name="_Toc16911"/>
      <w:bookmarkStart w:id="335" w:name="_Toc9794"/>
      <w:bookmarkStart w:id="336" w:name="_Toc16249"/>
      <w:bookmarkStart w:id="337" w:name="_Toc11315"/>
      <w:bookmarkStart w:id="338" w:name="_Toc19255"/>
      <w:bookmarkStart w:id="339" w:name="_Toc20962"/>
      <w:bookmarkStart w:id="340" w:name="_Toc23407"/>
      <w:bookmarkStart w:id="341" w:name="_Toc18430"/>
      <w:bookmarkStart w:id="342" w:name="_Toc32305"/>
      <w:bookmarkStart w:id="343" w:name="_Toc9579"/>
      <w:bookmarkStart w:id="344" w:name="_Toc5879"/>
      <w:bookmarkStart w:id="345" w:name="_Toc9457"/>
      <w:bookmarkStart w:id="346" w:name="_Toc26565"/>
      <w:bookmarkEnd w:id="322"/>
      <w:bookmarkEnd w:id="323"/>
      <w:bookmarkEnd w:id="324"/>
      <w:bookmarkEnd w:id="325"/>
      <w:bookmarkEnd w:id="326"/>
      <w:bookmarkEnd w:id="327"/>
      <w:bookmarkEnd w:id="328"/>
      <w:bookmarkEnd w:id="329"/>
      <w:bookmarkEnd w:id="330"/>
      <w:bookmarkEnd w:id="331"/>
      <w:bookmarkEnd w:id="332"/>
      <w:bookmarkEnd w:id="333"/>
      <w:r>
        <w:rPr>
          <w:rFonts w:ascii="楷体" w:eastAsia="楷体" w:hAnsi="楷体" w:cs="楷体" w:hint="eastAsia"/>
          <w:sz w:val="32"/>
          <w:szCs w:val="32"/>
        </w:rPr>
        <w:t>（三）设备</w:t>
      </w:r>
      <w:bookmarkEnd w:id="334"/>
      <w:bookmarkEnd w:id="335"/>
      <w:bookmarkEnd w:id="336"/>
      <w:bookmarkEnd w:id="337"/>
      <w:bookmarkEnd w:id="338"/>
      <w:bookmarkEnd w:id="339"/>
      <w:bookmarkEnd w:id="340"/>
      <w:bookmarkEnd w:id="341"/>
      <w:bookmarkEnd w:id="342"/>
      <w:bookmarkEnd w:id="343"/>
      <w:bookmarkEnd w:id="344"/>
      <w:bookmarkEnd w:id="345"/>
      <w:bookmarkEnd w:id="346"/>
    </w:p>
    <w:p w:rsidR="00B21435" w:rsidRDefault="00F21DBE">
      <w:pPr>
        <w:ind w:firstLine="640"/>
        <w:rPr>
          <w:rFonts w:ascii="仿宋_GB2312" w:eastAsia="仿宋_GB2312" w:hAnsi="Arial" w:cs="Arial"/>
          <w:color w:val="000000"/>
          <w:sz w:val="32"/>
          <w:szCs w:val="28"/>
        </w:rPr>
      </w:pPr>
      <w:bookmarkStart w:id="347" w:name="_Toc19767"/>
      <w:bookmarkStart w:id="348" w:name="_Toc7746"/>
      <w:bookmarkStart w:id="349" w:name="_Toc15749"/>
      <w:bookmarkStart w:id="350" w:name="_Toc10431"/>
      <w:bookmarkStart w:id="351" w:name="_Toc2998"/>
      <w:bookmarkStart w:id="352" w:name="_Toc948"/>
      <w:bookmarkStart w:id="353" w:name="_Toc28992"/>
      <w:bookmarkStart w:id="354" w:name="_Toc12716"/>
      <w:bookmarkStart w:id="355" w:name="_Toc511"/>
      <w:bookmarkStart w:id="356" w:name="_Toc10633"/>
      <w:bookmarkStart w:id="357" w:name="_Toc27069"/>
      <w:bookmarkStart w:id="358" w:name="_Toc25429"/>
      <w:r>
        <w:rPr>
          <w:rFonts w:ascii="仿宋_GB2312" w:eastAsia="仿宋_GB2312" w:hAnsi="Arial" w:cs="Arial" w:hint="eastAsia"/>
          <w:color w:val="000000"/>
          <w:sz w:val="32"/>
          <w:szCs w:val="28"/>
        </w:rPr>
        <w:t>企业应当结合产品生产工艺要求配备相应的生产设备、工艺装备、检验仪器和设备及计量器具，并加强其验证、确认、检查、维护保养和检定/校准，确保有效运行。</w:t>
      </w:r>
    </w:p>
    <w:p w:rsidR="00B21435" w:rsidRDefault="00F21DBE">
      <w:pPr>
        <w:pStyle w:val="4"/>
        <w:ind w:firstLine="640"/>
        <w:rPr>
          <w:rFonts w:ascii="仿宋_GB2312" w:hAnsi="Arial" w:cs="Arial"/>
          <w:color w:val="000000"/>
        </w:rPr>
      </w:pPr>
      <w:bookmarkStart w:id="359" w:name="_Toc14889"/>
      <w:bookmarkStart w:id="360" w:name="_Toc6335"/>
      <w:bookmarkStart w:id="361" w:name="_Toc884"/>
      <w:bookmarkStart w:id="362" w:name="_Toc23275"/>
      <w:bookmarkStart w:id="363" w:name="_Toc5272"/>
      <w:bookmarkStart w:id="364" w:name="_Toc25506"/>
      <w:bookmarkStart w:id="365" w:name="_Toc19786"/>
      <w:bookmarkStart w:id="366" w:name="_Toc22558"/>
      <w:bookmarkStart w:id="367" w:name="_Toc14894"/>
      <w:bookmarkStart w:id="368" w:name="_Toc20994"/>
      <w:bookmarkStart w:id="369" w:name="_Toc14803"/>
      <w:bookmarkStart w:id="370" w:name="_Toc16049"/>
      <w:bookmarkEnd w:id="347"/>
      <w:bookmarkEnd w:id="348"/>
      <w:bookmarkEnd w:id="349"/>
      <w:bookmarkEnd w:id="350"/>
      <w:bookmarkEnd w:id="351"/>
      <w:bookmarkEnd w:id="352"/>
      <w:bookmarkEnd w:id="353"/>
      <w:bookmarkEnd w:id="354"/>
      <w:bookmarkEnd w:id="355"/>
      <w:bookmarkEnd w:id="356"/>
      <w:bookmarkEnd w:id="357"/>
      <w:bookmarkEnd w:id="358"/>
      <w:r>
        <w:rPr>
          <w:rFonts w:ascii="仿宋_GB2312" w:hAnsi="Arial" w:cs="Arial" w:hint="eastAsia"/>
          <w:color w:val="000000"/>
        </w:rPr>
        <w:t>1.生产</w:t>
      </w:r>
      <w:r>
        <w:rPr>
          <w:rFonts w:ascii="仿宋_GB2312" w:hAnsi="Arial" w:cs="Arial" w:hint="eastAsia"/>
          <w:color w:val="000000"/>
          <w:spacing w:val="-1"/>
        </w:rPr>
        <w:t>设备</w:t>
      </w:r>
    </w:p>
    <w:p w:rsidR="00B21435" w:rsidRDefault="00F21DBE">
      <w:pPr>
        <w:numPr>
          <w:ilvl w:val="0"/>
          <w:numId w:val="5"/>
        </w:numPr>
        <w:spacing w:line="560" w:lineRule="exact"/>
        <w:ind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企业应配备用于碳离子/质子治疗系统生产的设备。如氢气炉、真空炉、叠压机、烘箱、绕线机、车铣复合加工中心、高精度加工中心等。</w:t>
      </w:r>
    </w:p>
    <w:p w:rsidR="00B21435" w:rsidRDefault="00F21DBE">
      <w:pPr>
        <w:numPr>
          <w:ilvl w:val="0"/>
          <w:numId w:val="5"/>
        </w:numPr>
        <w:spacing w:line="560" w:lineRule="exact"/>
        <w:ind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企业应配备</w:t>
      </w:r>
      <w:r>
        <w:rPr>
          <w:rFonts w:ascii="仿宋_GB2312" w:eastAsia="仿宋_GB2312" w:hAnsi="Arial" w:cs="Arial" w:hint="eastAsia"/>
          <w:color w:val="000000"/>
          <w:kern w:val="0"/>
          <w:sz w:val="32"/>
          <w:szCs w:val="28"/>
        </w:rPr>
        <w:t>用于转运设备的无轨胶轮平车、牵引坦克车、托盘搬运车、液压车、</w:t>
      </w:r>
      <w:r>
        <w:rPr>
          <w:rFonts w:eastAsia="仿宋_GB2312" w:cs="Calibri" w:hint="eastAsia"/>
          <w:color w:val="000000"/>
          <w:kern w:val="0"/>
          <w:sz w:val="32"/>
          <w:szCs w:val="28"/>
        </w:rPr>
        <w:t>叉车等设备</w:t>
      </w:r>
      <w:r>
        <w:rPr>
          <w:rFonts w:ascii="仿宋_GB2312" w:eastAsia="仿宋_GB2312" w:hAnsi="Arial" w:cs="Arial" w:hint="eastAsia"/>
          <w:color w:val="000000"/>
          <w:kern w:val="0"/>
          <w:sz w:val="32"/>
          <w:szCs w:val="28"/>
        </w:rPr>
        <w:t>。</w:t>
      </w:r>
    </w:p>
    <w:p w:rsidR="00B21435" w:rsidRDefault="00F21DBE">
      <w:pPr>
        <w:numPr>
          <w:ilvl w:val="0"/>
          <w:numId w:val="5"/>
        </w:numPr>
        <w:spacing w:line="560" w:lineRule="exact"/>
        <w:ind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企业应配备</w:t>
      </w:r>
      <w:r>
        <w:rPr>
          <w:rFonts w:ascii="仿宋_GB2312" w:eastAsia="仿宋_GB2312" w:hAnsi="Arial" w:cs="Arial" w:hint="eastAsia"/>
          <w:color w:val="000000"/>
          <w:kern w:val="0"/>
          <w:sz w:val="32"/>
          <w:szCs w:val="28"/>
        </w:rPr>
        <w:t>用于高空作业的曲臂式高空作业平台和用于磁铁安装的专用工装。</w:t>
      </w:r>
    </w:p>
    <w:p w:rsidR="00B21435" w:rsidRDefault="00F21DBE">
      <w:pPr>
        <w:numPr>
          <w:ilvl w:val="0"/>
          <w:numId w:val="5"/>
        </w:numPr>
        <w:spacing w:line="560" w:lineRule="exact"/>
        <w:ind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企业应配备</w:t>
      </w:r>
      <w:r>
        <w:rPr>
          <w:rFonts w:ascii="仿宋_GB2312" w:eastAsia="仿宋_GB2312" w:hAnsi="Arial" w:cs="Arial" w:hint="eastAsia"/>
          <w:color w:val="000000"/>
          <w:kern w:val="0"/>
          <w:sz w:val="32"/>
          <w:szCs w:val="28"/>
        </w:rPr>
        <w:t>用于标定和准直的激光跟踪仪、准直望远镜、光学平台等设备。</w:t>
      </w:r>
    </w:p>
    <w:p w:rsidR="00B21435" w:rsidRDefault="00F21DBE">
      <w:pPr>
        <w:numPr>
          <w:ilvl w:val="0"/>
          <w:numId w:val="5"/>
        </w:numPr>
        <w:spacing w:line="560" w:lineRule="exact"/>
        <w:ind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企业应配备</w:t>
      </w:r>
      <w:r>
        <w:rPr>
          <w:rFonts w:ascii="仿宋_GB2312" w:eastAsia="仿宋_GB2312" w:hAnsi="Arial" w:cs="Arial" w:hint="eastAsia"/>
          <w:color w:val="000000"/>
          <w:kern w:val="0"/>
          <w:sz w:val="32"/>
          <w:szCs w:val="28"/>
        </w:rPr>
        <w:t>用于真空管道、腔体与泵室等部件检</w:t>
      </w:r>
      <w:r>
        <w:rPr>
          <w:rFonts w:ascii="仿宋_GB2312" w:eastAsia="仿宋_GB2312" w:hAnsi="Arial" w:cs="Arial" w:hint="eastAsia"/>
          <w:color w:val="000000"/>
          <w:kern w:val="0"/>
          <w:sz w:val="32"/>
          <w:szCs w:val="28"/>
        </w:rPr>
        <w:lastRenderedPageBreak/>
        <w:t>漏的检漏工装和氦质谱检漏仪。</w:t>
      </w:r>
    </w:p>
    <w:p w:rsidR="00B21435" w:rsidRDefault="00F21DBE">
      <w:pPr>
        <w:pStyle w:val="4"/>
        <w:keepNext w:val="0"/>
        <w:keepLines w:val="0"/>
        <w:ind w:firstLine="640"/>
        <w:rPr>
          <w:rFonts w:ascii="仿宋_GB2312" w:hAnsi="Arial" w:cs="Arial"/>
          <w:color w:val="000000"/>
        </w:rPr>
      </w:pPr>
      <w:r>
        <w:rPr>
          <w:rFonts w:ascii="仿宋_GB2312" w:hAnsi="Arial" w:cs="Arial" w:hint="eastAsia"/>
          <w:color w:val="000000"/>
        </w:rPr>
        <w:t>2.检验</w:t>
      </w:r>
      <w:r>
        <w:rPr>
          <w:rFonts w:ascii="仿宋_GB2312" w:hAnsi="Arial" w:cs="Arial" w:hint="eastAsia"/>
          <w:color w:val="000000"/>
          <w:spacing w:val="-1"/>
        </w:rPr>
        <w:t>设备</w:t>
      </w:r>
      <w:bookmarkEnd w:id="359"/>
      <w:bookmarkEnd w:id="360"/>
      <w:bookmarkEnd w:id="361"/>
      <w:bookmarkEnd w:id="362"/>
      <w:bookmarkEnd w:id="363"/>
      <w:bookmarkEnd w:id="364"/>
      <w:bookmarkEnd w:id="365"/>
      <w:bookmarkEnd w:id="366"/>
      <w:bookmarkEnd w:id="367"/>
      <w:bookmarkEnd w:id="368"/>
      <w:bookmarkEnd w:id="369"/>
      <w:bookmarkEnd w:id="370"/>
    </w:p>
    <w:p w:rsidR="00B21435" w:rsidRDefault="00A62EAD">
      <w:pPr>
        <w:numPr>
          <w:ilvl w:val="255"/>
          <w:numId w:val="0"/>
        </w:num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1）常用的检验检测设备包括：</w:t>
      </w:r>
    </w:p>
    <w:p w:rsidR="00B21435" w:rsidRDefault="00F21DBE">
      <w:pPr>
        <w:numPr>
          <w:ilvl w:val="255"/>
          <w:numId w:val="0"/>
        </w:num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①常规监视测量设备：高精度长度测量仪器（如：</w:t>
      </w:r>
      <w:r>
        <w:rPr>
          <w:rFonts w:ascii="仿宋_GB2312" w:eastAsia="仿宋_GB2312" w:hAnsi="Arial" w:cs="Arial" w:hint="eastAsia"/>
          <w:color w:val="000000"/>
          <w:kern w:val="0"/>
          <w:sz w:val="32"/>
          <w:szCs w:val="28"/>
        </w:rPr>
        <w:t>三坐标测量仪、激光跟踪仪</w:t>
      </w:r>
      <w:r>
        <w:rPr>
          <w:rFonts w:ascii="仿宋_GB2312" w:eastAsia="仿宋_GB2312" w:hAnsi="Arial" w:cs="Arial" w:hint="eastAsia"/>
          <w:color w:val="000000"/>
          <w:sz w:val="32"/>
          <w:szCs w:val="28"/>
        </w:rPr>
        <w:t>）、电压电流测量设备（如：万用表、绝缘电阻测试仪）、温湿度监测设备（如：温湿度计、红外测量仪、电子温度传感器）、其他测量设备（如：绝对测量臂、电离室、加压电离室巡测仪、中子巡测仪、数字示波器、差分探头）等。</w:t>
      </w:r>
    </w:p>
    <w:p w:rsidR="00B21435" w:rsidRDefault="00F21DBE">
      <w:pPr>
        <w:numPr>
          <w:ilvl w:val="255"/>
          <w:numId w:val="0"/>
        </w:num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fldChar w:fldCharType="begin"/>
      </w:r>
      <w:r>
        <w:rPr>
          <w:rFonts w:ascii="仿宋_GB2312" w:eastAsia="仿宋_GB2312" w:hAnsi="Arial" w:cs="Arial" w:hint="eastAsia"/>
          <w:color w:val="000000"/>
          <w:sz w:val="32"/>
          <w:szCs w:val="28"/>
        </w:rPr>
        <w:instrText xml:space="preserve"> = 2 \* GB3 \* MERGEFORMAT </w:instrText>
      </w:r>
      <w:r>
        <w:rPr>
          <w:rFonts w:ascii="仿宋_GB2312" w:eastAsia="仿宋_GB2312" w:hAnsi="Arial" w:cs="Arial" w:hint="eastAsia"/>
          <w:color w:val="000000"/>
          <w:sz w:val="32"/>
          <w:szCs w:val="28"/>
        </w:rPr>
        <w:fldChar w:fldCharType="separate"/>
      </w:r>
      <w:r>
        <w:rPr>
          <w:rFonts w:ascii="仿宋_GB2312" w:eastAsia="仿宋_GB2312" w:hAnsi="Arial" w:cs="Arial" w:hint="eastAsia"/>
          <w:color w:val="000000"/>
          <w:sz w:val="32"/>
          <w:szCs w:val="28"/>
        </w:rPr>
        <w:t>②</w:t>
      </w:r>
      <w:r>
        <w:rPr>
          <w:rFonts w:ascii="仿宋_GB2312" w:eastAsia="仿宋_GB2312" w:hAnsi="Arial" w:cs="Arial" w:hint="eastAsia"/>
          <w:color w:val="000000"/>
          <w:sz w:val="32"/>
          <w:szCs w:val="28"/>
        </w:rPr>
        <w:fldChar w:fldCharType="end"/>
      </w:r>
      <w:r>
        <w:rPr>
          <w:rFonts w:ascii="仿宋_GB2312" w:eastAsia="仿宋_GB2312" w:hAnsi="Arial" w:cs="Arial" w:hint="eastAsia"/>
          <w:color w:val="000000"/>
          <w:sz w:val="32"/>
          <w:szCs w:val="28"/>
        </w:rPr>
        <w:t>电气安全、电磁兼容、性能测量设备：绝缘耐压测试仪、泄漏电流测试仪、辐射发射测试设备、传导发射测试设备、浪涌（冲击）抗扰度测试仪、电快速瞬变脉冲群抗扰度测试仪、静电抗扰度测试仪、绝对剂量测量系统、束流位置测量系统（位置精度测试系统）等。</w:t>
      </w:r>
    </w:p>
    <w:p w:rsidR="00B21435" w:rsidRDefault="00F21DBE">
      <w:pPr>
        <w:numPr>
          <w:ilvl w:val="255"/>
          <w:numId w:val="0"/>
        </w:num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fldChar w:fldCharType="begin"/>
      </w:r>
      <w:r>
        <w:rPr>
          <w:rFonts w:ascii="仿宋_GB2312" w:eastAsia="仿宋_GB2312" w:hAnsi="Arial" w:cs="Arial" w:hint="eastAsia"/>
          <w:color w:val="000000"/>
          <w:sz w:val="32"/>
          <w:szCs w:val="28"/>
        </w:rPr>
        <w:instrText xml:space="preserve"> = 3 \* GB3 \* MERGEFORMAT </w:instrText>
      </w:r>
      <w:r>
        <w:rPr>
          <w:rFonts w:ascii="仿宋_GB2312" w:eastAsia="仿宋_GB2312" w:hAnsi="Arial" w:cs="Arial" w:hint="eastAsia"/>
          <w:color w:val="000000"/>
          <w:sz w:val="32"/>
          <w:szCs w:val="28"/>
        </w:rPr>
        <w:fldChar w:fldCharType="separate"/>
      </w:r>
      <w:r>
        <w:rPr>
          <w:rFonts w:ascii="仿宋_GB2312" w:eastAsia="仿宋_GB2312" w:hAnsi="Arial" w:cs="Arial" w:hint="eastAsia"/>
          <w:color w:val="000000"/>
          <w:sz w:val="32"/>
          <w:szCs w:val="28"/>
        </w:rPr>
        <w:t>③</w:t>
      </w:r>
      <w:r>
        <w:rPr>
          <w:rFonts w:ascii="仿宋_GB2312" w:eastAsia="仿宋_GB2312" w:hAnsi="Arial" w:cs="Arial" w:hint="eastAsia"/>
          <w:color w:val="000000"/>
          <w:sz w:val="32"/>
          <w:szCs w:val="28"/>
        </w:rPr>
        <w:fldChar w:fldCharType="end"/>
      </w:r>
      <w:r>
        <w:rPr>
          <w:rFonts w:ascii="仿宋_GB2312" w:eastAsia="仿宋_GB2312" w:hAnsi="Arial" w:cs="Arial" w:hint="eastAsia"/>
          <w:color w:val="000000"/>
          <w:sz w:val="32"/>
          <w:szCs w:val="28"/>
        </w:rPr>
        <w:t>磁场性能测量设备：点测系统、长测系统、旋测系统等。</w:t>
      </w:r>
    </w:p>
    <w:p w:rsidR="00B21435" w:rsidRDefault="00F21DBE">
      <w:pPr>
        <w:numPr>
          <w:ilvl w:val="255"/>
          <w:numId w:val="0"/>
        </w:num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fldChar w:fldCharType="begin"/>
      </w:r>
      <w:r>
        <w:rPr>
          <w:rFonts w:ascii="仿宋_GB2312" w:eastAsia="仿宋_GB2312" w:hAnsi="Arial" w:cs="Arial" w:hint="eastAsia"/>
          <w:color w:val="000000"/>
          <w:sz w:val="32"/>
          <w:szCs w:val="28"/>
        </w:rPr>
        <w:instrText xml:space="preserve"> = 4 \* GB3 \* MERGEFORMAT </w:instrText>
      </w:r>
      <w:r>
        <w:rPr>
          <w:rFonts w:ascii="仿宋_GB2312" w:eastAsia="仿宋_GB2312" w:hAnsi="Arial" w:cs="Arial" w:hint="eastAsia"/>
          <w:color w:val="000000"/>
          <w:sz w:val="32"/>
          <w:szCs w:val="28"/>
        </w:rPr>
        <w:fldChar w:fldCharType="separate"/>
      </w:r>
      <w:r>
        <w:rPr>
          <w:rFonts w:ascii="仿宋_GB2312" w:eastAsia="仿宋_GB2312" w:hAnsi="Arial" w:cs="Arial" w:hint="eastAsia"/>
          <w:color w:val="000000"/>
          <w:sz w:val="32"/>
          <w:szCs w:val="28"/>
        </w:rPr>
        <w:t>④</w:t>
      </w:r>
      <w:r>
        <w:rPr>
          <w:rFonts w:ascii="仿宋_GB2312" w:eastAsia="仿宋_GB2312" w:hAnsi="Arial" w:cs="Arial" w:hint="eastAsia"/>
          <w:color w:val="000000"/>
          <w:sz w:val="32"/>
          <w:szCs w:val="28"/>
        </w:rPr>
        <w:fldChar w:fldCharType="end"/>
      </w:r>
      <w:r>
        <w:rPr>
          <w:rFonts w:ascii="仿宋_GB2312" w:eastAsia="仿宋_GB2312" w:hAnsi="Arial" w:cs="Arial" w:hint="eastAsia"/>
          <w:color w:val="000000"/>
          <w:sz w:val="32"/>
          <w:szCs w:val="28"/>
        </w:rPr>
        <w:t>运维测量设备：绝对剂量测量系统（剂量仪、电离室、空盒压力表、三维水箱）、辐射防护用剂量测量设备（中子周围剂量当量仪、伽马剂量仪、手持式γ剂量仪、电子直读式剂量报警仪）、束流位置测量系统（巡检分条电离室、位置精度测试系统）、束流能量验证设备（快速</w:t>
      </w:r>
      <w:r>
        <w:rPr>
          <w:rFonts w:ascii="仿宋_GB2312" w:eastAsia="仿宋_GB2312" w:hAnsi="Arial" w:cs="Arial" w:hint="eastAsia"/>
          <w:color w:val="000000"/>
          <w:spacing w:val="-1"/>
          <w:sz w:val="32"/>
          <w:szCs w:val="28"/>
        </w:rPr>
        <w:t>Bragg</w:t>
      </w:r>
      <w:r>
        <w:rPr>
          <w:rFonts w:ascii="仿宋_GB2312" w:eastAsia="仿宋_GB2312" w:hAnsi="Arial" w:cs="Arial" w:hint="eastAsia"/>
          <w:color w:val="000000"/>
          <w:sz w:val="32"/>
          <w:szCs w:val="28"/>
        </w:rPr>
        <w:t>峰探测器）、波形测量设备（示波器）、相对空间位置测量设备（激光跟踪仪）等。</w:t>
      </w:r>
    </w:p>
    <w:p w:rsidR="00B21435" w:rsidRDefault="00A62EAD">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2）企业应建立监视测量设备相关管理程序文件，应对</w:t>
      </w:r>
      <w:r w:rsidR="00F21DBE">
        <w:rPr>
          <w:rFonts w:ascii="仿宋_GB2312" w:eastAsia="仿宋_GB2312" w:hAnsi="Arial" w:cs="Arial" w:hint="eastAsia"/>
          <w:color w:val="000000"/>
          <w:sz w:val="32"/>
          <w:szCs w:val="28"/>
        </w:rPr>
        <w:lastRenderedPageBreak/>
        <w:t>设备的采购、检定/校准、使用、维护保养等方面进行规定，并按照规定执行。</w:t>
      </w:r>
    </w:p>
    <w:p w:rsidR="00B21435" w:rsidRDefault="00A62EAD">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3）企业应配备满足碳离子/质子治疗系统检测活动所需的监视测量设备，主要仪器和设备应建立操作规程和使用记录。</w:t>
      </w:r>
    </w:p>
    <w:p w:rsidR="00B21435" w:rsidRDefault="00A62EAD">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4）企业应建立监视测量设备台账，应规定监视测量设备检定/校准周期和年度检定/校准计划；对于项目现场上线用于监控的特殊仪器设备，企业应建立抽样检定/校准规定并按规定执行。</w:t>
      </w:r>
    </w:p>
    <w:p w:rsidR="00B21435" w:rsidRDefault="00A62EAD">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5）企业应对</w:t>
      </w:r>
      <w:r w:rsidR="00F21DBE">
        <w:rPr>
          <w:rFonts w:ascii="仿宋_GB2312" w:eastAsia="仿宋_GB2312" w:hAnsi="Arial" w:cs="Arial" w:hint="eastAsia"/>
          <w:color w:val="000000"/>
          <w:kern w:val="0"/>
          <w:sz w:val="32"/>
          <w:szCs w:val="28"/>
        </w:rPr>
        <w:t>用于束流性能、关键工序、特殊过程的</w:t>
      </w:r>
      <w:r w:rsidR="00F21DBE">
        <w:rPr>
          <w:rFonts w:ascii="仿宋_GB2312" w:eastAsia="仿宋_GB2312" w:hAnsi="Arial" w:cs="Arial" w:hint="eastAsia"/>
          <w:color w:val="000000"/>
          <w:sz w:val="32"/>
          <w:szCs w:val="28"/>
        </w:rPr>
        <w:t>关键监视测量设备属性、量程、精度进行确认，且满足使用要求。</w:t>
      </w:r>
    </w:p>
    <w:p w:rsidR="00B21435" w:rsidRDefault="00A62EAD">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6）企业应对</w:t>
      </w:r>
      <w:r w:rsidR="00F21DBE">
        <w:rPr>
          <w:rFonts w:ascii="仿宋_GB2312" w:eastAsia="仿宋_GB2312" w:hAnsi="Arial" w:cs="Arial" w:hint="eastAsia"/>
          <w:color w:val="000000"/>
          <w:kern w:val="0"/>
          <w:sz w:val="32"/>
          <w:szCs w:val="28"/>
        </w:rPr>
        <w:t>用于束流性能、关键工序、特殊过程的</w:t>
      </w:r>
      <w:r w:rsidR="00F21DBE">
        <w:rPr>
          <w:rFonts w:ascii="仿宋_GB2312" w:eastAsia="仿宋_GB2312" w:hAnsi="Arial" w:cs="Arial" w:hint="eastAsia"/>
          <w:color w:val="000000"/>
          <w:sz w:val="32"/>
          <w:szCs w:val="28"/>
        </w:rPr>
        <w:t>关键监视测量设备在长距离搬运、送校前、送校后进行功能核查，且满足使用要求。</w:t>
      </w:r>
    </w:p>
    <w:p w:rsidR="00B21435" w:rsidRDefault="00A62EAD">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7）对于第三方计量单位无法检定/校准监视测量设备（如</w:t>
      </w:r>
      <w:r w:rsidR="00F21DBE">
        <w:rPr>
          <w:rFonts w:ascii="仿宋_GB2312" w:eastAsia="仿宋_GB2312" w:hAnsi="Arial" w:cs="Arial" w:hint="eastAsia"/>
          <w:color w:val="000000"/>
          <w:kern w:val="0"/>
          <w:sz w:val="32"/>
          <w:szCs w:val="28"/>
        </w:rPr>
        <w:t>位置测量系统、三维</w:t>
      </w:r>
      <w:r w:rsidR="00F21DBE">
        <w:rPr>
          <w:rFonts w:eastAsia="仿宋_GB2312" w:cs="Calibri" w:hint="eastAsia"/>
          <w:color w:val="000000"/>
          <w:kern w:val="0"/>
          <w:sz w:val="32"/>
          <w:szCs w:val="28"/>
        </w:rPr>
        <w:t>水箱</w:t>
      </w:r>
      <w:r w:rsidR="00F21DBE">
        <w:rPr>
          <w:rFonts w:ascii="仿宋_GB2312" w:eastAsia="仿宋_GB2312" w:hAnsi="Arial" w:cs="Arial" w:hint="eastAsia"/>
          <w:color w:val="000000"/>
          <w:kern w:val="0"/>
          <w:sz w:val="32"/>
          <w:szCs w:val="28"/>
        </w:rPr>
        <w:t>、巡检分条、快速</w:t>
      </w:r>
      <w:r w:rsidR="00F21DBE">
        <w:rPr>
          <w:rFonts w:ascii="仿宋_GB2312" w:eastAsia="仿宋_GB2312" w:hAnsi="Arial" w:cs="Arial" w:hint="eastAsia"/>
          <w:color w:val="000000"/>
          <w:spacing w:val="-1"/>
          <w:sz w:val="32"/>
          <w:szCs w:val="28"/>
        </w:rPr>
        <w:t>Bragg</w:t>
      </w:r>
      <w:r w:rsidR="00F21DBE">
        <w:rPr>
          <w:rFonts w:ascii="仿宋_GB2312" w:eastAsia="仿宋_GB2312" w:hAnsi="Arial" w:cs="Arial" w:hint="eastAsia"/>
          <w:color w:val="000000"/>
          <w:kern w:val="0"/>
          <w:sz w:val="32"/>
          <w:szCs w:val="28"/>
        </w:rPr>
        <w:t>峰探测器等</w:t>
      </w:r>
      <w:r w:rsidR="00F21DBE">
        <w:rPr>
          <w:rFonts w:ascii="仿宋_GB2312" w:eastAsia="仿宋_GB2312" w:hAnsi="Arial" w:cs="Arial" w:hint="eastAsia"/>
          <w:color w:val="000000"/>
          <w:sz w:val="32"/>
          <w:szCs w:val="28"/>
        </w:rPr>
        <w:t>），企业应建立自校规范，并保存自校记录。</w:t>
      </w:r>
    </w:p>
    <w:p w:rsidR="00B21435" w:rsidRDefault="00A62EAD">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8）企业对外部方提供的监视测量设备，在使用期间应按照企业管理规定建立台账和使用记录，收集并保存在有效期内的相关检定/校准证书。例如：图像引导系统测试的</w:t>
      </w:r>
      <w:r w:rsidR="00F21DBE">
        <w:rPr>
          <w:rFonts w:ascii="仿宋_GB2312" w:eastAsia="仿宋_GB2312" w:hAnsi="Arial" w:cs="Arial" w:hint="eastAsia"/>
          <w:color w:val="000000"/>
          <w:kern w:val="0"/>
          <w:sz w:val="32"/>
          <w:szCs w:val="28"/>
        </w:rPr>
        <w:t>X射线多功能质量检测仪等</w:t>
      </w:r>
      <w:r w:rsidR="00F21DBE">
        <w:rPr>
          <w:rFonts w:ascii="仿宋_GB2312" w:eastAsia="仿宋_GB2312" w:hAnsi="Arial" w:cs="Arial" w:hint="eastAsia"/>
          <w:color w:val="000000"/>
          <w:sz w:val="32"/>
          <w:szCs w:val="28"/>
        </w:rPr>
        <w:t>。</w:t>
      </w:r>
    </w:p>
    <w:p w:rsidR="00B21435" w:rsidRDefault="00A62EAD">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9）对不满足使用要求的检验仪器和设备，应对以往检验和试验结果进行有效性评价，并保存评价记录。</w:t>
      </w:r>
    </w:p>
    <w:p w:rsidR="00B21435" w:rsidRDefault="00F21DBE">
      <w:pPr>
        <w:spacing w:line="560" w:lineRule="exact"/>
        <w:ind w:firstLineChars="200" w:firstLine="640"/>
        <w:outlineLvl w:val="2"/>
        <w:rPr>
          <w:rFonts w:ascii="楷体" w:eastAsia="楷体" w:hAnsi="楷体" w:cs="楷体"/>
          <w:sz w:val="32"/>
          <w:szCs w:val="32"/>
        </w:rPr>
      </w:pPr>
      <w:bookmarkStart w:id="371" w:name="_Toc31543"/>
      <w:bookmarkStart w:id="372" w:name="_Toc14724"/>
      <w:bookmarkStart w:id="373" w:name="_Toc11314"/>
      <w:bookmarkStart w:id="374" w:name="_Toc2654"/>
      <w:bookmarkStart w:id="375" w:name="_Toc20568"/>
      <w:bookmarkStart w:id="376" w:name="_Toc187"/>
      <w:bookmarkStart w:id="377" w:name="_Toc29500"/>
      <w:bookmarkStart w:id="378" w:name="_Toc17900"/>
      <w:bookmarkStart w:id="379" w:name="_Toc25381"/>
      <w:bookmarkStart w:id="380" w:name="_Toc32013"/>
      <w:bookmarkStart w:id="381" w:name="_Toc14183"/>
      <w:bookmarkStart w:id="382" w:name="_Toc13459"/>
      <w:bookmarkStart w:id="383" w:name="_Toc9452"/>
      <w:r>
        <w:rPr>
          <w:rFonts w:ascii="楷体" w:eastAsia="楷体" w:hAnsi="楷体" w:cs="楷体" w:hint="eastAsia"/>
          <w:sz w:val="32"/>
          <w:szCs w:val="32"/>
        </w:rPr>
        <w:lastRenderedPageBreak/>
        <w:t>（四）文件管理</w:t>
      </w:r>
      <w:bookmarkEnd w:id="371"/>
      <w:bookmarkEnd w:id="372"/>
      <w:bookmarkEnd w:id="373"/>
      <w:bookmarkEnd w:id="374"/>
      <w:bookmarkEnd w:id="375"/>
      <w:bookmarkEnd w:id="376"/>
      <w:bookmarkEnd w:id="377"/>
      <w:bookmarkEnd w:id="378"/>
      <w:bookmarkEnd w:id="379"/>
      <w:bookmarkEnd w:id="380"/>
      <w:bookmarkEnd w:id="381"/>
      <w:bookmarkEnd w:id="382"/>
      <w:bookmarkEnd w:id="383"/>
    </w:p>
    <w:p w:rsidR="00B21435" w:rsidRDefault="00F21DBE">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企业应根据实际情况及产品特点采用信息化管理手段，实现文件和记录电子化，便于管理、使用与知识共享。</w:t>
      </w:r>
    </w:p>
    <w:p w:rsidR="00B21435" w:rsidRDefault="00F21DBE">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1.企业应建立与碳离子/质子治疗系统相适应的质量管理体系文件，包括质量手册、程序文件、规范制度、技术文件和记录等。技术文件应当包括产品技术要求及相关标准、生产工艺规程、作业指导书、检验作业规程和运维操作规程等相关文件。记录应当确保产品设计开发、物料采购、生产、质量控制、产品放行、运维管理等活动可追溯。</w:t>
      </w:r>
    </w:p>
    <w:p w:rsidR="00B21435" w:rsidRDefault="00F21DBE">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2.企业应建立文件控制程序，系统地设计、制定、审核、批准和发放质量管理体系文件。文件更新或修订时，应按规定评审和批准，应能识别文件的更改和修订状态。分发和使用的文件应当为适宜的文本。</w:t>
      </w:r>
    </w:p>
    <w:p w:rsidR="00B21435" w:rsidRDefault="00F21DBE">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3.企业应建立记录控制程序，包括记录的标识、保管、检索、保存期限和处置要求等。记录应当保证产品生产、质量控制等活动的可追溯。记录应当清晰、完整，易于识别和检索，防止破损和丢失。记录不得随意涂改或销毁。</w:t>
      </w:r>
    </w:p>
    <w:p w:rsidR="00B21435" w:rsidRDefault="00F21DBE">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4.碳离子/质子治疗系统设计开发、采购、生产、安装、调试、检验、销售、运维、临床及不良事件监测等过程相关的记录应永久保存；对于受控文件/记录应根据企业的规定处置。</w:t>
      </w:r>
    </w:p>
    <w:p w:rsidR="00B21435" w:rsidRDefault="00F21DBE">
      <w:pPr>
        <w:spacing w:line="560" w:lineRule="exact"/>
        <w:ind w:firstLineChars="200" w:firstLine="640"/>
        <w:outlineLvl w:val="2"/>
        <w:rPr>
          <w:rFonts w:ascii="楷体" w:eastAsia="楷体" w:hAnsi="楷体" w:cs="楷体"/>
          <w:sz w:val="32"/>
          <w:szCs w:val="32"/>
        </w:rPr>
      </w:pPr>
      <w:bookmarkStart w:id="384" w:name="_Toc1648"/>
      <w:bookmarkStart w:id="385" w:name="_Toc14707"/>
      <w:bookmarkStart w:id="386" w:name="_Toc13334"/>
      <w:bookmarkStart w:id="387" w:name="_Toc29692"/>
      <w:bookmarkStart w:id="388" w:name="_Toc31119"/>
      <w:bookmarkStart w:id="389" w:name="_Toc23068"/>
      <w:bookmarkStart w:id="390" w:name="_Toc1004"/>
      <w:bookmarkStart w:id="391" w:name="_Toc32569"/>
      <w:bookmarkStart w:id="392" w:name="_Toc19930"/>
      <w:bookmarkStart w:id="393" w:name="_Toc8111"/>
      <w:bookmarkStart w:id="394" w:name="_Toc3521"/>
      <w:bookmarkStart w:id="395" w:name="_Toc32714"/>
      <w:bookmarkStart w:id="396" w:name="_Toc31554"/>
      <w:r>
        <w:rPr>
          <w:rFonts w:ascii="楷体" w:eastAsia="楷体" w:hAnsi="楷体" w:cs="楷体" w:hint="eastAsia"/>
          <w:sz w:val="32"/>
          <w:szCs w:val="32"/>
        </w:rPr>
        <w:t>（五）设计开发</w:t>
      </w:r>
      <w:bookmarkEnd w:id="384"/>
      <w:bookmarkEnd w:id="385"/>
      <w:bookmarkEnd w:id="386"/>
      <w:bookmarkEnd w:id="387"/>
      <w:bookmarkEnd w:id="388"/>
      <w:bookmarkEnd w:id="389"/>
      <w:bookmarkEnd w:id="390"/>
      <w:bookmarkEnd w:id="391"/>
      <w:bookmarkEnd w:id="392"/>
      <w:bookmarkEnd w:id="393"/>
      <w:bookmarkEnd w:id="394"/>
      <w:bookmarkEnd w:id="395"/>
      <w:bookmarkEnd w:id="396"/>
    </w:p>
    <w:p w:rsidR="00B21435" w:rsidRDefault="00F21DBE">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企业应当建立设计和开发控制程序并形成文件，对产品设计和开发过程实施策划和控制，应当确定设计和开发的阶</w:t>
      </w:r>
      <w:r>
        <w:rPr>
          <w:rFonts w:ascii="仿宋_GB2312" w:eastAsia="仿宋_GB2312" w:hAnsi="Arial" w:cs="Arial" w:hint="eastAsia"/>
          <w:color w:val="000000"/>
          <w:sz w:val="32"/>
          <w:szCs w:val="28"/>
        </w:rPr>
        <w:lastRenderedPageBreak/>
        <w:t>段及对各阶段的评审、验证、确认等活动。</w:t>
      </w:r>
    </w:p>
    <w:p w:rsidR="00B21435" w:rsidRDefault="00F21DBE">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1.设计开发策划阶段</w:t>
      </w:r>
    </w:p>
    <w:p w:rsidR="00B21435" w:rsidRDefault="00A62EAD">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1）企业应根据立项书和计划书对产品进行策划，策划内容至少包括：</w:t>
      </w:r>
    </w:p>
    <w:p w:rsidR="00B21435" w:rsidRDefault="00F21DBE">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①法规、标准的识别；</w:t>
      </w:r>
    </w:p>
    <w:p w:rsidR="00B21435" w:rsidRDefault="00F21DBE">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②确定设计和开发目标；</w:t>
      </w:r>
    </w:p>
    <w:p w:rsidR="00B21435" w:rsidRDefault="00F21DBE">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③确定设计和开发各阶段及各阶段时间安排，以及适合于每个设计和开发阶段的评审、验证、确认和设计转换活动；</w:t>
      </w:r>
    </w:p>
    <w:p w:rsidR="00B21435" w:rsidRDefault="00F21DBE">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④识别和确定各个部门设计和开发的需求、活动和接口，明确各阶段的人员或组织的职责、评审人员的组成，以及各阶段预期的资源需求和输出结果；</w:t>
      </w:r>
    </w:p>
    <w:p w:rsidR="00B21435" w:rsidRDefault="00F21DBE">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⑤特别关注外包设计的任务、接口；</w:t>
      </w:r>
    </w:p>
    <w:p w:rsidR="00B21435" w:rsidRDefault="00F21DBE">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⑥主要任务和阶段性任务的策划安排与整个项目计划的一致性；</w:t>
      </w:r>
    </w:p>
    <w:p w:rsidR="00B21435" w:rsidRDefault="00F21DBE">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⑦确定产品技术要求的制定以及实验过程的设定，所需要的测量手段和测量装置；</w:t>
      </w:r>
    </w:p>
    <w:p w:rsidR="00B21435" w:rsidRDefault="00F21DBE">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⑧确定产品验证的方式和方法；</w:t>
      </w:r>
    </w:p>
    <w:p w:rsidR="00B21435" w:rsidRDefault="00F21DBE">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fldChar w:fldCharType="begin"/>
      </w:r>
      <w:r>
        <w:rPr>
          <w:rFonts w:ascii="仿宋_GB2312" w:eastAsia="仿宋_GB2312" w:hAnsi="Arial" w:cs="Arial" w:hint="eastAsia"/>
          <w:color w:val="000000"/>
          <w:sz w:val="32"/>
          <w:szCs w:val="28"/>
        </w:rPr>
        <w:instrText xml:space="preserve"> = 9 \* GB3 \* MERGEFORMAT </w:instrText>
      </w:r>
      <w:r>
        <w:rPr>
          <w:rFonts w:ascii="仿宋_GB2312" w:eastAsia="仿宋_GB2312" w:hAnsi="Arial" w:cs="Arial" w:hint="eastAsia"/>
          <w:color w:val="000000"/>
          <w:sz w:val="32"/>
          <w:szCs w:val="28"/>
        </w:rPr>
        <w:fldChar w:fldCharType="separate"/>
      </w:r>
      <w:r>
        <w:rPr>
          <w:rFonts w:ascii="仿宋_GB2312" w:eastAsia="仿宋_GB2312" w:hAnsi="Arial" w:cs="Arial" w:hint="eastAsia"/>
          <w:color w:val="000000"/>
          <w:sz w:val="32"/>
          <w:szCs w:val="28"/>
        </w:rPr>
        <w:t>⑨</w:t>
      </w:r>
      <w:r>
        <w:rPr>
          <w:rFonts w:ascii="仿宋_GB2312" w:eastAsia="仿宋_GB2312" w:hAnsi="Arial" w:cs="Arial" w:hint="eastAsia"/>
          <w:color w:val="000000"/>
          <w:sz w:val="32"/>
          <w:szCs w:val="28"/>
        </w:rPr>
        <w:fldChar w:fldCharType="end"/>
      </w:r>
      <w:r>
        <w:rPr>
          <w:rFonts w:ascii="仿宋_GB2312" w:eastAsia="仿宋_GB2312" w:hAnsi="Arial" w:cs="Arial" w:hint="eastAsia"/>
          <w:color w:val="000000"/>
          <w:sz w:val="32"/>
          <w:szCs w:val="28"/>
        </w:rPr>
        <w:t>确定产品确认的方式和方法；</w:t>
      </w:r>
    </w:p>
    <w:p w:rsidR="00B21435" w:rsidRDefault="00F21DBE">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fldChar w:fldCharType="begin"/>
      </w:r>
      <w:r>
        <w:rPr>
          <w:rFonts w:ascii="仿宋_GB2312" w:eastAsia="仿宋_GB2312" w:hAnsi="Arial" w:cs="Arial" w:hint="eastAsia"/>
          <w:color w:val="000000"/>
          <w:sz w:val="32"/>
          <w:szCs w:val="28"/>
        </w:rPr>
        <w:instrText xml:space="preserve"> = 10 \* GB3 \* MERGEFORMAT </w:instrText>
      </w:r>
      <w:r>
        <w:rPr>
          <w:rFonts w:ascii="仿宋_GB2312" w:eastAsia="仿宋_GB2312" w:hAnsi="Arial" w:cs="Arial" w:hint="eastAsia"/>
          <w:color w:val="000000"/>
          <w:sz w:val="32"/>
          <w:szCs w:val="28"/>
        </w:rPr>
        <w:fldChar w:fldCharType="separate"/>
      </w:r>
      <w:r>
        <w:rPr>
          <w:rFonts w:ascii="仿宋_GB2312" w:eastAsia="仿宋_GB2312" w:hAnsi="Arial" w:cs="Arial" w:hint="eastAsia"/>
          <w:color w:val="000000"/>
          <w:sz w:val="32"/>
          <w:szCs w:val="28"/>
        </w:rPr>
        <w:t>⑩</w:t>
      </w:r>
      <w:r>
        <w:rPr>
          <w:rFonts w:ascii="仿宋_GB2312" w:eastAsia="仿宋_GB2312" w:hAnsi="Arial" w:cs="Arial" w:hint="eastAsia"/>
          <w:color w:val="000000"/>
          <w:sz w:val="32"/>
          <w:szCs w:val="28"/>
        </w:rPr>
        <w:fldChar w:fldCharType="end"/>
      </w:r>
      <w:r>
        <w:rPr>
          <w:rFonts w:ascii="仿宋_GB2312" w:eastAsia="仿宋_GB2312" w:hAnsi="Arial" w:cs="Arial" w:hint="eastAsia"/>
          <w:color w:val="000000"/>
          <w:sz w:val="32"/>
          <w:szCs w:val="28"/>
        </w:rPr>
        <w:t>确定产品风险管理活动的要求和计划安排。</w:t>
      </w:r>
    </w:p>
    <w:p w:rsidR="00B21435" w:rsidRDefault="00A62EAD">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2）策划完成后，企业应输出产品设计开发策划书、风险管理计划，并组织评审。</w:t>
      </w:r>
      <w:r w:rsidR="00F21DBE">
        <w:rPr>
          <w:rFonts w:ascii="仿宋_GB2312" w:eastAsia="仿宋_GB2312" w:hAnsi="Arial" w:cs="Arial"/>
          <w:color w:val="000000"/>
          <w:sz w:val="32"/>
          <w:szCs w:val="28"/>
        </w:rPr>
        <w:t>当评审未获得通过时，</w:t>
      </w:r>
      <w:r w:rsidR="00F21DBE">
        <w:rPr>
          <w:rFonts w:ascii="仿宋_GB2312" w:eastAsia="仿宋_GB2312" w:hAnsi="Arial" w:cs="Arial" w:hint="eastAsia"/>
          <w:color w:val="000000"/>
          <w:sz w:val="32"/>
          <w:szCs w:val="28"/>
        </w:rPr>
        <w:t>应</w:t>
      </w:r>
      <w:r w:rsidR="00F21DBE">
        <w:rPr>
          <w:rFonts w:ascii="仿宋_GB2312" w:eastAsia="仿宋_GB2312" w:hAnsi="Arial" w:cs="Arial"/>
          <w:color w:val="000000"/>
          <w:sz w:val="32"/>
          <w:szCs w:val="28"/>
        </w:rPr>
        <w:t>根据评审的内容分析原因，重新编制、补充、完善设计文件，必要时重新进行评审，直至通过。除非对所有制定的纠正或改进措施都有明确安排并能有效控制，否则不准许带入</w:t>
      </w:r>
      <w:r w:rsidR="00F21DBE">
        <w:rPr>
          <w:rFonts w:ascii="仿宋_GB2312" w:eastAsia="仿宋_GB2312" w:hAnsi="Arial" w:cs="Arial" w:hint="eastAsia"/>
          <w:color w:val="000000"/>
          <w:sz w:val="32"/>
          <w:szCs w:val="28"/>
        </w:rPr>
        <w:t>设计</w:t>
      </w:r>
      <w:r w:rsidR="00F21DBE">
        <w:rPr>
          <w:rFonts w:ascii="仿宋_GB2312" w:eastAsia="仿宋_GB2312" w:hAnsi="Arial" w:cs="Arial"/>
          <w:color w:val="000000"/>
          <w:sz w:val="32"/>
          <w:szCs w:val="28"/>
        </w:rPr>
        <w:t>开发</w:t>
      </w:r>
      <w:r w:rsidR="00F21DBE">
        <w:rPr>
          <w:rFonts w:ascii="仿宋_GB2312" w:eastAsia="仿宋_GB2312" w:hAnsi="Arial" w:cs="Arial"/>
          <w:color w:val="000000"/>
          <w:sz w:val="32"/>
          <w:szCs w:val="28"/>
        </w:rPr>
        <w:lastRenderedPageBreak/>
        <w:t>的下</w:t>
      </w:r>
      <w:r w:rsidR="00F21DBE">
        <w:rPr>
          <w:rFonts w:ascii="仿宋_GB2312" w:eastAsia="仿宋_GB2312" w:hAnsi="Arial" w:cs="Arial" w:hint="eastAsia"/>
          <w:color w:val="000000"/>
          <w:sz w:val="32"/>
          <w:szCs w:val="28"/>
        </w:rPr>
        <w:t>一</w:t>
      </w:r>
      <w:r w:rsidR="00F21DBE">
        <w:rPr>
          <w:rFonts w:ascii="仿宋_GB2312" w:eastAsia="仿宋_GB2312" w:hAnsi="Arial" w:cs="Arial"/>
          <w:color w:val="000000"/>
          <w:sz w:val="32"/>
          <w:szCs w:val="28"/>
        </w:rPr>
        <w:t>阶段。</w:t>
      </w:r>
    </w:p>
    <w:p w:rsidR="00B21435" w:rsidRDefault="00A62EAD">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3）</w:t>
      </w:r>
      <w:r w:rsidR="00F21DBE">
        <w:rPr>
          <w:rFonts w:ascii="仿宋_GB2312" w:eastAsia="仿宋_GB2312" w:hAnsi="Arial" w:cs="Arial"/>
          <w:color w:val="000000"/>
          <w:sz w:val="32"/>
          <w:szCs w:val="28"/>
        </w:rPr>
        <w:t>评审通过后，</w:t>
      </w:r>
      <w:r w:rsidR="00F21DBE">
        <w:rPr>
          <w:rFonts w:ascii="仿宋_GB2312" w:eastAsia="仿宋_GB2312" w:hAnsi="Arial" w:cs="Arial" w:hint="eastAsia"/>
          <w:color w:val="000000"/>
          <w:sz w:val="32"/>
          <w:szCs w:val="28"/>
        </w:rPr>
        <w:t>应</w:t>
      </w:r>
      <w:r w:rsidR="00F21DBE">
        <w:rPr>
          <w:rFonts w:ascii="仿宋_GB2312" w:eastAsia="仿宋_GB2312" w:hAnsi="Arial" w:cs="Arial"/>
          <w:color w:val="000000"/>
          <w:sz w:val="32"/>
          <w:szCs w:val="28"/>
        </w:rPr>
        <w:t>按照策划书中的安排实施设计和开发。当策划书中的计划偏离而需要修改时</w:t>
      </w:r>
      <w:r w:rsidR="00F21DBE">
        <w:rPr>
          <w:rFonts w:ascii="仿宋_GB2312" w:eastAsia="仿宋_GB2312" w:hAnsi="Arial" w:cs="Arial" w:hint="eastAsia"/>
          <w:color w:val="000000"/>
          <w:sz w:val="32"/>
          <w:szCs w:val="28"/>
        </w:rPr>
        <w:t>，应</w:t>
      </w:r>
      <w:r w:rsidR="00F21DBE">
        <w:rPr>
          <w:rFonts w:ascii="仿宋_GB2312" w:eastAsia="仿宋_GB2312" w:hAnsi="Arial" w:cs="Arial"/>
          <w:color w:val="000000"/>
          <w:sz w:val="32"/>
          <w:szCs w:val="28"/>
        </w:rPr>
        <w:t>对计划重新评审和批准。</w:t>
      </w:r>
    </w:p>
    <w:p w:rsidR="00B21435" w:rsidRDefault="00F21DBE">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2.设计开发输入阶段</w:t>
      </w:r>
    </w:p>
    <w:p w:rsidR="00B21435" w:rsidRDefault="00A62EAD">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1）企业应</w:t>
      </w:r>
      <w:r w:rsidR="00F21DBE">
        <w:rPr>
          <w:rFonts w:ascii="仿宋_GB2312" w:eastAsia="仿宋_GB2312" w:hAnsi="Arial" w:cs="Arial"/>
          <w:color w:val="000000"/>
          <w:sz w:val="32"/>
          <w:szCs w:val="28"/>
        </w:rPr>
        <w:t>按照风险管理计划要求进行初始风险分析、风险评价，包括：用于识别医疗器械与安全有关特征的问题、危险</w:t>
      </w:r>
      <w:r w:rsidR="00F21DBE">
        <w:rPr>
          <w:rFonts w:ascii="仿宋_GB2312" w:eastAsia="仿宋_GB2312" w:hAnsi="Arial" w:cs="Arial" w:hint="eastAsia"/>
          <w:color w:val="000000"/>
          <w:sz w:val="32"/>
          <w:szCs w:val="28"/>
        </w:rPr>
        <w:t>和危险情况的识别</w:t>
      </w:r>
      <w:r w:rsidR="00F21DBE">
        <w:rPr>
          <w:rFonts w:ascii="仿宋_GB2312" w:eastAsia="仿宋_GB2312" w:hAnsi="Arial" w:cs="Arial"/>
          <w:color w:val="000000"/>
          <w:sz w:val="32"/>
          <w:szCs w:val="28"/>
        </w:rPr>
        <w:t>及初始风险控制措施方案分析，同时将相应的风险控制措施落实在具体的设计和开发过程中。风险分析的结果应形成记录，作为风险管理文档保存。</w:t>
      </w:r>
    </w:p>
    <w:p w:rsidR="00B21435" w:rsidRDefault="00A62EAD">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2）企业应</w:t>
      </w:r>
      <w:r w:rsidR="00F21DBE">
        <w:rPr>
          <w:rFonts w:ascii="仿宋_GB2312" w:eastAsia="仿宋_GB2312" w:hAnsi="Arial" w:cs="Arial"/>
          <w:color w:val="000000"/>
          <w:sz w:val="32"/>
          <w:szCs w:val="28"/>
        </w:rPr>
        <w:t>收集与产品相关的标准和法律法规文件，并对相关条款适用性进行识别、分析，形成法律法规/标准适用性分析</w:t>
      </w:r>
      <w:r w:rsidR="00F21DBE">
        <w:rPr>
          <w:rFonts w:ascii="仿宋_GB2312" w:eastAsia="仿宋_GB2312" w:hAnsi="Arial" w:cs="Arial" w:hint="eastAsia"/>
          <w:color w:val="000000"/>
          <w:sz w:val="32"/>
          <w:szCs w:val="28"/>
        </w:rPr>
        <w:t>文件</w:t>
      </w:r>
      <w:r w:rsidR="00F21DBE">
        <w:rPr>
          <w:rFonts w:ascii="仿宋_GB2312" w:eastAsia="仿宋_GB2312" w:hAnsi="Arial" w:cs="Arial"/>
          <w:color w:val="000000"/>
          <w:sz w:val="32"/>
          <w:szCs w:val="28"/>
        </w:rPr>
        <w:t>。</w:t>
      </w:r>
    </w:p>
    <w:p w:rsidR="00B21435" w:rsidRDefault="00A62EAD">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3）企业应对</w:t>
      </w:r>
      <w:r w:rsidR="00F21DBE">
        <w:rPr>
          <w:rFonts w:ascii="仿宋_GB2312" w:eastAsia="仿宋_GB2312" w:hAnsi="Arial" w:cs="Arial"/>
          <w:color w:val="000000"/>
          <w:sz w:val="32"/>
          <w:szCs w:val="28"/>
        </w:rPr>
        <w:t>产品需求进行分析、确定</w:t>
      </w:r>
      <w:r w:rsidR="00F21DBE">
        <w:rPr>
          <w:rFonts w:ascii="仿宋_GB2312" w:eastAsia="仿宋_GB2312" w:hAnsi="Arial" w:cs="Arial" w:hint="eastAsia"/>
          <w:color w:val="000000"/>
          <w:sz w:val="32"/>
          <w:szCs w:val="28"/>
        </w:rPr>
        <w:t>，需求至少包括：结构需求、功能需求、性能需求、环境需求、风险需求、人机工程学、法律法规/标准需求、可维护性需求、运行需求、安全需求、稳定性和可靠性需求、资源需求、接口需求、设计约束等内容，需求分析完成后应</w:t>
      </w:r>
      <w:r w:rsidR="00F21DBE">
        <w:rPr>
          <w:rFonts w:ascii="仿宋_GB2312" w:eastAsia="仿宋_GB2312" w:hAnsi="Arial" w:cs="Arial"/>
          <w:color w:val="000000"/>
          <w:sz w:val="32"/>
          <w:szCs w:val="28"/>
        </w:rPr>
        <w:t>形成需求分析文档，根据需求分析结果进行产品方案设计。</w:t>
      </w:r>
    </w:p>
    <w:p w:rsidR="00B21435" w:rsidRDefault="00A62EAD">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4）</w:t>
      </w:r>
      <w:r w:rsidR="00F21DBE">
        <w:rPr>
          <w:rFonts w:ascii="仿宋_GB2312" w:eastAsia="仿宋_GB2312" w:hAnsi="Arial" w:cs="Arial"/>
          <w:color w:val="000000"/>
          <w:sz w:val="32"/>
          <w:szCs w:val="28"/>
        </w:rPr>
        <w:t>产品</w:t>
      </w:r>
      <w:r w:rsidR="00F21DBE">
        <w:rPr>
          <w:rFonts w:ascii="仿宋_GB2312" w:eastAsia="仿宋_GB2312" w:hAnsi="Arial" w:cs="Arial" w:hint="eastAsia"/>
          <w:color w:val="000000"/>
          <w:sz w:val="32"/>
          <w:szCs w:val="28"/>
        </w:rPr>
        <w:t>设计</w:t>
      </w:r>
      <w:r w:rsidR="00F21DBE">
        <w:rPr>
          <w:rFonts w:ascii="仿宋_GB2312" w:eastAsia="仿宋_GB2312" w:hAnsi="Arial" w:cs="Arial"/>
          <w:color w:val="000000"/>
          <w:sz w:val="32"/>
          <w:szCs w:val="28"/>
        </w:rPr>
        <w:t>方案</w:t>
      </w:r>
      <w:r w:rsidR="00F21DBE">
        <w:rPr>
          <w:rFonts w:ascii="仿宋_GB2312" w:eastAsia="仿宋_GB2312" w:hAnsi="Arial" w:cs="Arial" w:hint="eastAsia"/>
          <w:color w:val="000000"/>
          <w:sz w:val="32"/>
          <w:szCs w:val="28"/>
        </w:rPr>
        <w:t>应至少包括：产品预期用途规定的功能、性能和安全要求，预期的结构构成、规格型号、关键结构要素，工作原理和技术参数，预期使用期限，软件及其管理的专业要求，各级子系统和子系统设备在产品中的具体功能以及和其他子系统/设备之间的物理连接/功能交互，关键</w:t>
      </w:r>
      <w:r w:rsidR="00F21DBE">
        <w:rPr>
          <w:rFonts w:ascii="仿宋_GB2312" w:eastAsia="仿宋_GB2312" w:hAnsi="Arial" w:cs="Arial" w:hint="eastAsia"/>
          <w:color w:val="000000"/>
          <w:sz w:val="32"/>
          <w:szCs w:val="28"/>
        </w:rPr>
        <w:lastRenderedPageBreak/>
        <w:t>结构要素/关键设备的设计原理、结构组成、材质、性能和技术指标，还应包括同类产品对比情况介绍等内容。</w:t>
      </w:r>
    </w:p>
    <w:p w:rsidR="00B21435" w:rsidRDefault="00A62EAD">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5）企业对产品预期用途规定的功能、性能和安全要求，工作原理，技术及性能指标，功能交互，物理连接等完成设计后，应形成产品设计方案、参数集（如有），并对产品设计方案内容的充分性、适宜性、完整性进行评审，形成评审记录。</w:t>
      </w:r>
    </w:p>
    <w:p w:rsidR="00B21435" w:rsidRDefault="00A62EAD">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6）</w:t>
      </w:r>
      <w:r w:rsidR="00F21DBE">
        <w:rPr>
          <w:rFonts w:ascii="仿宋_GB2312" w:eastAsia="仿宋_GB2312" w:hAnsi="Arial" w:cs="Arial"/>
          <w:color w:val="000000"/>
          <w:sz w:val="32"/>
          <w:szCs w:val="28"/>
        </w:rPr>
        <w:t>设计和开发输入阶段</w:t>
      </w:r>
      <w:r w:rsidR="00F21DBE">
        <w:rPr>
          <w:rFonts w:ascii="仿宋_GB2312" w:eastAsia="仿宋_GB2312" w:hAnsi="Arial" w:cs="Arial" w:hint="eastAsia"/>
          <w:color w:val="000000"/>
          <w:sz w:val="32"/>
          <w:szCs w:val="28"/>
        </w:rPr>
        <w:t>完成后，企业应</w:t>
      </w:r>
      <w:r w:rsidR="00F21DBE">
        <w:rPr>
          <w:rFonts w:ascii="仿宋_GB2312" w:eastAsia="仿宋_GB2312" w:hAnsi="Arial" w:cs="Arial"/>
          <w:color w:val="000000"/>
          <w:sz w:val="32"/>
          <w:szCs w:val="28"/>
        </w:rPr>
        <w:t>对输入内容的充分性、适宜性、完整性进行阶段评审，如设计输入有更改的，应保留变更记录，形成设计开发输入阶段评审记录。当评审未获得通过时，</w:t>
      </w:r>
      <w:r w:rsidR="00F21DBE">
        <w:rPr>
          <w:rFonts w:ascii="仿宋_GB2312" w:eastAsia="仿宋_GB2312" w:hAnsi="Arial" w:cs="Arial" w:hint="eastAsia"/>
          <w:color w:val="000000"/>
          <w:sz w:val="32"/>
          <w:szCs w:val="28"/>
        </w:rPr>
        <w:t>应</w:t>
      </w:r>
      <w:r w:rsidR="00F21DBE">
        <w:rPr>
          <w:rFonts w:ascii="仿宋_GB2312" w:eastAsia="仿宋_GB2312" w:hAnsi="Arial" w:cs="Arial"/>
          <w:color w:val="000000"/>
          <w:sz w:val="32"/>
          <w:szCs w:val="28"/>
        </w:rPr>
        <w:t>根据评审的内容分析原因，重新编制、补充、完善开发的设计文件，必要时重新进行评审，直至通过。除非对所有制定的纠正或改进措施都有明确安排并能有效控制，否则不准许带入开发的下</w:t>
      </w:r>
      <w:r w:rsidR="00F21DBE">
        <w:rPr>
          <w:rFonts w:ascii="仿宋_GB2312" w:eastAsia="仿宋_GB2312" w:hAnsi="Arial" w:cs="Arial" w:hint="eastAsia"/>
          <w:color w:val="000000"/>
          <w:sz w:val="32"/>
          <w:szCs w:val="28"/>
        </w:rPr>
        <w:t>一</w:t>
      </w:r>
      <w:r w:rsidR="00F21DBE">
        <w:rPr>
          <w:rFonts w:ascii="仿宋_GB2312" w:eastAsia="仿宋_GB2312" w:hAnsi="Arial" w:cs="Arial"/>
          <w:color w:val="000000"/>
          <w:sz w:val="32"/>
          <w:szCs w:val="28"/>
        </w:rPr>
        <w:t>阶段。</w:t>
      </w:r>
    </w:p>
    <w:p w:rsidR="00B21435" w:rsidRDefault="00F21DBE">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3.设计开发输出阶段</w:t>
      </w:r>
    </w:p>
    <w:p w:rsidR="00B21435" w:rsidRDefault="00A62EAD">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1）企业设计</w:t>
      </w:r>
      <w:r w:rsidR="00F21DBE">
        <w:rPr>
          <w:rFonts w:ascii="仿宋_GB2312" w:eastAsia="仿宋_GB2312" w:hAnsi="Arial" w:cs="Arial"/>
          <w:color w:val="000000"/>
          <w:sz w:val="32"/>
          <w:szCs w:val="28"/>
        </w:rPr>
        <w:t>和开发输出</w:t>
      </w:r>
      <w:r w:rsidR="00F21DBE">
        <w:rPr>
          <w:rFonts w:ascii="仿宋_GB2312" w:eastAsia="仿宋_GB2312" w:hAnsi="Arial" w:cs="Arial" w:hint="eastAsia"/>
          <w:color w:val="000000"/>
          <w:sz w:val="32"/>
          <w:szCs w:val="28"/>
        </w:rPr>
        <w:t>应</w:t>
      </w:r>
      <w:r w:rsidR="00F21DBE">
        <w:rPr>
          <w:rFonts w:ascii="仿宋_GB2312" w:eastAsia="仿宋_GB2312" w:hAnsi="Arial" w:cs="Arial"/>
          <w:color w:val="000000"/>
          <w:sz w:val="32"/>
          <w:szCs w:val="28"/>
        </w:rPr>
        <w:t>满足：</w:t>
      </w:r>
    </w:p>
    <w:p w:rsidR="00B21435" w:rsidRDefault="00F21DBE">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①</w:t>
      </w:r>
      <w:r>
        <w:rPr>
          <w:rFonts w:ascii="仿宋_GB2312" w:eastAsia="仿宋_GB2312" w:hAnsi="Arial" w:cs="Arial"/>
          <w:color w:val="000000"/>
          <w:sz w:val="32"/>
          <w:szCs w:val="28"/>
        </w:rPr>
        <w:t>设计和开发输入的要求（经评审无法满足的，按照变更控制</w:t>
      </w:r>
      <w:r>
        <w:rPr>
          <w:rFonts w:ascii="仿宋_GB2312" w:eastAsia="仿宋_GB2312" w:hAnsi="Arial" w:cs="Arial" w:hint="eastAsia"/>
          <w:color w:val="000000"/>
          <w:sz w:val="32"/>
          <w:szCs w:val="28"/>
        </w:rPr>
        <w:t>的要求</w:t>
      </w:r>
      <w:r>
        <w:rPr>
          <w:rFonts w:ascii="仿宋_GB2312" w:eastAsia="仿宋_GB2312" w:hAnsi="Arial" w:cs="Arial"/>
          <w:color w:val="000000"/>
          <w:sz w:val="32"/>
          <w:szCs w:val="28"/>
        </w:rPr>
        <w:t>修改输入并重新评审）；</w:t>
      </w:r>
    </w:p>
    <w:p w:rsidR="00B21435" w:rsidRDefault="00F21DBE">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②</w:t>
      </w:r>
      <w:r>
        <w:rPr>
          <w:rFonts w:ascii="仿宋_GB2312" w:eastAsia="仿宋_GB2312" w:hAnsi="Arial" w:cs="Arial"/>
          <w:color w:val="000000"/>
          <w:sz w:val="32"/>
          <w:szCs w:val="28"/>
        </w:rPr>
        <w:t>给出有关采购、物料分类、生产和服务的适当信息、产品技术要求和技术标准或规范；</w:t>
      </w:r>
    </w:p>
    <w:p w:rsidR="00B21435" w:rsidRDefault="00F21DBE">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③</w:t>
      </w:r>
      <w:r>
        <w:rPr>
          <w:rFonts w:ascii="仿宋_GB2312" w:eastAsia="仿宋_GB2312" w:hAnsi="Arial" w:cs="Arial"/>
          <w:color w:val="000000"/>
          <w:sz w:val="32"/>
          <w:szCs w:val="28"/>
        </w:rPr>
        <w:t>包含产品接收准则（产品接收要求的检验、试验项目及方法）；</w:t>
      </w:r>
    </w:p>
    <w:p w:rsidR="00B21435" w:rsidRDefault="00F21DBE">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④</w:t>
      </w:r>
      <w:r>
        <w:rPr>
          <w:rFonts w:ascii="仿宋_GB2312" w:eastAsia="仿宋_GB2312" w:hAnsi="Arial" w:cs="Arial"/>
          <w:color w:val="000000"/>
          <w:sz w:val="32"/>
          <w:szCs w:val="28"/>
        </w:rPr>
        <w:t>规定对产品安全和正常使用至关重要的产品特性（如操作、贮存、搬运、防护、安全、维修和处置等的要求）；</w:t>
      </w:r>
    </w:p>
    <w:p w:rsidR="00B21435" w:rsidRDefault="00F21DBE">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lastRenderedPageBreak/>
        <w:t>⑤</w:t>
      </w:r>
      <w:r>
        <w:rPr>
          <w:rFonts w:ascii="仿宋_GB2312" w:eastAsia="仿宋_GB2312" w:hAnsi="Arial" w:cs="Arial"/>
          <w:color w:val="000000"/>
          <w:sz w:val="32"/>
          <w:szCs w:val="28"/>
        </w:rPr>
        <w:t>标识和可追溯性要求；</w:t>
      </w:r>
    </w:p>
    <w:p w:rsidR="00B21435" w:rsidRDefault="00F21DBE">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⑥</w:t>
      </w:r>
      <w:r>
        <w:rPr>
          <w:rFonts w:ascii="仿宋_GB2312" w:eastAsia="仿宋_GB2312" w:hAnsi="Arial" w:cs="Arial"/>
          <w:color w:val="000000"/>
          <w:sz w:val="32"/>
          <w:szCs w:val="28"/>
        </w:rPr>
        <w:t>提交给注册审批部门的文件，如研究资料等；</w:t>
      </w:r>
    </w:p>
    <w:p w:rsidR="00B21435" w:rsidRDefault="00F21DBE">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⑦</w:t>
      </w:r>
      <w:r>
        <w:rPr>
          <w:rFonts w:ascii="仿宋_GB2312" w:eastAsia="仿宋_GB2312" w:hAnsi="Arial" w:cs="Arial"/>
          <w:color w:val="000000"/>
          <w:sz w:val="32"/>
          <w:szCs w:val="28"/>
        </w:rPr>
        <w:t>设计开发输出应得到批准；</w:t>
      </w:r>
    </w:p>
    <w:p w:rsidR="00B21435" w:rsidRDefault="00F21DBE">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⑧</w:t>
      </w:r>
      <w:r>
        <w:rPr>
          <w:rFonts w:ascii="仿宋_GB2312" w:eastAsia="仿宋_GB2312" w:hAnsi="Arial" w:cs="Arial"/>
          <w:color w:val="000000"/>
          <w:sz w:val="32"/>
          <w:szCs w:val="28"/>
        </w:rPr>
        <w:t>其他相关资料。</w:t>
      </w:r>
    </w:p>
    <w:p w:rsidR="00B21435" w:rsidRDefault="00A62EAD">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2）设计开发输出文件包括：</w:t>
      </w:r>
      <w:r w:rsidR="00F21DBE">
        <w:rPr>
          <w:rFonts w:ascii="仿宋_GB2312" w:eastAsia="仿宋_GB2312" w:hAnsi="Arial" w:cs="Arial"/>
          <w:color w:val="000000"/>
          <w:sz w:val="32"/>
          <w:szCs w:val="28"/>
        </w:rPr>
        <w:t>结构组成</w:t>
      </w:r>
      <w:r w:rsidR="00F21DBE">
        <w:rPr>
          <w:rFonts w:ascii="仿宋_GB2312" w:eastAsia="仿宋_GB2312" w:hAnsi="Arial" w:cs="Arial" w:hint="eastAsia"/>
          <w:color w:val="000000"/>
          <w:sz w:val="32"/>
          <w:szCs w:val="28"/>
        </w:rPr>
        <w:t>、</w:t>
      </w:r>
      <w:r w:rsidR="00F21DBE">
        <w:rPr>
          <w:rFonts w:ascii="仿宋_GB2312" w:eastAsia="仿宋_GB2312" w:hAnsi="Arial" w:cs="Arial"/>
          <w:color w:val="000000"/>
          <w:sz w:val="32"/>
          <w:szCs w:val="28"/>
        </w:rPr>
        <w:t>产品技术要求</w:t>
      </w:r>
      <w:r w:rsidR="00F21DBE">
        <w:rPr>
          <w:rFonts w:ascii="仿宋_GB2312" w:eastAsia="仿宋_GB2312" w:hAnsi="Arial" w:cs="Arial" w:hint="eastAsia"/>
          <w:color w:val="000000"/>
          <w:sz w:val="32"/>
          <w:szCs w:val="28"/>
        </w:rPr>
        <w:t>、</w:t>
      </w:r>
      <w:r w:rsidR="00F21DBE">
        <w:rPr>
          <w:rFonts w:ascii="仿宋_GB2312" w:eastAsia="仿宋_GB2312" w:hAnsi="Arial" w:cs="Arial"/>
          <w:color w:val="000000"/>
          <w:sz w:val="32"/>
          <w:szCs w:val="28"/>
        </w:rPr>
        <w:t>研究资料</w:t>
      </w:r>
      <w:r w:rsidR="00F21DBE">
        <w:rPr>
          <w:rFonts w:ascii="仿宋_GB2312" w:eastAsia="仿宋_GB2312" w:hAnsi="Arial" w:cs="Arial" w:hint="eastAsia"/>
          <w:color w:val="000000"/>
          <w:sz w:val="32"/>
          <w:szCs w:val="28"/>
        </w:rPr>
        <w:t>、</w:t>
      </w:r>
      <w:r w:rsidR="00F21DBE">
        <w:rPr>
          <w:rFonts w:ascii="仿宋_GB2312" w:eastAsia="仿宋_GB2312" w:hAnsi="Arial" w:cs="Arial"/>
          <w:color w:val="000000"/>
          <w:sz w:val="32"/>
          <w:szCs w:val="28"/>
        </w:rPr>
        <w:t>物料清单</w:t>
      </w:r>
      <w:r w:rsidR="00F21DBE">
        <w:rPr>
          <w:rFonts w:ascii="仿宋_GB2312" w:eastAsia="仿宋_GB2312" w:hAnsi="Arial" w:cs="Arial" w:hint="eastAsia"/>
          <w:color w:val="000000"/>
          <w:sz w:val="32"/>
          <w:szCs w:val="28"/>
        </w:rPr>
        <w:t>、</w:t>
      </w:r>
      <w:r w:rsidR="00F21DBE">
        <w:rPr>
          <w:rFonts w:ascii="仿宋_GB2312" w:eastAsia="仿宋_GB2312" w:hAnsi="Arial" w:cs="Arial"/>
          <w:color w:val="000000"/>
          <w:sz w:val="32"/>
          <w:szCs w:val="28"/>
        </w:rPr>
        <w:t>说明书</w:t>
      </w:r>
      <w:r w:rsidR="00F21DBE">
        <w:rPr>
          <w:rFonts w:ascii="仿宋_GB2312" w:eastAsia="仿宋_GB2312" w:hAnsi="Arial" w:cs="Arial" w:hint="eastAsia"/>
          <w:color w:val="000000"/>
          <w:sz w:val="32"/>
          <w:szCs w:val="28"/>
        </w:rPr>
        <w:t>、</w:t>
      </w:r>
      <w:r w:rsidR="00F21DBE">
        <w:rPr>
          <w:rFonts w:ascii="仿宋_GB2312" w:eastAsia="仿宋_GB2312" w:hAnsi="Arial" w:cs="Arial"/>
          <w:color w:val="000000"/>
          <w:sz w:val="32"/>
          <w:szCs w:val="28"/>
        </w:rPr>
        <w:t>物理总图</w:t>
      </w:r>
      <w:r w:rsidR="00F21DBE">
        <w:rPr>
          <w:rFonts w:ascii="仿宋_GB2312" w:eastAsia="仿宋_GB2312" w:hAnsi="Arial" w:cs="Arial" w:hint="eastAsia"/>
          <w:color w:val="000000"/>
          <w:sz w:val="32"/>
          <w:szCs w:val="28"/>
        </w:rPr>
        <w:t>、</w:t>
      </w:r>
      <w:r w:rsidR="00F21DBE">
        <w:rPr>
          <w:rFonts w:ascii="仿宋_GB2312" w:eastAsia="仿宋_GB2312" w:hAnsi="Arial" w:cs="Arial"/>
          <w:color w:val="000000"/>
          <w:sz w:val="32"/>
          <w:szCs w:val="28"/>
        </w:rPr>
        <w:t>位置图</w:t>
      </w:r>
      <w:r w:rsidR="00F21DBE">
        <w:rPr>
          <w:rFonts w:ascii="仿宋_GB2312" w:eastAsia="仿宋_GB2312" w:hAnsi="Arial" w:cs="Arial" w:hint="eastAsia"/>
          <w:color w:val="000000"/>
          <w:sz w:val="32"/>
          <w:szCs w:val="28"/>
        </w:rPr>
        <w:t>、布局图、</w:t>
      </w:r>
      <w:r w:rsidR="00F21DBE">
        <w:rPr>
          <w:rFonts w:ascii="仿宋_GB2312" w:eastAsia="仿宋_GB2312" w:hAnsi="Arial" w:cs="Arial"/>
          <w:color w:val="000000"/>
          <w:sz w:val="32"/>
          <w:szCs w:val="28"/>
        </w:rPr>
        <w:t>安装技术要求</w:t>
      </w:r>
      <w:r w:rsidR="00F21DBE">
        <w:rPr>
          <w:rFonts w:ascii="仿宋_GB2312" w:eastAsia="仿宋_GB2312" w:hAnsi="Arial" w:cs="Arial" w:hint="eastAsia"/>
          <w:color w:val="000000"/>
          <w:sz w:val="32"/>
          <w:szCs w:val="28"/>
        </w:rPr>
        <w:t>等内容，例如产品技术要求中应包含：产品型号、软件组件、碳离子/质子治疗系统性能指标要求（环境条件、向用户提供的信息、射束配送、剂量监测系统、深度吸收剂量特征、</w:t>
      </w:r>
      <w:proofErr w:type="gramStart"/>
      <w:r w:rsidR="00F21DBE">
        <w:rPr>
          <w:rFonts w:ascii="仿宋_GB2312" w:eastAsia="仿宋_GB2312" w:hAnsi="Arial" w:cs="Arial" w:hint="eastAsia"/>
          <w:color w:val="000000"/>
          <w:sz w:val="32"/>
          <w:szCs w:val="28"/>
        </w:rPr>
        <w:t>射野横向</w:t>
      </w:r>
      <w:proofErr w:type="gramEnd"/>
      <w:r w:rsidR="00F21DBE">
        <w:rPr>
          <w:rFonts w:ascii="仿宋_GB2312" w:eastAsia="仿宋_GB2312" w:hAnsi="Arial" w:cs="Arial" w:hint="eastAsia"/>
          <w:color w:val="000000"/>
          <w:sz w:val="32"/>
          <w:szCs w:val="28"/>
        </w:rPr>
        <w:t>曲线、规定体积的辐射时间）、患者支撑装置、图像引导系统、激光定位系统、治疗计划系统性能要求（临床功能、使用限制、数据接口、用户访问控制、可靠性、效率、运行环境、剂量计算准确性要求、几何精确度要求）、治疗控制系统性能要求、图像引导系统软件性能要求（临床功能、使用限制、数据接口、用户访问控制、运行环境）、呼吸门控与运动管理系统性能要求（如有）、电气安全要求（加速器子系统、治疗子系统、图像引导系统等）、电磁兼容要求，以及上述性能指标的检验方法，碳离子/质子治疗系统基本参数，安全特征等。</w:t>
      </w:r>
    </w:p>
    <w:p w:rsidR="00B21435" w:rsidRDefault="00A62EAD">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3）</w:t>
      </w:r>
      <w:r w:rsidR="00F21DBE">
        <w:rPr>
          <w:rFonts w:ascii="仿宋_GB2312" w:eastAsia="仿宋_GB2312" w:hAnsi="Arial" w:cs="Arial"/>
          <w:color w:val="000000"/>
          <w:sz w:val="32"/>
          <w:szCs w:val="28"/>
        </w:rPr>
        <w:t>设计和开发输出阶段</w:t>
      </w:r>
      <w:r w:rsidR="00F21DBE">
        <w:rPr>
          <w:rFonts w:ascii="仿宋_GB2312" w:eastAsia="仿宋_GB2312" w:hAnsi="Arial" w:cs="Arial" w:hint="eastAsia"/>
          <w:color w:val="000000"/>
          <w:sz w:val="32"/>
          <w:szCs w:val="28"/>
        </w:rPr>
        <w:t>完成后，企业应</w:t>
      </w:r>
      <w:r w:rsidR="00F21DBE">
        <w:rPr>
          <w:rFonts w:ascii="仿宋_GB2312" w:eastAsia="仿宋_GB2312" w:hAnsi="Arial" w:cs="Arial"/>
          <w:color w:val="000000"/>
          <w:sz w:val="32"/>
          <w:szCs w:val="28"/>
        </w:rPr>
        <w:t>对输出内容的充分性、完整性、准确性进行阶段评审，形成设计开发输出阶段评审记录。当评审未获得通过时，</w:t>
      </w:r>
      <w:r w:rsidR="00F21DBE">
        <w:rPr>
          <w:rFonts w:ascii="仿宋_GB2312" w:eastAsia="仿宋_GB2312" w:hAnsi="Arial" w:cs="Arial" w:hint="eastAsia"/>
          <w:color w:val="000000"/>
          <w:sz w:val="32"/>
          <w:szCs w:val="28"/>
        </w:rPr>
        <w:t>应</w:t>
      </w:r>
      <w:r w:rsidR="00F21DBE">
        <w:rPr>
          <w:rFonts w:ascii="仿宋_GB2312" w:eastAsia="仿宋_GB2312" w:hAnsi="Arial" w:cs="Arial"/>
          <w:color w:val="000000"/>
          <w:sz w:val="32"/>
          <w:szCs w:val="28"/>
        </w:rPr>
        <w:t>根据评审的内容分析原因，重新编制、补充、完善开发的设计文件，必要时重新进行评审，直至通过。除非对所有制定的纠正或改进措施</w:t>
      </w:r>
      <w:r w:rsidR="00F21DBE">
        <w:rPr>
          <w:rFonts w:ascii="仿宋_GB2312" w:eastAsia="仿宋_GB2312" w:hAnsi="Arial" w:cs="Arial"/>
          <w:color w:val="000000"/>
          <w:sz w:val="32"/>
          <w:szCs w:val="28"/>
        </w:rPr>
        <w:lastRenderedPageBreak/>
        <w:t>都有明确安排并能有效控制，否则不准许带入开发的下</w:t>
      </w:r>
      <w:r w:rsidR="00F21DBE">
        <w:rPr>
          <w:rFonts w:ascii="仿宋_GB2312" w:eastAsia="仿宋_GB2312" w:hAnsi="Arial" w:cs="Arial" w:hint="eastAsia"/>
          <w:color w:val="000000"/>
          <w:sz w:val="32"/>
          <w:szCs w:val="28"/>
        </w:rPr>
        <w:t>一</w:t>
      </w:r>
      <w:r w:rsidR="00F21DBE">
        <w:rPr>
          <w:rFonts w:ascii="仿宋_GB2312" w:eastAsia="仿宋_GB2312" w:hAnsi="Arial" w:cs="Arial"/>
          <w:color w:val="000000"/>
          <w:sz w:val="32"/>
          <w:szCs w:val="28"/>
        </w:rPr>
        <w:t>阶段。</w:t>
      </w:r>
    </w:p>
    <w:p w:rsidR="00B21435" w:rsidRDefault="00F21DBE">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4.设计开发转换阶段</w:t>
      </w:r>
    </w:p>
    <w:p w:rsidR="00B21435" w:rsidRDefault="00A62EAD">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1）企业</w:t>
      </w:r>
      <w:r w:rsidR="00F21DBE">
        <w:rPr>
          <w:rFonts w:ascii="仿宋_GB2312" w:eastAsia="仿宋_GB2312" w:hAnsi="Arial" w:cs="Arial"/>
          <w:color w:val="000000"/>
          <w:sz w:val="32"/>
          <w:szCs w:val="28"/>
        </w:rPr>
        <w:t>设计和开发的转换</w:t>
      </w:r>
      <w:r w:rsidR="00F21DBE">
        <w:rPr>
          <w:rFonts w:ascii="仿宋_GB2312" w:eastAsia="仿宋_GB2312" w:hAnsi="Arial" w:cs="Arial" w:hint="eastAsia"/>
          <w:color w:val="000000"/>
          <w:sz w:val="32"/>
          <w:szCs w:val="28"/>
        </w:rPr>
        <w:t>应</w:t>
      </w:r>
      <w:r w:rsidR="00F21DBE">
        <w:rPr>
          <w:rFonts w:ascii="仿宋_GB2312" w:eastAsia="仿宋_GB2312" w:hAnsi="Arial" w:cs="Arial"/>
          <w:color w:val="000000"/>
          <w:sz w:val="32"/>
          <w:szCs w:val="28"/>
        </w:rPr>
        <w:t>满足以下要求：</w:t>
      </w:r>
    </w:p>
    <w:p w:rsidR="00B21435" w:rsidRDefault="00F21DBE">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①</w:t>
      </w:r>
      <w:r>
        <w:rPr>
          <w:rFonts w:ascii="仿宋_GB2312" w:eastAsia="仿宋_GB2312" w:hAnsi="Arial" w:cs="Arial"/>
          <w:color w:val="000000"/>
          <w:sz w:val="32"/>
          <w:szCs w:val="28"/>
        </w:rPr>
        <w:t>可生产性，例如：生产作业指导文件；</w:t>
      </w:r>
    </w:p>
    <w:p w:rsidR="00B21435" w:rsidRDefault="00F21DBE">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②</w:t>
      </w:r>
      <w:r>
        <w:rPr>
          <w:rFonts w:ascii="仿宋_GB2312" w:eastAsia="仿宋_GB2312" w:hAnsi="Arial" w:cs="Arial"/>
          <w:color w:val="000000"/>
          <w:sz w:val="32"/>
          <w:szCs w:val="28"/>
        </w:rPr>
        <w:t>可采购性，例如：采购要求；</w:t>
      </w:r>
    </w:p>
    <w:p w:rsidR="00B21435" w:rsidRDefault="00F21DBE">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③</w:t>
      </w:r>
      <w:r>
        <w:rPr>
          <w:rFonts w:ascii="仿宋_GB2312" w:eastAsia="仿宋_GB2312" w:hAnsi="Arial" w:cs="Arial"/>
          <w:color w:val="000000"/>
          <w:sz w:val="32"/>
          <w:szCs w:val="28"/>
        </w:rPr>
        <w:t>可检验性，例如：检验作业文件；</w:t>
      </w:r>
    </w:p>
    <w:p w:rsidR="00B21435" w:rsidRDefault="00F21DBE">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④</w:t>
      </w:r>
      <w:r>
        <w:rPr>
          <w:rFonts w:ascii="仿宋_GB2312" w:eastAsia="仿宋_GB2312" w:hAnsi="Arial" w:cs="Arial"/>
          <w:color w:val="000000"/>
          <w:sz w:val="32"/>
          <w:szCs w:val="28"/>
        </w:rPr>
        <w:t>可使用性，例如：说明书、运行维护</w:t>
      </w:r>
      <w:r>
        <w:rPr>
          <w:rFonts w:ascii="仿宋_GB2312" w:eastAsia="仿宋_GB2312" w:hAnsi="Arial" w:cs="Arial" w:hint="eastAsia"/>
          <w:color w:val="000000"/>
          <w:sz w:val="32"/>
          <w:szCs w:val="28"/>
        </w:rPr>
        <w:t>指导书</w:t>
      </w:r>
      <w:r>
        <w:rPr>
          <w:rFonts w:ascii="仿宋_GB2312" w:eastAsia="仿宋_GB2312" w:hAnsi="Arial" w:cs="Arial"/>
          <w:color w:val="000000"/>
          <w:sz w:val="32"/>
          <w:szCs w:val="28"/>
        </w:rPr>
        <w:t>。</w:t>
      </w:r>
    </w:p>
    <w:p w:rsidR="00B21435" w:rsidRDefault="00A62EAD">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2）</w:t>
      </w:r>
      <w:r w:rsidR="00F21DBE">
        <w:rPr>
          <w:rFonts w:ascii="仿宋_GB2312" w:eastAsia="仿宋_GB2312" w:hAnsi="Arial" w:cs="Arial"/>
          <w:color w:val="000000"/>
          <w:sz w:val="32"/>
          <w:szCs w:val="28"/>
        </w:rPr>
        <w:t>设计转换活动</w:t>
      </w:r>
      <w:r w:rsidR="00F21DBE">
        <w:rPr>
          <w:rFonts w:ascii="仿宋_GB2312" w:eastAsia="仿宋_GB2312" w:hAnsi="Arial" w:cs="Arial" w:hint="eastAsia"/>
          <w:color w:val="000000"/>
          <w:sz w:val="32"/>
          <w:szCs w:val="28"/>
        </w:rPr>
        <w:t>应</w:t>
      </w:r>
      <w:r w:rsidR="00F21DBE">
        <w:rPr>
          <w:rFonts w:ascii="仿宋_GB2312" w:eastAsia="仿宋_GB2312" w:hAnsi="Arial" w:cs="Arial"/>
          <w:color w:val="000000"/>
          <w:sz w:val="32"/>
          <w:szCs w:val="28"/>
        </w:rPr>
        <w:t>将产品的每一项技术要求正确转化成与产品实现相关的具体过程或程序。</w:t>
      </w:r>
    </w:p>
    <w:p w:rsidR="00B21435" w:rsidRDefault="00A62EAD">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3）</w:t>
      </w:r>
      <w:r w:rsidR="00F21DBE">
        <w:rPr>
          <w:rFonts w:ascii="仿宋_GB2312" w:eastAsia="仿宋_GB2312" w:hAnsi="Arial" w:cs="Arial"/>
          <w:color w:val="000000"/>
          <w:sz w:val="32"/>
          <w:szCs w:val="28"/>
        </w:rPr>
        <w:t>设计开发的转换阶段应输出文件</w:t>
      </w:r>
      <w:r w:rsidR="00F21DBE">
        <w:rPr>
          <w:rFonts w:ascii="仿宋_GB2312" w:eastAsia="仿宋_GB2312" w:hAnsi="Arial" w:cs="Arial" w:hint="eastAsia"/>
          <w:color w:val="000000"/>
          <w:sz w:val="32"/>
          <w:szCs w:val="28"/>
        </w:rPr>
        <w:t>包括</w:t>
      </w:r>
      <w:r w:rsidR="00F21DBE">
        <w:rPr>
          <w:rFonts w:ascii="仿宋_GB2312" w:eastAsia="仿宋_GB2312" w:hAnsi="Arial" w:cs="Arial"/>
          <w:color w:val="000000"/>
          <w:sz w:val="32"/>
          <w:szCs w:val="28"/>
        </w:rPr>
        <w:t>：生产作业规程</w:t>
      </w:r>
      <w:r w:rsidR="00F21DBE">
        <w:rPr>
          <w:rFonts w:ascii="仿宋_GB2312" w:eastAsia="仿宋_GB2312" w:hAnsi="Arial" w:cs="Arial" w:hint="eastAsia"/>
          <w:color w:val="000000"/>
          <w:sz w:val="32"/>
          <w:szCs w:val="28"/>
        </w:rPr>
        <w:t>、</w:t>
      </w:r>
      <w:r w:rsidR="00F21DBE">
        <w:rPr>
          <w:rFonts w:ascii="仿宋_GB2312" w:eastAsia="仿宋_GB2312" w:hAnsi="Arial" w:cs="Arial"/>
          <w:color w:val="000000"/>
          <w:sz w:val="32"/>
          <w:szCs w:val="28"/>
        </w:rPr>
        <w:t>检验作业规程</w:t>
      </w:r>
      <w:r w:rsidR="00F21DBE">
        <w:rPr>
          <w:rFonts w:ascii="仿宋_GB2312" w:eastAsia="仿宋_GB2312" w:hAnsi="Arial" w:cs="Arial" w:hint="eastAsia"/>
          <w:color w:val="000000"/>
          <w:sz w:val="32"/>
          <w:szCs w:val="28"/>
        </w:rPr>
        <w:t>、</w:t>
      </w:r>
      <w:r w:rsidR="00F21DBE">
        <w:rPr>
          <w:rFonts w:ascii="仿宋_GB2312" w:eastAsia="仿宋_GB2312" w:hAnsi="Arial" w:cs="Arial"/>
          <w:color w:val="000000"/>
          <w:sz w:val="32"/>
          <w:szCs w:val="28"/>
        </w:rPr>
        <w:t>安装作业规程</w:t>
      </w:r>
      <w:r w:rsidR="00F21DBE">
        <w:rPr>
          <w:rFonts w:ascii="仿宋_GB2312" w:eastAsia="仿宋_GB2312" w:hAnsi="Arial" w:cs="Arial" w:hint="eastAsia"/>
          <w:color w:val="000000"/>
          <w:sz w:val="32"/>
          <w:szCs w:val="28"/>
        </w:rPr>
        <w:t>、</w:t>
      </w:r>
      <w:r w:rsidR="00F21DBE">
        <w:rPr>
          <w:rFonts w:ascii="仿宋_GB2312" w:eastAsia="仿宋_GB2312" w:hAnsi="Arial" w:cs="Arial"/>
          <w:color w:val="000000"/>
          <w:sz w:val="32"/>
          <w:szCs w:val="28"/>
        </w:rPr>
        <w:t>生产设备操作规程</w:t>
      </w:r>
      <w:r w:rsidR="00F21DBE">
        <w:rPr>
          <w:rFonts w:ascii="仿宋_GB2312" w:eastAsia="仿宋_GB2312" w:hAnsi="Arial" w:cs="Arial" w:hint="eastAsia"/>
          <w:color w:val="000000"/>
          <w:sz w:val="32"/>
          <w:szCs w:val="28"/>
        </w:rPr>
        <w:t>、</w:t>
      </w:r>
      <w:r w:rsidR="00F21DBE">
        <w:rPr>
          <w:rFonts w:ascii="仿宋_GB2312" w:eastAsia="仿宋_GB2312" w:hAnsi="Arial" w:cs="Arial"/>
          <w:color w:val="000000"/>
          <w:sz w:val="32"/>
          <w:szCs w:val="28"/>
        </w:rPr>
        <w:t>调试作业规程</w:t>
      </w:r>
      <w:r w:rsidR="00F21DBE">
        <w:rPr>
          <w:rFonts w:ascii="仿宋_GB2312" w:eastAsia="仿宋_GB2312" w:hAnsi="Arial" w:cs="Arial" w:hint="eastAsia"/>
          <w:color w:val="000000"/>
          <w:sz w:val="32"/>
          <w:szCs w:val="28"/>
        </w:rPr>
        <w:t>、运行维护操作规程、</w:t>
      </w:r>
      <w:r w:rsidR="00F21DBE">
        <w:rPr>
          <w:rFonts w:ascii="仿宋_GB2312" w:eastAsia="仿宋_GB2312" w:hAnsi="Arial" w:cs="Arial"/>
          <w:color w:val="000000"/>
          <w:sz w:val="32"/>
          <w:szCs w:val="28"/>
        </w:rPr>
        <w:t>关键工序、特殊过程</w:t>
      </w:r>
      <w:r w:rsidR="00F21DBE">
        <w:rPr>
          <w:rFonts w:ascii="仿宋_GB2312" w:eastAsia="仿宋_GB2312" w:hAnsi="Arial" w:cs="Arial" w:hint="eastAsia"/>
          <w:color w:val="000000"/>
          <w:sz w:val="32"/>
          <w:szCs w:val="28"/>
        </w:rPr>
        <w:t>验证/</w:t>
      </w:r>
      <w:r w:rsidR="00F21DBE">
        <w:rPr>
          <w:rFonts w:ascii="仿宋_GB2312" w:eastAsia="仿宋_GB2312" w:hAnsi="Arial" w:cs="Arial"/>
          <w:color w:val="000000"/>
          <w:sz w:val="32"/>
          <w:szCs w:val="28"/>
        </w:rPr>
        <w:t>确认方案</w:t>
      </w:r>
      <w:r w:rsidR="00F21DBE">
        <w:rPr>
          <w:rFonts w:ascii="仿宋_GB2312" w:eastAsia="仿宋_GB2312" w:hAnsi="Arial" w:cs="Arial" w:hint="eastAsia"/>
          <w:color w:val="000000"/>
          <w:sz w:val="32"/>
          <w:szCs w:val="28"/>
        </w:rPr>
        <w:t>、</w:t>
      </w:r>
      <w:r w:rsidR="00F21DBE">
        <w:rPr>
          <w:rFonts w:ascii="仿宋_GB2312" w:eastAsia="仿宋_GB2312" w:hAnsi="Arial" w:cs="Arial"/>
          <w:color w:val="000000"/>
          <w:sz w:val="32"/>
          <w:szCs w:val="28"/>
        </w:rPr>
        <w:t>包装、储存、运输、防护作业指导书</w:t>
      </w:r>
      <w:r w:rsidR="00F21DBE">
        <w:rPr>
          <w:rFonts w:ascii="仿宋_GB2312" w:eastAsia="仿宋_GB2312" w:hAnsi="Arial" w:cs="Arial" w:hint="eastAsia"/>
          <w:color w:val="000000"/>
          <w:sz w:val="32"/>
          <w:szCs w:val="28"/>
        </w:rPr>
        <w:t>等内容</w:t>
      </w:r>
      <w:r w:rsidR="00F21DBE">
        <w:rPr>
          <w:rFonts w:ascii="仿宋_GB2312" w:eastAsia="仿宋_GB2312" w:hAnsi="Arial" w:cs="Arial"/>
          <w:color w:val="000000"/>
          <w:sz w:val="32"/>
          <w:szCs w:val="28"/>
        </w:rPr>
        <w:t>。</w:t>
      </w:r>
    </w:p>
    <w:p w:rsidR="00B21435" w:rsidRDefault="00A62EAD">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4）企业应</w:t>
      </w:r>
      <w:r w:rsidR="00F21DBE">
        <w:rPr>
          <w:rFonts w:ascii="仿宋_GB2312" w:eastAsia="仿宋_GB2312" w:hAnsi="Arial" w:cs="Arial"/>
          <w:color w:val="000000"/>
          <w:sz w:val="32"/>
          <w:szCs w:val="28"/>
        </w:rPr>
        <w:t>对设计转换结果的充分性、适宜性、完整性组织评审，形成评审记录</w:t>
      </w:r>
      <w:r w:rsidR="00F21DBE">
        <w:rPr>
          <w:rFonts w:ascii="仿宋_GB2312" w:eastAsia="仿宋_GB2312" w:hAnsi="Arial" w:cs="Arial" w:hint="eastAsia"/>
          <w:color w:val="000000"/>
          <w:sz w:val="32"/>
          <w:szCs w:val="28"/>
        </w:rPr>
        <w:t>。</w:t>
      </w:r>
      <w:r w:rsidR="00F21DBE">
        <w:rPr>
          <w:rFonts w:ascii="仿宋_GB2312" w:eastAsia="仿宋_GB2312" w:hAnsi="Arial" w:cs="Arial"/>
          <w:color w:val="000000"/>
          <w:sz w:val="32"/>
          <w:szCs w:val="28"/>
        </w:rPr>
        <w:t>当评审未获得通过时，</w:t>
      </w:r>
      <w:r w:rsidR="00F21DBE">
        <w:rPr>
          <w:rFonts w:ascii="仿宋_GB2312" w:eastAsia="仿宋_GB2312" w:hAnsi="Arial" w:cs="Arial" w:hint="eastAsia"/>
          <w:color w:val="000000"/>
          <w:sz w:val="32"/>
          <w:szCs w:val="28"/>
        </w:rPr>
        <w:t>应</w:t>
      </w:r>
      <w:r w:rsidR="00F21DBE">
        <w:rPr>
          <w:rFonts w:ascii="仿宋_GB2312" w:eastAsia="仿宋_GB2312" w:hAnsi="Arial" w:cs="Arial"/>
          <w:color w:val="000000"/>
          <w:sz w:val="32"/>
          <w:szCs w:val="28"/>
        </w:rPr>
        <w:t>根据评审的内容分析原因，重新编制、补充、完善开发的设计文件，必要时重新制作样机，重新提交测试，重新进行评审，直至通过。</w:t>
      </w:r>
    </w:p>
    <w:p w:rsidR="00B21435" w:rsidRDefault="00A62EAD">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5）</w:t>
      </w:r>
      <w:r w:rsidR="00F21DBE">
        <w:rPr>
          <w:rFonts w:ascii="仿宋_GB2312" w:eastAsia="仿宋_GB2312" w:hAnsi="Arial" w:cs="Arial"/>
          <w:color w:val="000000"/>
          <w:sz w:val="32"/>
          <w:szCs w:val="28"/>
        </w:rPr>
        <w:t>除非对所有制定的纠正或改进措施都有明确安排并能有效控制，否则不准许带入开发的下</w:t>
      </w:r>
      <w:r w:rsidR="00F21DBE">
        <w:rPr>
          <w:rFonts w:ascii="仿宋_GB2312" w:eastAsia="仿宋_GB2312" w:hAnsi="Arial" w:cs="Arial" w:hint="eastAsia"/>
          <w:color w:val="000000"/>
          <w:sz w:val="32"/>
          <w:szCs w:val="28"/>
        </w:rPr>
        <w:t>一</w:t>
      </w:r>
      <w:r w:rsidR="00F21DBE">
        <w:rPr>
          <w:rFonts w:ascii="仿宋_GB2312" w:eastAsia="仿宋_GB2312" w:hAnsi="Arial" w:cs="Arial"/>
          <w:color w:val="000000"/>
          <w:sz w:val="32"/>
          <w:szCs w:val="28"/>
        </w:rPr>
        <w:t>阶段。</w:t>
      </w:r>
    </w:p>
    <w:p w:rsidR="00B21435" w:rsidRDefault="00F21DBE">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5.设计开发验证阶段</w:t>
      </w:r>
    </w:p>
    <w:p w:rsidR="00B21435" w:rsidRDefault="00A62EAD">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1）企业应根</w:t>
      </w:r>
      <w:r w:rsidR="00F21DBE">
        <w:rPr>
          <w:rFonts w:ascii="仿宋_GB2312" w:eastAsia="仿宋_GB2312" w:hAnsi="Arial" w:cs="Arial"/>
          <w:color w:val="000000"/>
          <w:sz w:val="32"/>
          <w:szCs w:val="28"/>
        </w:rPr>
        <w:t>据</w:t>
      </w:r>
      <w:r w:rsidR="00F21DBE">
        <w:rPr>
          <w:rFonts w:ascii="仿宋_GB2312" w:eastAsia="仿宋_GB2312" w:hAnsi="Arial" w:cs="Arial" w:hint="eastAsia"/>
          <w:color w:val="000000"/>
          <w:sz w:val="32"/>
          <w:szCs w:val="28"/>
        </w:rPr>
        <w:t>产品</w:t>
      </w:r>
      <w:r w:rsidR="00F21DBE">
        <w:rPr>
          <w:rFonts w:ascii="仿宋_GB2312" w:eastAsia="仿宋_GB2312" w:hAnsi="Arial" w:cs="Arial"/>
          <w:color w:val="000000"/>
          <w:sz w:val="32"/>
          <w:szCs w:val="28"/>
        </w:rPr>
        <w:t>设计开发策划</w:t>
      </w:r>
      <w:r w:rsidR="00F21DBE">
        <w:rPr>
          <w:rFonts w:ascii="仿宋_GB2312" w:eastAsia="仿宋_GB2312" w:hAnsi="Arial" w:cs="Arial" w:hint="eastAsia"/>
          <w:color w:val="000000"/>
          <w:sz w:val="32"/>
          <w:szCs w:val="28"/>
        </w:rPr>
        <w:t>文件</w:t>
      </w:r>
      <w:r w:rsidR="00F21DBE">
        <w:rPr>
          <w:rFonts w:ascii="仿宋_GB2312" w:eastAsia="仿宋_GB2312" w:hAnsi="Arial" w:cs="Arial"/>
          <w:color w:val="000000"/>
          <w:sz w:val="32"/>
          <w:szCs w:val="28"/>
        </w:rPr>
        <w:t>中的安排，在相应的阶段进行设计和开发验证，确保设计和开发输出满足输</w:t>
      </w:r>
      <w:r w:rsidR="00F21DBE">
        <w:rPr>
          <w:rFonts w:ascii="仿宋_GB2312" w:eastAsia="仿宋_GB2312" w:hAnsi="Arial" w:cs="Arial"/>
          <w:color w:val="000000"/>
          <w:sz w:val="32"/>
          <w:szCs w:val="28"/>
        </w:rPr>
        <w:lastRenderedPageBreak/>
        <w:t>入的要求</w:t>
      </w:r>
      <w:r w:rsidR="00F21DBE">
        <w:rPr>
          <w:rFonts w:ascii="仿宋_GB2312" w:eastAsia="仿宋_GB2312" w:hAnsi="Arial" w:cs="Arial" w:hint="eastAsia"/>
          <w:color w:val="000000"/>
          <w:sz w:val="32"/>
          <w:szCs w:val="28"/>
        </w:rPr>
        <w:t>。</w:t>
      </w:r>
    </w:p>
    <w:p w:rsidR="00B21435" w:rsidRDefault="00F21DBE">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验证的内容一般包括：</w:t>
      </w:r>
      <w:r>
        <w:rPr>
          <w:rFonts w:ascii="仿宋_GB2312" w:eastAsia="仿宋_GB2312" w:hAnsi="Arial" w:cs="Arial" w:hint="eastAsia"/>
          <w:sz w:val="32"/>
          <w:szCs w:val="28"/>
        </w:rPr>
        <w:t>各系统的调试测试、束流性能调试（离子源束流调试、回旋注入器/直线注入器束流调试、主加速器束流调试、束流传输系统束流调试）、束流性能检测（均匀扫描等中心偏差，虚拟源轴距测试，切换时间测试，终止和中断辐照的时间测试，重启辐时间、启动时间、关机时间，剂量监测系统的重复性、线性，调制扫描离轴响应、剂量监测系统的日稳定性、周稳定性，非射程调制深度剂量分布，均匀扫描射程调制深度剂量分布，射程稳定性测试，均匀扫描射野横向曲线，调制扫描射野横向曲线，辐照照射体积时间，形成均匀野所需最小吸收剂量，剂量计算准确性，透过限束装置的泄露辐射，辐射野投射之外的非治疗辐射，辐射野投射之外的中子非治疗辐射，患者平面之外的非治疗辐射，终止辐照后的感生放射性，基于电磁兼容干扰下的束流性能）、电磁兼容、电气安全检测、软件检测和第三方检测，完成后应形成调试测试记录、检测报告、第三方检测报告、风险管理报告和设计开发验证报告。</w:t>
      </w:r>
    </w:p>
    <w:p w:rsidR="00B21435" w:rsidRDefault="00A62EAD">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2）企业应</w:t>
      </w:r>
      <w:r w:rsidR="00F21DBE">
        <w:rPr>
          <w:rFonts w:ascii="仿宋_GB2312" w:eastAsia="仿宋_GB2312" w:hAnsi="Arial" w:cs="Arial"/>
          <w:color w:val="000000"/>
          <w:sz w:val="32"/>
          <w:szCs w:val="28"/>
        </w:rPr>
        <w:t>在产品确认前对其进行设计和开发的最终评审</w:t>
      </w:r>
      <w:r w:rsidR="00F21DBE">
        <w:rPr>
          <w:rFonts w:ascii="仿宋_GB2312" w:eastAsia="仿宋_GB2312" w:hAnsi="Arial" w:cs="Arial" w:hint="eastAsia"/>
          <w:color w:val="000000"/>
          <w:sz w:val="32"/>
          <w:szCs w:val="28"/>
        </w:rPr>
        <w:t>，包括</w:t>
      </w:r>
      <w:r w:rsidR="00F21DBE">
        <w:rPr>
          <w:rFonts w:ascii="仿宋_GB2312" w:eastAsia="仿宋_GB2312" w:hAnsi="Arial" w:cs="Arial"/>
          <w:color w:val="000000"/>
          <w:sz w:val="32"/>
          <w:szCs w:val="28"/>
        </w:rPr>
        <w:t>法规、标准的符合性</w:t>
      </w:r>
      <w:r w:rsidR="00F21DBE">
        <w:rPr>
          <w:rFonts w:ascii="仿宋_GB2312" w:eastAsia="仿宋_GB2312" w:hAnsi="Arial" w:cs="Arial" w:hint="eastAsia"/>
          <w:color w:val="000000"/>
          <w:sz w:val="32"/>
          <w:szCs w:val="28"/>
        </w:rPr>
        <w:t>，</w:t>
      </w:r>
      <w:r w:rsidR="00F21DBE">
        <w:rPr>
          <w:rFonts w:ascii="仿宋_GB2312" w:eastAsia="仿宋_GB2312" w:hAnsi="Arial" w:cs="Arial"/>
          <w:color w:val="000000"/>
          <w:sz w:val="32"/>
          <w:szCs w:val="28"/>
        </w:rPr>
        <w:t>客户合同要求的符合性和满足程度</w:t>
      </w:r>
      <w:r w:rsidR="00F21DBE">
        <w:rPr>
          <w:rFonts w:ascii="仿宋_GB2312" w:eastAsia="仿宋_GB2312" w:hAnsi="Arial" w:cs="Arial" w:hint="eastAsia"/>
          <w:color w:val="000000"/>
          <w:sz w:val="32"/>
          <w:szCs w:val="28"/>
        </w:rPr>
        <w:t>，</w:t>
      </w:r>
      <w:r w:rsidR="00F21DBE">
        <w:rPr>
          <w:rFonts w:ascii="仿宋_GB2312" w:eastAsia="仿宋_GB2312" w:hAnsi="Arial" w:cs="Arial"/>
          <w:color w:val="000000"/>
          <w:sz w:val="32"/>
          <w:szCs w:val="28"/>
        </w:rPr>
        <w:t>临床应用要求的符合性</w:t>
      </w:r>
      <w:r w:rsidR="00F21DBE">
        <w:rPr>
          <w:rFonts w:ascii="仿宋_GB2312" w:eastAsia="仿宋_GB2312" w:hAnsi="Arial" w:cs="Arial" w:hint="eastAsia"/>
          <w:color w:val="000000"/>
          <w:sz w:val="32"/>
          <w:szCs w:val="28"/>
        </w:rPr>
        <w:t>，</w:t>
      </w:r>
      <w:r w:rsidR="00F21DBE">
        <w:rPr>
          <w:rFonts w:ascii="仿宋_GB2312" w:eastAsia="仿宋_GB2312" w:hAnsi="Arial" w:cs="Arial"/>
          <w:color w:val="000000"/>
          <w:sz w:val="32"/>
          <w:szCs w:val="28"/>
        </w:rPr>
        <w:t>类似的设计经验（成功的、失败的）</w:t>
      </w:r>
      <w:r w:rsidR="00F21DBE">
        <w:rPr>
          <w:rFonts w:ascii="仿宋_GB2312" w:eastAsia="仿宋_GB2312" w:hAnsi="Arial" w:cs="Arial" w:hint="eastAsia"/>
          <w:color w:val="000000"/>
          <w:sz w:val="32"/>
          <w:szCs w:val="28"/>
        </w:rPr>
        <w:t>，</w:t>
      </w:r>
      <w:r w:rsidR="00F21DBE">
        <w:rPr>
          <w:rFonts w:ascii="仿宋_GB2312" w:eastAsia="仿宋_GB2312" w:hAnsi="Arial" w:cs="Arial"/>
          <w:color w:val="000000"/>
          <w:sz w:val="32"/>
          <w:szCs w:val="28"/>
        </w:rPr>
        <w:t>产品的适宜性</w:t>
      </w:r>
      <w:r w:rsidR="00F21DBE">
        <w:rPr>
          <w:rFonts w:ascii="仿宋_GB2312" w:eastAsia="仿宋_GB2312" w:hAnsi="Arial" w:cs="Arial" w:hint="eastAsia"/>
          <w:color w:val="000000"/>
          <w:sz w:val="32"/>
          <w:szCs w:val="28"/>
        </w:rPr>
        <w:t>等</w:t>
      </w:r>
      <w:r w:rsidR="00F21DBE">
        <w:rPr>
          <w:rFonts w:ascii="仿宋_GB2312" w:eastAsia="仿宋_GB2312" w:hAnsi="Arial" w:cs="Arial"/>
          <w:color w:val="000000"/>
          <w:sz w:val="32"/>
          <w:szCs w:val="28"/>
        </w:rPr>
        <w:t>。</w:t>
      </w:r>
    </w:p>
    <w:p w:rsidR="00B21435" w:rsidRDefault="00A62EAD">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（3）</w:t>
      </w:r>
      <w:r w:rsidR="00F21DBE">
        <w:rPr>
          <w:rFonts w:ascii="仿宋_GB2312" w:eastAsia="仿宋_GB2312" w:hAnsi="Arial" w:cs="Arial" w:hint="eastAsia"/>
          <w:color w:val="000000"/>
          <w:sz w:val="32"/>
          <w:szCs w:val="28"/>
        </w:rPr>
        <w:t>当评审未获得通过时，应根据评审的内容分析原因，重新编制、补充、完善设计开发文件，重新提交测试及评审，直至通过。除非对评审提出的所有问题都有明确安排并能有</w:t>
      </w:r>
      <w:r w:rsidR="00F21DBE">
        <w:rPr>
          <w:rFonts w:ascii="仿宋_GB2312" w:eastAsia="仿宋_GB2312" w:hAnsi="Arial" w:cs="Arial" w:hint="eastAsia"/>
          <w:color w:val="000000"/>
          <w:sz w:val="32"/>
          <w:szCs w:val="28"/>
        </w:rPr>
        <w:lastRenderedPageBreak/>
        <w:t>效控制，否则不准许带入开发的下一阶段。</w:t>
      </w:r>
    </w:p>
    <w:p w:rsidR="00B21435" w:rsidRDefault="00F21DBE">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6.</w:t>
      </w:r>
      <w:r>
        <w:rPr>
          <w:rFonts w:ascii="仿宋_GB2312" w:eastAsia="仿宋_GB2312" w:hAnsi="Arial" w:cs="Arial"/>
          <w:color w:val="000000"/>
          <w:sz w:val="32"/>
          <w:szCs w:val="28"/>
        </w:rPr>
        <w:t>设计开发确认阶段</w:t>
      </w:r>
    </w:p>
    <w:p w:rsidR="00B21435" w:rsidRDefault="00A62EAD">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1）企业应</w:t>
      </w:r>
      <w:r w:rsidR="00F21DBE">
        <w:rPr>
          <w:rFonts w:ascii="仿宋_GB2312" w:eastAsia="仿宋_GB2312" w:hAnsi="Arial" w:cs="Arial"/>
          <w:color w:val="000000"/>
          <w:sz w:val="32"/>
          <w:szCs w:val="28"/>
        </w:rPr>
        <w:t>在产品交付前对其进行设计和开发确认，确保产品满足</w:t>
      </w:r>
      <w:r w:rsidR="00F21DBE">
        <w:rPr>
          <w:rFonts w:ascii="仿宋_GB2312" w:eastAsia="仿宋_GB2312" w:hAnsi="Arial" w:cs="Arial" w:hint="eastAsia"/>
          <w:color w:val="000000"/>
          <w:sz w:val="32"/>
          <w:szCs w:val="28"/>
        </w:rPr>
        <w:t>规定的</w:t>
      </w:r>
      <w:r w:rsidR="00F21DBE">
        <w:rPr>
          <w:rFonts w:ascii="仿宋_GB2312" w:eastAsia="仿宋_GB2312" w:hAnsi="Arial" w:cs="Arial"/>
          <w:color w:val="000000"/>
          <w:sz w:val="32"/>
          <w:szCs w:val="28"/>
        </w:rPr>
        <w:t>预期用途。</w:t>
      </w:r>
      <w:r w:rsidR="00F21DBE">
        <w:rPr>
          <w:rFonts w:ascii="仿宋_GB2312" w:eastAsia="仿宋_GB2312" w:hAnsi="Arial" w:cs="Arial" w:hint="eastAsia"/>
          <w:color w:val="000000"/>
          <w:sz w:val="32"/>
          <w:szCs w:val="28"/>
        </w:rPr>
        <w:t>确认方式为临床评价，即：</w:t>
      </w:r>
    </w:p>
    <w:p w:rsidR="00B21435" w:rsidRDefault="00F21DBE">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①</w:t>
      </w:r>
      <w:r>
        <w:rPr>
          <w:rFonts w:ascii="仿宋_GB2312" w:eastAsia="仿宋_GB2312" w:hAnsi="Arial" w:cs="Arial"/>
          <w:color w:val="000000"/>
          <w:sz w:val="32"/>
          <w:szCs w:val="28"/>
        </w:rPr>
        <w:t>通过同品种医疗器械临床试验或临床使用获得的数据进行分析评价要求；</w:t>
      </w:r>
    </w:p>
    <w:p w:rsidR="00B21435" w:rsidRDefault="00F21DBE">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②</w:t>
      </w:r>
      <w:r>
        <w:rPr>
          <w:rFonts w:ascii="仿宋_GB2312" w:eastAsia="仿宋_GB2312" w:hAnsi="Arial" w:cs="Arial"/>
          <w:color w:val="000000"/>
          <w:sz w:val="32"/>
          <w:szCs w:val="28"/>
        </w:rPr>
        <w:t>通过临床试验进行评价。</w:t>
      </w:r>
    </w:p>
    <w:p w:rsidR="00B21435" w:rsidRDefault="00A62EAD">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2）确认完成后应输出产品确认文件并进行评审，当确认未获得通过时，应根据确认结果分析原因，重新编制、补充、完善开发的设计文件，必要时重新进行优化、改进，重新提交检测，直至通过，否则不予交付顾客。</w:t>
      </w:r>
    </w:p>
    <w:p w:rsidR="00B21435" w:rsidRDefault="00F21DBE">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7.设计和开发更改</w:t>
      </w:r>
    </w:p>
    <w:p w:rsidR="00B21435" w:rsidRDefault="00A62EAD">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1）</w:t>
      </w:r>
      <w:r w:rsidR="00F21DBE">
        <w:rPr>
          <w:rFonts w:ascii="仿宋_GB2312" w:eastAsia="仿宋_GB2312" w:hAnsi="Arial" w:cs="Arial"/>
          <w:color w:val="000000"/>
          <w:sz w:val="32"/>
          <w:szCs w:val="28"/>
        </w:rPr>
        <w:t>在设计开发过程中，任何与原有规定或要求不一致或存在缺陷、不合理等原因，以及其他原因需要变更的，均</w:t>
      </w:r>
      <w:r w:rsidR="00F21DBE">
        <w:rPr>
          <w:rFonts w:ascii="仿宋_GB2312" w:eastAsia="仿宋_GB2312" w:hAnsi="Arial" w:cs="Arial" w:hint="eastAsia"/>
          <w:color w:val="000000"/>
          <w:sz w:val="32"/>
          <w:szCs w:val="28"/>
        </w:rPr>
        <w:t>应进行</w:t>
      </w:r>
      <w:r w:rsidR="00F21DBE">
        <w:rPr>
          <w:rFonts w:ascii="仿宋_GB2312" w:eastAsia="仿宋_GB2312" w:hAnsi="Arial" w:cs="Arial"/>
          <w:color w:val="000000"/>
          <w:sz w:val="32"/>
          <w:szCs w:val="28"/>
        </w:rPr>
        <w:t>变更申请，变更申请原因包括但不限于：</w:t>
      </w:r>
    </w:p>
    <w:p w:rsidR="00B21435" w:rsidRDefault="00F21DBE">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①</w:t>
      </w:r>
      <w:r>
        <w:rPr>
          <w:rFonts w:ascii="仿宋_GB2312" w:eastAsia="仿宋_GB2312" w:hAnsi="Arial" w:cs="Arial"/>
          <w:color w:val="000000"/>
          <w:sz w:val="32"/>
          <w:szCs w:val="28"/>
        </w:rPr>
        <w:t>设计开发输出不满足输入要求时；</w:t>
      </w:r>
    </w:p>
    <w:p w:rsidR="00B21435" w:rsidRDefault="00F21DBE">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②后续</w:t>
      </w:r>
      <w:r>
        <w:rPr>
          <w:rFonts w:ascii="仿宋_GB2312" w:eastAsia="仿宋_GB2312" w:hAnsi="Arial" w:cs="Arial"/>
          <w:color w:val="000000"/>
          <w:sz w:val="32"/>
          <w:szCs w:val="28"/>
        </w:rPr>
        <w:t>识别出的在设计阶段产生的错误或无法满足要求时；</w:t>
      </w:r>
    </w:p>
    <w:p w:rsidR="00B21435" w:rsidRDefault="00F21DBE">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③</w:t>
      </w:r>
      <w:r>
        <w:rPr>
          <w:rFonts w:ascii="仿宋_GB2312" w:eastAsia="仿宋_GB2312" w:hAnsi="Arial" w:cs="Arial"/>
          <w:color w:val="000000"/>
          <w:sz w:val="32"/>
          <w:szCs w:val="28"/>
        </w:rPr>
        <w:t>在设计和开发后期发现的制造、安装和服务等环节中存在问题时</w:t>
      </w:r>
      <w:r>
        <w:rPr>
          <w:rFonts w:ascii="仿宋_GB2312" w:eastAsia="仿宋_GB2312" w:hAnsi="Arial" w:cs="Arial" w:hint="eastAsia"/>
          <w:color w:val="000000"/>
          <w:sz w:val="32"/>
          <w:szCs w:val="28"/>
        </w:rPr>
        <w:t>;</w:t>
      </w:r>
    </w:p>
    <w:p w:rsidR="00B21435" w:rsidRDefault="00F21DBE">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④</w:t>
      </w:r>
      <w:r>
        <w:rPr>
          <w:rFonts w:ascii="仿宋_GB2312" w:eastAsia="仿宋_GB2312" w:hAnsi="Arial" w:cs="Arial"/>
          <w:color w:val="000000"/>
          <w:sz w:val="32"/>
          <w:szCs w:val="28"/>
        </w:rPr>
        <w:t>顾客或供方的要求更改时</w:t>
      </w:r>
      <w:r>
        <w:rPr>
          <w:rFonts w:ascii="仿宋_GB2312" w:eastAsia="仿宋_GB2312" w:hAnsi="Arial" w:cs="Arial" w:hint="eastAsia"/>
          <w:color w:val="000000"/>
          <w:sz w:val="32"/>
          <w:szCs w:val="28"/>
        </w:rPr>
        <w:t>;</w:t>
      </w:r>
    </w:p>
    <w:p w:rsidR="00B21435" w:rsidRDefault="00F21DBE">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⑤</w:t>
      </w:r>
      <w:r>
        <w:rPr>
          <w:rFonts w:ascii="仿宋_GB2312" w:eastAsia="仿宋_GB2312" w:hAnsi="Arial" w:cs="Arial"/>
          <w:color w:val="000000"/>
          <w:sz w:val="32"/>
          <w:szCs w:val="28"/>
        </w:rPr>
        <w:t>安全性、法律法规、标准或其他要求所需改进时</w:t>
      </w:r>
      <w:r>
        <w:rPr>
          <w:rFonts w:ascii="仿宋_GB2312" w:eastAsia="仿宋_GB2312" w:hAnsi="Arial" w:cs="Arial" w:hint="eastAsia"/>
          <w:color w:val="000000"/>
          <w:sz w:val="32"/>
          <w:szCs w:val="28"/>
        </w:rPr>
        <w:t>;</w:t>
      </w:r>
    </w:p>
    <w:p w:rsidR="00B21435" w:rsidRDefault="00F21DBE">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⑥</w:t>
      </w:r>
      <w:r>
        <w:rPr>
          <w:rFonts w:ascii="仿宋_GB2312" w:eastAsia="仿宋_GB2312" w:hAnsi="Arial" w:cs="Arial"/>
          <w:color w:val="000000"/>
          <w:sz w:val="32"/>
          <w:szCs w:val="28"/>
        </w:rPr>
        <w:t>在设计和开发评审、验证和确认阶段所要求更改时</w:t>
      </w:r>
      <w:r>
        <w:rPr>
          <w:rFonts w:ascii="仿宋_GB2312" w:eastAsia="仿宋_GB2312" w:hAnsi="Arial" w:cs="Arial" w:hint="eastAsia"/>
          <w:color w:val="000000"/>
          <w:sz w:val="32"/>
          <w:szCs w:val="28"/>
        </w:rPr>
        <w:t>;</w:t>
      </w:r>
    </w:p>
    <w:p w:rsidR="00B21435" w:rsidRDefault="00F21DBE">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⑦</w:t>
      </w:r>
      <w:r>
        <w:rPr>
          <w:rFonts w:ascii="仿宋_GB2312" w:eastAsia="仿宋_GB2312" w:hAnsi="Arial" w:cs="Arial"/>
          <w:color w:val="000000"/>
          <w:sz w:val="32"/>
          <w:szCs w:val="28"/>
        </w:rPr>
        <w:t>工程所要求的更改时</w:t>
      </w:r>
      <w:r>
        <w:rPr>
          <w:rFonts w:ascii="仿宋_GB2312" w:eastAsia="仿宋_GB2312" w:hAnsi="Arial" w:cs="Arial" w:hint="eastAsia"/>
          <w:color w:val="000000"/>
          <w:sz w:val="32"/>
          <w:szCs w:val="28"/>
        </w:rPr>
        <w:t>;</w:t>
      </w:r>
    </w:p>
    <w:p w:rsidR="00B21435" w:rsidRDefault="00F21DBE">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lastRenderedPageBreak/>
        <w:t>⑧</w:t>
      </w:r>
      <w:r>
        <w:rPr>
          <w:rFonts w:ascii="仿宋_GB2312" w:eastAsia="仿宋_GB2312" w:hAnsi="Arial" w:cs="Arial"/>
          <w:color w:val="000000"/>
          <w:sz w:val="32"/>
          <w:szCs w:val="28"/>
        </w:rPr>
        <w:t>风险分析所要求的更改时</w:t>
      </w:r>
      <w:r>
        <w:rPr>
          <w:rFonts w:ascii="仿宋_GB2312" w:eastAsia="仿宋_GB2312" w:hAnsi="Arial" w:cs="Arial" w:hint="eastAsia"/>
          <w:color w:val="000000"/>
          <w:sz w:val="32"/>
          <w:szCs w:val="28"/>
        </w:rPr>
        <w:t>。</w:t>
      </w:r>
    </w:p>
    <w:p w:rsidR="00B21435" w:rsidRDefault="00A62EAD">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2）在需要设计变更时，应当提出变更申请，经内部评审、审批通过后，按照变更要求实施变更，变更结束后应进行验证；当对产品的预期用途有影响时，应进行确认。</w:t>
      </w:r>
    </w:p>
    <w:p w:rsidR="00B21435" w:rsidRDefault="00A62EAD">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3）当变更涉及到产品注册证及其附件载明的内容如：产品名称、型号、规格、结构及组成、适用范围、产品技术要求发生变化时，应向原注册部门申请变更注册；或当产品取得注册证书后，其设计、使用方法、预期用途、使用范围等发生实质性变化或有重大软件更新，有可能影响其安全有效的，应申请变更注册。</w:t>
      </w:r>
    </w:p>
    <w:p w:rsidR="00B21435" w:rsidRDefault="00F21DBE">
      <w:pPr>
        <w:spacing w:line="560" w:lineRule="exact"/>
        <w:ind w:firstLineChars="200" w:firstLine="640"/>
        <w:outlineLvl w:val="2"/>
        <w:rPr>
          <w:rFonts w:ascii="楷体" w:eastAsia="楷体" w:hAnsi="楷体" w:cs="楷体"/>
          <w:sz w:val="32"/>
          <w:szCs w:val="32"/>
        </w:rPr>
      </w:pPr>
      <w:bookmarkStart w:id="397" w:name="_Toc24978"/>
      <w:bookmarkStart w:id="398" w:name="_Toc9467"/>
      <w:bookmarkStart w:id="399" w:name="_Toc21462"/>
      <w:bookmarkStart w:id="400" w:name="_Toc3986"/>
      <w:bookmarkStart w:id="401" w:name="_Toc17809"/>
      <w:bookmarkStart w:id="402" w:name="_Toc5510"/>
      <w:bookmarkStart w:id="403" w:name="_Toc27951"/>
      <w:bookmarkStart w:id="404" w:name="_Toc16322"/>
      <w:bookmarkStart w:id="405" w:name="_Toc5643"/>
      <w:bookmarkStart w:id="406" w:name="_Toc2378"/>
      <w:bookmarkStart w:id="407" w:name="_Toc9136"/>
      <w:bookmarkStart w:id="408" w:name="_Toc30071"/>
      <w:bookmarkStart w:id="409" w:name="_Toc26711"/>
      <w:r>
        <w:rPr>
          <w:rFonts w:ascii="楷体" w:eastAsia="楷体" w:hAnsi="楷体" w:cs="楷体" w:hint="eastAsia"/>
          <w:sz w:val="32"/>
          <w:szCs w:val="32"/>
        </w:rPr>
        <w:t>（六）采购</w:t>
      </w:r>
      <w:bookmarkEnd w:id="397"/>
      <w:bookmarkEnd w:id="398"/>
      <w:bookmarkEnd w:id="399"/>
      <w:bookmarkEnd w:id="400"/>
      <w:bookmarkEnd w:id="401"/>
      <w:bookmarkEnd w:id="402"/>
      <w:bookmarkEnd w:id="403"/>
      <w:bookmarkEnd w:id="404"/>
      <w:bookmarkEnd w:id="405"/>
      <w:bookmarkEnd w:id="406"/>
      <w:bookmarkEnd w:id="407"/>
      <w:bookmarkEnd w:id="408"/>
      <w:bookmarkEnd w:id="409"/>
    </w:p>
    <w:p w:rsidR="00B21435" w:rsidRDefault="00F21DBE">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对于外购部件，应在质量技术协议或采购合同中明确主要技术参数、规格型号、质量要求及验收标准等内容，必要时提供供方出厂检验报告。对于外协部件，应在质量技术协议中明确功能要求、技术参数、技术图纸、质量要求及验收标准等内容。对于关键部件，应确保采购过程的可追溯。</w:t>
      </w:r>
    </w:p>
    <w:p w:rsidR="00B21435" w:rsidRDefault="00F21DBE">
      <w:pPr>
        <w:pStyle w:val="4"/>
        <w:ind w:firstLine="640"/>
      </w:pPr>
      <w:bookmarkStart w:id="410" w:name="_Toc28214"/>
      <w:bookmarkStart w:id="411" w:name="_Toc17483"/>
      <w:bookmarkStart w:id="412" w:name="_Toc14797"/>
      <w:bookmarkStart w:id="413" w:name="_Toc1355"/>
      <w:bookmarkStart w:id="414" w:name="_Toc28255"/>
      <w:bookmarkStart w:id="415" w:name="_Toc21923"/>
      <w:bookmarkStart w:id="416" w:name="_Toc23196"/>
      <w:bookmarkStart w:id="417" w:name="_Toc17528"/>
      <w:bookmarkStart w:id="418" w:name="_Toc6977"/>
      <w:bookmarkStart w:id="419" w:name="_Toc27369"/>
      <w:bookmarkStart w:id="420" w:name="_Toc2164"/>
      <w:bookmarkStart w:id="421" w:name="_Toc756"/>
      <w:r>
        <w:rPr>
          <w:rFonts w:hint="eastAsia"/>
        </w:rPr>
        <w:t>1.</w:t>
      </w:r>
      <w:r>
        <w:rPr>
          <w:rFonts w:hint="eastAsia"/>
        </w:rPr>
        <w:t>采购流程</w:t>
      </w:r>
      <w:bookmarkEnd w:id="410"/>
      <w:bookmarkEnd w:id="411"/>
      <w:bookmarkEnd w:id="412"/>
      <w:bookmarkEnd w:id="413"/>
      <w:bookmarkEnd w:id="414"/>
      <w:bookmarkEnd w:id="415"/>
      <w:bookmarkEnd w:id="416"/>
      <w:bookmarkEnd w:id="417"/>
      <w:bookmarkEnd w:id="418"/>
      <w:bookmarkEnd w:id="419"/>
      <w:bookmarkEnd w:id="420"/>
      <w:bookmarkEnd w:id="421"/>
    </w:p>
    <w:p w:rsidR="00B21435" w:rsidRDefault="00F21DBE">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企业应建立采购程序文件，包括采购流程，应满足以下要求：</w:t>
      </w:r>
    </w:p>
    <w:p w:rsidR="00B21435" w:rsidRDefault="00A62EAD">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1）对不同的采购部件或原材料应规定不同的控制方式，并对采购文件的制定、评审、批准</w:t>
      </w:r>
      <w:proofErr w:type="gramStart"/>
      <w:r w:rsidR="00F21DBE">
        <w:rPr>
          <w:rFonts w:ascii="仿宋_GB2312" w:eastAsia="仿宋_GB2312" w:hAnsi="Arial" w:cs="Arial" w:hint="eastAsia"/>
          <w:color w:val="000000"/>
          <w:sz w:val="32"/>
          <w:szCs w:val="28"/>
        </w:rPr>
        <w:t>作出</w:t>
      </w:r>
      <w:proofErr w:type="gramEnd"/>
      <w:r w:rsidR="00F21DBE">
        <w:rPr>
          <w:rFonts w:ascii="仿宋_GB2312" w:eastAsia="仿宋_GB2312" w:hAnsi="Arial" w:cs="Arial" w:hint="eastAsia"/>
          <w:color w:val="000000"/>
          <w:sz w:val="32"/>
          <w:szCs w:val="28"/>
        </w:rPr>
        <w:t>明确的规定；</w:t>
      </w:r>
    </w:p>
    <w:p w:rsidR="00B21435" w:rsidRDefault="00A62EAD">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2）对合格供方的选择、评价和再评价应予以明确规定；</w:t>
      </w:r>
    </w:p>
    <w:p w:rsidR="00B21435" w:rsidRDefault="00A62EAD">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3）对采购产品符合性的验证方法进行规定；</w:t>
      </w:r>
    </w:p>
    <w:p w:rsidR="00B21435" w:rsidRDefault="00A62EAD">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4）对采购过程的记录应进行保持的规定；</w:t>
      </w:r>
    </w:p>
    <w:p w:rsidR="00B21435" w:rsidRDefault="00A62EAD">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lastRenderedPageBreak/>
        <w:t>（</w:t>
      </w:r>
      <w:r w:rsidR="00F21DBE">
        <w:rPr>
          <w:rFonts w:ascii="仿宋_GB2312" w:eastAsia="仿宋_GB2312" w:hAnsi="Arial" w:cs="Arial" w:hint="eastAsia"/>
          <w:color w:val="000000"/>
          <w:sz w:val="32"/>
          <w:szCs w:val="28"/>
        </w:rPr>
        <w:t>5）实施采购和采购管理应进行规定；</w:t>
      </w:r>
    </w:p>
    <w:p w:rsidR="00B21435" w:rsidRDefault="00A62EAD">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6）采购物料属于医疗器械的应保存医疗器械产品注册证，并遵守相应的规定。</w:t>
      </w:r>
    </w:p>
    <w:p w:rsidR="00B21435" w:rsidRDefault="00F21DBE">
      <w:pPr>
        <w:pStyle w:val="4"/>
        <w:ind w:firstLine="640"/>
      </w:pPr>
      <w:bookmarkStart w:id="422" w:name="_Toc5607"/>
      <w:bookmarkStart w:id="423" w:name="_Toc13240"/>
      <w:bookmarkStart w:id="424" w:name="_Toc689"/>
      <w:bookmarkStart w:id="425" w:name="_Toc29780"/>
      <w:bookmarkStart w:id="426" w:name="_Toc21897"/>
      <w:bookmarkStart w:id="427" w:name="_Toc30490"/>
      <w:bookmarkStart w:id="428" w:name="_Toc20009"/>
      <w:bookmarkStart w:id="429" w:name="_Toc24159"/>
      <w:bookmarkStart w:id="430" w:name="_Toc14798"/>
      <w:bookmarkStart w:id="431" w:name="_Toc307"/>
      <w:bookmarkStart w:id="432" w:name="_Toc12314"/>
      <w:bookmarkStart w:id="433" w:name="_Toc2945"/>
      <w:r>
        <w:rPr>
          <w:rFonts w:hint="eastAsia"/>
        </w:rPr>
        <w:t>2.</w:t>
      </w:r>
      <w:r>
        <w:rPr>
          <w:rFonts w:hint="eastAsia"/>
        </w:rPr>
        <w:t>物料分类</w:t>
      </w:r>
      <w:bookmarkEnd w:id="422"/>
      <w:bookmarkEnd w:id="423"/>
      <w:bookmarkEnd w:id="424"/>
      <w:bookmarkEnd w:id="425"/>
      <w:bookmarkEnd w:id="426"/>
      <w:bookmarkEnd w:id="427"/>
      <w:bookmarkEnd w:id="428"/>
      <w:bookmarkEnd w:id="429"/>
      <w:bookmarkEnd w:id="430"/>
      <w:bookmarkEnd w:id="431"/>
      <w:bookmarkEnd w:id="432"/>
      <w:bookmarkEnd w:id="433"/>
    </w:p>
    <w:p w:rsidR="00B21435" w:rsidRDefault="00A62EAD">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1）企业应根据采购物料对整个产品的影响程度将物料进行分类，通常分为A、B、C三类，包括：</w:t>
      </w:r>
    </w:p>
    <w:p w:rsidR="00B21435" w:rsidRDefault="00F21DBE">
      <w:pPr>
        <w:spacing w:line="560" w:lineRule="exact"/>
        <w:ind w:firstLineChars="200" w:firstLine="640"/>
        <w:rPr>
          <w:rFonts w:ascii="仿宋_GB2312" w:eastAsia="仿宋_GB2312" w:hAnsi="Arial" w:cs="Arial"/>
          <w:color w:val="000000"/>
          <w:sz w:val="32"/>
          <w:szCs w:val="28"/>
          <w:highlight w:val="yellow"/>
        </w:rPr>
      </w:pPr>
      <w:r>
        <w:rPr>
          <w:rFonts w:ascii="仿宋_GB2312" w:eastAsia="仿宋_GB2312" w:hAnsi="Arial" w:cs="Arial" w:hint="eastAsia"/>
          <w:color w:val="000000"/>
          <w:sz w:val="32"/>
          <w:szCs w:val="28"/>
        </w:rPr>
        <w:t>A类物料（关键物料）：对最终产品的主要功能或构成产品关键性能指标和重要安全性指标起决定性作用的材料、器件等。例如扫描磁铁电源、图像引导系统、患者支撑装置等。</w:t>
      </w:r>
    </w:p>
    <w:p w:rsidR="00B21435" w:rsidRDefault="00F21DBE">
      <w:pPr>
        <w:spacing w:line="560" w:lineRule="exact"/>
        <w:ind w:firstLineChars="200" w:firstLine="640"/>
        <w:rPr>
          <w:rFonts w:ascii="仿宋_GB2312" w:eastAsia="仿宋_GB2312" w:hAnsi="Arial" w:cs="Arial"/>
          <w:color w:val="000000"/>
          <w:sz w:val="32"/>
          <w:szCs w:val="28"/>
          <w:highlight w:val="yellow"/>
        </w:rPr>
      </w:pPr>
      <w:r>
        <w:rPr>
          <w:rFonts w:ascii="仿宋_GB2312" w:eastAsia="仿宋_GB2312" w:hAnsi="Arial" w:cs="Arial" w:hint="eastAsia"/>
          <w:color w:val="000000"/>
          <w:sz w:val="32"/>
          <w:szCs w:val="28"/>
        </w:rPr>
        <w:t>B类物料（重要物料）：对实现产品功能、性能和安全指标起重要作用的材料、器件等。例如扫描磁铁、多叶光栅、主加速器二极磁铁及电源等。</w:t>
      </w:r>
    </w:p>
    <w:p w:rsidR="00B21435" w:rsidRDefault="00F21DBE">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C类物料（一般物料）：对产品的功能、性能和安全性指标有轻微影响，或生产过程所用的辅助性物料，主要指除A、B类之外的采购物料或服务。</w:t>
      </w:r>
    </w:p>
    <w:p w:rsidR="00B21435" w:rsidRDefault="00A62EAD">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2）物料具体分类应在物料明细表或物料清单（BOM）中明确，至少包含产品名称、规格型号、技术指标或质量要求、分类等级等内容。应根据产品分类情况，对供方提出相应的控制要求。</w:t>
      </w:r>
    </w:p>
    <w:p w:rsidR="00B21435" w:rsidRDefault="00A62EAD">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3）企业采购的原材料应满足设计输出的要求，采购部件属于医疗器械的，应保存有效的医疗器械产品注册证，应遵守相应的采购合同规定、合同附件技术要求、质量协议等，采购产品的要求应不低于国家/行业标准规定的最低要求。</w:t>
      </w:r>
    </w:p>
    <w:p w:rsidR="00B21435" w:rsidRDefault="00F21DBE">
      <w:pPr>
        <w:pStyle w:val="4"/>
        <w:keepNext w:val="0"/>
        <w:keepLines w:val="0"/>
        <w:ind w:firstLine="640"/>
      </w:pPr>
      <w:bookmarkStart w:id="434" w:name="_Toc31770"/>
      <w:bookmarkStart w:id="435" w:name="_Toc3865"/>
      <w:bookmarkStart w:id="436" w:name="_Toc6831"/>
      <w:bookmarkStart w:id="437" w:name="_Toc4903"/>
      <w:bookmarkStart w:id="438" w:name="_Toc20132"/>
      <w:bookmarkStart w:id="439" w:name="_Toc30828"/>
      <w:bookmarkStart w:id="440" w:name="_Toc14082"/>
      <w:bookmarkStart w:id="441" w:name="_Toc13981"/>
      <w:bookmarkStart w:id="442" w:name="_Toc8137"/>
      <w:bookmarkStart w:id="443" w:name="_Toc30218"/>
      <w:bookmarkStart w:id="444" w:name="_Toc17934"/>
      <w:bookmarkStart w:id="445" w:name="_Toc287"/>
      <w:r>
        <w:rPr>
          <w:rFonts w:hint="eastAsia"/>
        </w:rPr>
        <w:lastRenderedPageBreak/>
        <w:t>3.</w:t>
      </w:r>
      <w:r>
        <w:rPr>
          <w:rFonts w:hint="eastAsia"/>
        </w:rPr>
        <w:t>供应商管理</w:t>
      </w:r>
      <w:bookmarkEnd w:id="434"/>
      <w:bookmarkEnd w:id="435"/>
      <w:bookmarkEnd w:id="436"/>
      <w:bookmarkEnd w:id="437"/>
      <w:bookmarkEnd w:id="438"/>
      <w:bookmarkEnd w:id="439"/>
      <w:bookmarkEnd w:id="440"/>
      <w:bookmarkEnd w:id="441"/>
      <w:bookmarkEnd w:id="442"/>
      <w:bookmarkEnd w:id="443"/>
      <w:bookmarkEnd w:id="444"/>
      <w:bookmarkEnd w:id="445"/>
    </w:p>
    <w:p w:rsidR="00B21435" w:rsidRDefault="00A62EAD">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1）企业应依据《医疗器械生产企业供应商审核指南》及物料分类，通常将供方分为A、B、C三类。企业应制定对供方进行选择、评价和再评价的准则，评价范围一般包括：质量、服务、人员能力、供货能力、企业资信等。企业还应保存供方评价的结果和评价过程的记录，对于首次选择的供方应关注其资质及其样品试用情况的评价，对于非首次选择的供方应关注生产、检验和采购部门对其产品使用情况的评价。</w:t>
      </w:r>
    </w:p>
    <w:p w:rsidR="00B21435" w:rsidRDefault="00A62EAD">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2）企业应与合格供方签订较为固定的供需合同或技术协议，以确保物料的质量和稳定性。对于涉及最终产品的安全、性能的采购产品（如患者支撑装置、图像引导系统等），应保存对供方实施控制的记录。采购文件中的表述应符合采购信息的要求，确保采购信息的可追溯。</w:t>
      </w:r>
    </w:p>
    <w:p w:rsidR="00B21435" w:rsidRDefault="00F21DBE">
      <w:pPr>
        <w:pStyle w:val="4"/>
        <w:keepNext w:val="0"/>
        <w:keepLines w:val="0"/>
        <w:ind w:firstLine="640"/>
      </w:pPr>
      <w:bookmarkStart w:id="446" w:name="_Toc16183"/>
      <w:bookmarkStart w:id="447" w:name="_Toc16902"/>
      <w:bookmarkStart w:id="448" w:name="_Toc12863"/>
      <w:bookmarkStart w:id="449" w:name="_Toc6150"/>
      <w:bookmarkStart w:id="450" w:name="_Toc29273"/>
      <w:bookmarkStart w:id="451" w:name="_Toc3334"/>
      <w:bookmarkStart w:id="452" w:name="_Toc22136"/>
      <w:bookmarkStart w:id="453" w:name="_Toc25327"/>
      <w:bookmarkStart w:id="454" w:name="_Toc19125"/>
      <w:bookmarkStart w:id="455" w:name="_Toc7285"/>
      <w:bookmarkStart w:id="456" w:name="_Toc4561"/>
      <w:bookmarkStart w:id="457" w:name="_Toc31209"/>
      <w:r>
        <w:rPr>
          <w:rFonts w:hint="eastAsia"/>
        </w:rPr>
        <w:t>4.</w:t>
      </w:r>
      <w:r>
        <w:rPr>
          <w:rFonts w:hint="eastAsia"/>
        </w:rPr>
        <w:t>采购记录</w:t>
      </w:r>
      <w:bookmarkEnd w:id="446"/>
      <w:bookmarkEnd w:id="447"/>
      <w:bookmarkEnd w:id="448"/>
      <w:bookmarkEnd w:id="449"/>
      <w:bookmarkEnd w:id="450"/>
      <w:bookmarkEnd w:id="451"/>
      <w:bookmarkEnd w:id="452"/>
      <w:bookmarkEnd w:id="453"/>
      <w:bookmarkEnd w:id="454"/>
      <w:bookmarkEnd w:id="455"/>
      <w:bookmarkEnd w:id="456"/>
      <w:bookmarkEnd w:id="457"/>
    </w:p>
    <w:p w:rsidR="00B21435" w:rsidRDefault="00A62EAD">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1）企业应保存所有采购活动的记录，如采购合同、入库单等信息，应保证关键物料的可追溯。</w:t>
      </w:r>
    </w:p>
    <w:p w:rsidR="00B21435" w:rsidRDefault="00A62EAD">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2）在采购方面：</w:t>
      </w:r>
    </w:p>
    <w:p w:rsidR="00B21435" w:rsidRDefault="00F21DBE">
      <w:pPr>
        <w:spacing w:line="560" w:lineRule="exact"/>
        <w:ind w:firstLineChars="200" w:firstLine="640"/>
        <w:rPr>
          <w:rFonts w:ascii="仿宋_GB2312" w:eastAsia="仿宋_GB2312" w:hAnsi="Arial" w:cs="Arial"/>
          <w:color w:val="000000"/>
          <w:sz w:val="32"/>
          <w:szCs w:val="28"/>
        </w:rPr>
      </w:pPr>
      <w:r>
        <w:rPr>
          <w:rFonts w:ascii="仿宋_GB2312" w:eastAsia="仿宋_GB2312" w:hAnsi="仿宋_GB2312" w:cs="仿宋_GB2312" w:hint="eastAsia"/>
          <w:color w:val="000000"/>
          <w:sz w:val="32"/>
          <w:szCs w:val="32"/>
        </w:rPr>
        <w:fldChar w:fldCharType="begin"/>
      </w:r>
      <w:r>
        <w:rPr>
          <w:rFonts w:ascii="仿宋_GB2312" w:eastAsia="仿宋_GB2312" w:hAnsi="仿宋_GB2312" w:cs="仿宋_GB2312" w:hint="eastAsia"/>
          <w:color w:val="000000"/>
          <w:sz w:val="32"/>
          <w:szCs w:val="32"/>
        </w:rPr>
        <w:instrText xml:space="preserve"> = 1 \* GB3 \* MERGEFORMAT </w:instrText>
      </w:r>
      <w:r>
        <w:rPr>
          <w:rFonts w:ascii="仿宋_GB2312" w:eastAsia="仿宋_GB2312" w:hAnsi="仿宋_GB2312" w:cs="仿宋_GB2312" w:hint="eastAsia"/>
          <w:color w:val="000000"/>
          <w:sz w:val="32"/>
          <w:szCs w:val="32"/>
        </w:rPr>
        <w:fldChar w:fldCharType="separate"/>
      </w:r>
      <w:r>
        <w:rPr>
          <w:rFonts w:ascii="仿宋_GB2312" w:eastAsia="仿宋_GB2312" w:hAnsi="仿宋_GB2312" w:cs="仿宋_GB2312" w:hint="eastAsia"/>
          <w:sz w:val="32"/>
          <w:szCs w:val="32"/>
        </w:rPr>
        <w:t>①</w:t>
      </w:r>
      <w:r>
        <w:rPr>
          <w:rFonts w:ascii="仿宋_GB2312" w:eastAsia="仿宋_GB2312" w:hAnsi="仿宋_GB2312" w:cs="仿宋_GB2312" w:hint="eastAsia"/>
          <w:color w:val="000000"/>
          <w:sz w:val="32"/>
          <w:szCs w:val="32"/>
        </w:rPr>
        <w:fldChar w:fldCharType="end"/>
      </w:r>
      <w:r>
        <w:rPr>
          <w:rFonts w:ascii="仿宋_GB2312" w:eastAsia="仿宋_GB2312" w:hAnsi="Arial" w:cs="Arial" w:hint="eastAsia"/>
          <w:color w:val="000000"/>
          <w:sz w:val="32"/>
          <w:szCs w:val="28"/>
        </w:rPr>
        <w:t>企业关键物料如扫描磁铁电源、图像引导系统、患者支撑装置等的供应商的资质、质量协议及采购合同应完整，应满足可追溯性要求，应明确物料名称、规格型号、主要技术指标、验收规范等内容。</w:t>
      </w:r>
    </w:p>
    <w:p w:rsidR="00B21435" w:rsidRDefault="00F21DBE">
      <w:pPr>
        <w:spacing w:line="560" w:lineRule="exact"/>
        <w:ind w:firstLineChars="200" w:firstLine="640"/>
        <w:rPr>
          <w:rFonts w:ascii="仿宋_GB2312" w:eastAsia="仿宋_GB2312" w:hAnsi="Arial" w:cs="Arial"/>
          <w:color w:val="000000"/>
          <w:sz w:val="32"/>
          <w:szCs w:val="28"/>
        </w:rPr>
      </w:pPr>
      <w:r>
        <w:rPr>
          <w:rFonts w:ascii="仿宋_GB2312" w:eastAsia="仿宋_GB2312" w:hAnsi="仿宋_GB2312" w:cs="仿宋_GB2312" w:hint="eastAsia"/>
          <w:color w:val="000000"/>
          <w:sz w:val="32"/>
          <w:szCs w:val="32"/>
        </w:rPr>
        <w:fldChar w:fldCharType="begin"/>
      </w:r>
      <w:r>
        <w:rPr>
          <w:rFonts w:ascii="仿宋_GB2312" w:eastAsia="仿宋_GB2312" w:hAnsi="仿宋_GB2312" w:cs="仿宋_GB2312" w:hint="eastAsia"/>
          <w:color w:val="000000"/>
          <w:sz w:val="32"/>
          <w:szCs w:val="32"/>
        </w:rPr>
        <w:instrText xml:space="preserve"> = 2 \* GB3 \* MERGEFORMAT </w:instrText>
      </w:r>
      <w:r>
        <w:rPr>
          <w:rFonts w:ascii="仿宋_GB2312" w:eastAsia="仿宋_GB2312" w:hAnsi="仿宋_GB2312" w:cs="仿宋_GB2312" w:hint="eastAsia"/>
          <w:color w:val="000000"/>
          <w:sz w:val="32"/>
          <w:szCs w:val="32"/>
        </w:rPr>
        <w:fldChar w:fldCharType="separate"/>
      </w:r>
      <w:r>
        <w:rPr>
          <w:rFonts w:ascii="仿宋_GB2312" w:eastAsia="仿宋_GB2312" w:hAnsi="仿宋_GB2312" w:cs="仿宋_GB2312" w:hint="eastAsia"/>
          <w:color w:val="000000"/>
          <w:sz w:val="32"/>
          <w:szCs w:val="32"/>
        </w:rPr>
        <w:t>②</w:t>
      </w:r>
      <w:r>
        <w:rPr>
          <w:rFonts w:ascii="仿宋_GB2312" w:eastAsia="仿宋_GB2312" w:hAnsi="仿宋_GB2312" w:cs="仿宋_GB2312" w:hint="eastAsia"/>
          <w:color w:val="000000"/>
          <w:sz w:val="32"/>
          <w:szCs w:val="32"/>
        </w:rPr>
        <w:fldChar w:fldCharType="end"/>
      </w:r>
      <w:r>
        <w:rPr>
          <w:rFonts w:ascii="仿宋_GB2312" w:eastAsia="仿宋_GB2312" w:hAnsi="Arial" w:cs="Arial" w:hint="eastAsia"/>
          <w:color w:val="000000"/>
          <w:sz w:val="32"/>
          <w:szCs w:val="28"/>
        </w:rPr>
        <w:t>企业关键物料的随机资料如说明书、注册证、认证证书、检验报告、安装记录等应满足要求。</w:t>
      </w:r>
    </w:p>
    <w:p w:rsidR="00B21435" w:rsidRDefault="00F21DBE">
      <w:pPr>
        <w:spacing w:line="560" w:lineRule="exact"/>
        <w:ind w:firstLineChars="200" w:firstLine="640"/>
        <w:rPr>
          <w:rFonts w:ascii="仿宋_GB2312" w:eastAsia="仿宋_GB2312" w:hAnsi="Arial" w:cs="Arial"/>
          <w:color w:val="000000"/>
          <w:sz w:val="32"/>
          <w:szCs w:val="28"/>
        </w:rPr>
      </w:pPr>
      <w:r>
        <w:rPr>
          <w:rFonts w:ascii="仿宋_GB2312" w:eastAsia="仿宋_GB2312" w:hAnsi="仿宋_GB2312" w:cs="仿宋_GB2312" w:hint="eastAsia"/>
          <w:color w:val="000000"/>
          <w:sz w:val="32"/>
          <w:szCs w:val="32"/>
        </w:rPr>
        <w:lastRenderedPageBreak/>
        <w:fldChar w:fldCharType="begin"/>
      </w:r>
      <w:r>
        <w:rPr>
          <w:rFonts w:ascii="仿宋_GB2312" w:eastAsia="仿宋_GB2312" w:hAnsi="仿宋_GB2312" w:cs="仿宋_GB2312" w:hint="eastAsia"/>
          <w:color w:val="000000"/>
          <w:sz w:val="32"/>
          <w:szCs w:val="32"/>
        </w:rPr>
        <w:instrText xml:space="preserve"> = 3 \* GB3 \* MERGEFORMAT </w:instrText>
      </w:r>
      <w:r>
        <w:rPr>
          <w:rFonts w:ascii="仿宋_GB2312" w:eastAsia="仿宋_GB2312" w:hAnsi="仿宋_GB2312" w:cs="仿宋_GB2312" w:hint="eastAsia"/>
          <w:color w:val="000000"/>
          <w:sz w:val="32"/>
          <w:szCs w:val="32"/>
        </w:rPr>
        <w:fldChar w:fldCharType="separate"/>
      </w:r>
      <w:r>
        <w:rPr>
          <w:rFonts w:ascii="仿宋_GB2312" w:eastAsia="仿宋_GB2312" w:hAnsi="仿宋_GB2312" w:cs="仿宋_GB2312" w:hint="eastAsia"/>
          <w:color w:val="000000"/>
          <w:sz w:val="32"/>
          <w:szCs w:val="32"/>
        </w:rPr>
        <w:t>③</w:t>
      </w:r>
      <w:r>
        <w:rPr>
          <w:rFonts w:ascii="仿宋_GB2312" w:eastAsia="仿宋_GB2312" w:hAnsi="仿宋_GB2312" w:cs="仿宋_GB2312" w:hint="eastAsia"/>
          <w:color w:val="000000"/>
          <w:sz w:val="32"/>
          <w:szCs w:val="32"/>
        </w:rPr>
        <w:fldChar w:fldCharType="end"/>
      </w:r>
      <w:r>
        <w:rPr>
          <w:rFonts w:ascii="仿宋_GB2312" w:eastAsia="仿宋_GB2312" w:hAnsi="Arial" w:cs="Arial" w:hint="eastAsia"/>
          <w:color w:val="000000"/>
          <w:sz w:val="32"/>
          <w:szCs w:val="28"/>
        </w:rPr>
        <w:t>若需供应商提供出厂检验报告的，应在采购合同或质量协议中明确且应确认检验报告中的检验内容是否满足要求；若供应商提供物料的规格型号、性能指标、核心功能等发生变更的，应予以说明且甲乙双方须进行确认，必要时，生产企业应对采购技术要求等文件进行同步变更。</w:t>
      </w:r>
    </w:p>
    <w:p w:rsidR="00B21435" w:rsidRDefault="00F21DBE">
      <w:pPr>
        <w:spacing w:line="560" w:lineRule="exact"/>
        <w:ind w:firstLineChars="200" w:firstLine="640"/>
        <w:rPr>
          <w:rFonts w:ascii="仿宋_GB2312" w:eastAsia="仿宋_GB2312" w:hAnsi="Arial" w:cs="Arial"/>
          <w:color w:val="000000"/>
          <w:sz w:val="32"/>
          <w:szCs w:val="28"/>
        </w:rPr>
      </w:pPr>
      <w:r>
        <w:rPr>
          <w:rFonts w:ascii="仿宋_GB2312" w:eastAsia="仿宋_GB2312" w:hAnsi="仿宋_GB2312" w:cs="仿宋_GB2312" w:hint="eastAsia"/>
          <w:color w:val="000000"/>
          <w:sz w:val="32"/>
          <w:szCs w:val="32"/>
        </w:rPr>
        <w:fldChar w:fldCharType="begin"/>
      </w:r>
      <w:r>
        <w:rPr>
          <w:rFonts w:ascii="仿宋_GB2312" w:eastAsia="仿宋_GB2312" w:hAnsi="仿宋_GB2312" w:cs="仿宋_GB2312" w:hint="eastAsia"/>
          <w:color w:val="000000"/>
          <w:sz w:val="32"/>
          <w:szCs w:val="32"/>
        </w:rPr>
        <w:instrText xml:space="preserve"> = 4 \* GB3 \* MERGEFORMAT </w:instrText>
      </w:r>
      <w:r>
        <w:rPr>
          <w:rFonts w:ascii="仿宋_GB2312" w:eastAsia="仿宋_GB2312" w:hAnsi="仿宋_GB2312" w:cs="仿宋_GB2312" w:hint="eastAsia"/>
          <w:color w:val="000000"/>
          <w:sz w:val="32"/>
          <w:szCs w:val="32"/>
        </w:rPr>
        <w:fldChar w:fldCharType="separate"/>
      </w:r>
      <w:r>
        <w:rPr>
          <w:rFonts w:ascii="仿宋_GB2312" w:eastAsia="仿宋_GB2312" w:hAnsi="仿宋_GB2312" w:cs="仿宋_GB2312" w:hint="eastAsia"/>
          <w:color w:val="000000"/>
          <w:sz w:val="32"/>
          <w:szCs w:val="32"/>
        </w:rPr>
        <w:t>④</w:t>
      </w:r>
      <w:r>
        <w:rPr>
          <w:rFonts w:ascii="仿宋_GB2312" w:eastAsia="仿宋_GB2312" w:hAnsi="仿宋_GB2312" w:cs="仿宋_GB2312" w:hint="eastAsia"/>
          <w:color w:val="000000"/>
          <w:sz w:val="32"/>
          <w:szCs w:val="32"/>
        </w:rPr>
        <w:fldChar w:fldCharType="end"/>
      </w:r>
      <w:r>
        <w:rPr>
          <w:rFonts w:ascii="仿宋_GB2312" w:eastAsia="仿宋_GB2312" w:hAnsi="Arial" w:cs="Arial" w:hint="eastAsia"/>
          <w:color w:val="000000"/>
          <w:sz w:val="32"/>
          <w:szCs w:val="28"/>
        </w:rPr>
        <w:t>企业关键物料的来料检验规范、检验记录应完整，应满足技术要求及可追溯性要求。</w:t>
      </w:r>
    </w:p>
    <w:p w:rsidR="00B21435" w:rsidRDefault="00F21DBE">
      <w:pPr>
        <w:spacing w:line="560" w:lineRule="exact"/>
        <w:ind w:firstLineChars="200" w:firstLine="640"/>
        <w:rPr>
          <w:rFonts w:ascii="仿宋_GB2312" w:eastAsia="仿宋_GB2312" w:hAnsi="Arial" w:cs="Arial"/>
          <w:color w:val="000000"/>
          <w:sz w:val="32"/>
          <w:szCs w:val="28"/>
        </w:rPr>
      </w:pPr>
      <w:r>
        <w:rPr>
          <w:rFonts w:ascii="仿宋_GB2312" w:eastAsia="仿宋_GB2312" w:hAnsi="仿宋_GB2312" w:cs="仿宋_GB2312" w:hint="eastAsia"/>
          <w:color w:val="000000"/>
          <w:sz w:val="32"/>
          <w:szCs w:val="32"/>
        </w:rPr>
        <w:fldChar w:fldCharType="begin"/>
      </w:r>
      <w:r>
        <w:rPr>
          <w:rFonts w:ascii="仿宋_GB2312" w:eastAsia="仿宋_GB2312" w:hAnsi="仿宋_GB2312" w:cs="仿宋_GB2312" w:hint="eastAsia"/>
          <w:color w:val="000000"/>
          <w:sz w:val="32"/>
          <w:szCs w:val="32"/>
        </w:rPr>
        <w:instrText xml:space="preserve"> = 5 \* GB3 \* MERGEFORMAT </w:instrText>
      </w:r>
      <w:r>
        <w:rPr>
          <w:rFonts w:ascii="仿宋_GB2312" w:eastAsia="仿宋_GB2312" w:hAnsi="仿宋_GB2312" w:cs="仿宋_GB2312" w:hint="eastAsia"/>
          <w:color w:val="000000"/>
          <w:sz w:val="32"/>
          <w:szCs w:val="32"/>
        </w:rPr>
        <w:fldChar w:fldCharType="separate"/>
      </w:r>
      <w:r>
        <w:rPr>
          <w:rFonts w:ascii="仿宋_GB2312" w:eastAsia="仿宋_GB2312" w:hAnsi="仿宋_GB2312" w:cs="仿宋_GB2312" w:hint="eastAsia"/>
          <w:color w:val="000000"/>
          <w:sz w:val="32"/>
          <w:szCs w:val="32"/>
        </w:rPr>
        <w:t>⑤</w:t>
      </w:r>
      <w:r>
        <w:rPr>
          <w:rFonts w:ascii="仿宋_GB2312" w:eastAsia="仿宋_GB2312" w:hAnsi="仿宋_GB2312" w:cs="仿宋_GB2312" w:hint="eastAsia"/>
          <w:color w:val="000000"/>
          <w:sz w:val="32"/>
          <w:szCs w:val="32"/>
        </w:rPr>
        <w:fldChar w:fldCharType="end"/>
      </w:r>
      <w:r>
        <w:rPr>
          <w:rFonts w:ascii="仿宋_GB2312" w:eastAsia="仿宋_GB2312" w:hAnsi="Arial" w:cs="Arial" w:hint="eastAsia"/>
          <w:color w:val="000000"/>
          <w:sz w:val="32"/>
          <w:szCs w:val="28"/>
        </w:rPr>
        <w:t>企业关键物料供应商定期评价或再评价记录应完整、充分，应按照供应商管理制度进行筛选。</w:t>
      </w:r>
    </w:p>
    <w:p w:rsidR="00B21435" w:rsidRDefault="00F21DBE">
      <w:pPr>
        <w:spacing w:line="560" w:lineRule="exact"/>
        <w:ind w:firstLineChars="200" w:firstLine="640"/>
        <w:rPr>
          <w:rFonts w:ascii="仿宋_GB2312" w:eastAsia="仿宋_GB2312" w:hAnsi="Arial" w:cs="Arial"/>
          <w:color w:val="000000"/>
          <w:sz w:val="32"/>
          <w:szCs w:val="28"/>
        </w:rPr>
      </w:pPr>
      <w:r>
        <w:rPr>
          <w:rFonts w:ascii="仿宋_GB2312" w:eastAsia="仿宋_GB2312" w:hAnsi="仿宋_GB2312" w:cs="仿宋_GB2312" w:hint="eastAsia"/>
          <w:color w:val="000000"/>
          <w:sz w:val="32"/>
          <w:szCs w:val="32"/>
        </w:rPr>
        <w:fldChar w:fldCharType="begin"/>
      </w:r>
      <w:r>
        <w:rPr>
          <w:rFonts w:ascii="仿宋_GB2312" w:eastAsia="仿宋_GB2312" w:hAnsi="仿宋_GB2312" w:cs="仿宋_GB2312" w:hint="eastAsia"/>
          <w:color w:val="000000"/>
          <w:sz w:val="32"/>
          <w:szCs w:val="32"/>
        </w:rPr>
        <w:instrText xml:space="preserve"> = 6 \* GB3 \* MERGEFORMAT </w:instrText>
      </w:r>
      <w:r>
        <w:rPr>
          <w:rFonts w:ascii="仿宋_GB2312" w:eastAsia="仿宋_GB2312" w:hAnsi="仿宋_GB2312" w:cs="仿宋_GB2312" w:hint="eastAsia"/>
          <w:color w:val="000000"/>
          <w:sz w:val="32"/>
          <w:szCs w:val="32"/>
        </w:rPr>
        <w:fldChar w:fldCharType="separate"/>
      </w:r>
      <w:r>
        <w:rPr>
          <w:rFonts w:ascii="仿宋_GB2312" w:eastAsia="仿宋_GB2312" w:hAnsi="仿宋_GB2312" w:cs="仿宋_GB2312" w:hint="eastAsia"/>
          <w:color w:val="000000"/>
          <w:sz w:val="32"/>
          <w:szCs w:val="32"/>
        </w:rPr>
        <w:t>⑥</w:t>
      </w:r>
      <w:r>
        <w:rPr>
          <w:rFonts w:ascii="仿宋_GB2312" w:eastAsia="仿宋_GB2312" w:hAnsi="仿宋_GB2312" w:cs="仿宋_GB2312" w:hint="eastAsia"/>
          <w:color w:val="000000"/>
          <w:sz w:val="32"/>
          <w:szCs w:val="32"/>
        </w:rPr>
        <w:fldChar w:fldCharType="end"/>
      </w:r>
      <w:r>
        <w:rPr>
          <w:rFonts w:ascii="仿宋_GB2312" w:eastAsia="仿宋_GB2312" w:hAnsi="Arial" w:cs="Arial" w:hint="eastAsia"/>
          <w:color w:val="000000"/>
          <w:sz w:val="32"/>
          <w:szCs w:val="28"/>
        </w:rPr>
        <w:t>当采购的关键物料不合格时，企业应按照不合格品控制要求进行评审、处置，若发生严重不合格时，应进行退换货等处理。</w:t>
      </w:r>
    </w:p>
    <w:p w:rsidR="00B21435" w:rsidRDefault="00F21DBE">
      <w:pPr>
        <w:pStyle w:val="4"/>
        <w:keepNext w:val="0"/>
        <w:keepLines w:val="0"/>
        <w:ind w:firstLine="640"/>
      </w:pPr>
      <w:bookmarkStart w:id="458" w:name="_Toc3245"/>
      <w:bookmarkStart w:id="459" w:name="_Toc26430"/>
      <w:bookmarkStart w:id="460" w:name="_Toc6317"/>
      <w:bookmarkStart w:id="461" w:name="_Toc25631"/>
      <w:bookmarkStart w:id="462" w:name="_Toc25487"/>
      <w:bookmarkStart w:id="463" w:name="_Toc15216"/>
      <w:bookmarkStart w:id="464" w:name="_Toc25195"/>
      <w:bookmarkStart w:id="465" w:name="_Toc25686"/>
      <w:bookmarkStart w:id="466" w:name="_Toc200"/>
      <w:bookmarkStart w:id="467" w:name="_Toc475"/>
      <w:bookmarkStart w:id="468" w:name="_Toc17175"/>
      <w:bookmarkStart w:id="469" w:name="_Toc7099"/>
      <w:r>
        <w:rPr>
          <w:rFonts w:hint="eastAsia"/>
        </w:rPr>
        <w:t>5.</w:t>
      </w:r>
      <w:r>
        <w:rPr>
          <w:rFonts w:hint="eastAsia"/>
        </w:rPr>
        <w:t>采购物料验证</w:t>
      </w:r>
      <w:bookmarkEnd w:id="458"/>
      <w:bookmarkEnd w:id="459"/>
      <w:bookmarkEnd w:id="460"/>
      <w:bookmarkEnd w:id="461"/>
      <w:bookmarkEnd w:id="462"/>
      <w:bookmarkEnd w:id="463"/>
      <w:bookmarkEnd w:id="464"/>
      <w:bookmarkEnd w:id="465"/>
      <w:bookmarkEnd w:id="466"/>
      <w:bookmarkEnd w:id="467"/>
      <w:bookmarkEnd w:id="468"/>
      <w:bookmarkEnd w:id="469"/>
    </w:p>
    <w:p w:rsidR="00B21435" w:rsidRDefault="00F21DBE">
      <w:pPr>
        <w:spacing w:line="560" w:lineRule="exact"/>
        <w:ind w:firstLineChars="200" w:firstLine="640"/>
        <w:rPr>
          <w:rFonts w:ascii="Times New Roman" w:eastAsia="仿宋_GB2312" w:hAnsi="Times New Roman" w:cstheme="majorBidi"/>
          <w:sz w:val="32"/>
          <w:szCs w:val="28"/>
        </w:rPr>
      </w:pPr>
      <w:r>
        <w:rPr>
          <w:rFonts w:ascii="仿宋_GB2312" w:eastAsia="仿宋_GB2312" w:hAnsi="Arial" w:cs="Arial" w:hint="eastAsia"/>
          <w:color w:val="000000"/>
          <w:sz w:val="32"/>
          <w:szCs w:val="28"/>
        </w:rPr>
        <w:t>企业应按规定的采购控制程序和供应商审核指南等要求实施采购验证。应具有采购产品的进货检验规范，明确检验项目、检验方法（包括检验设备）、抽样方法、判定准则等。</w:t>
      </w:r>
      <w:bookmarkStart w:id="470" w:name="_Toc10369"/>
      <w:bookmarkStart w:id="471" w:name="_Toc26645"/>
      <w:bookmarkStart w:id="472" w:name="_Toc31654"/>
      <w:bookmarkStart w:id="473" w:name="_Toc31494"/>
      <w:bookmarkStart w:id="474" w:name="_Toc7054"/>
      <w:bookmarkStart w:id="475" w:name="_Toc2244"/>
      <w:bookmarkStart w:id="476" w:name="_Toc9958"/>
      <w:bookmarkStart w:id="477" w:name="_Toc25356"/>
      <w:bookmarkStart w:id="478" w:name="_Toc22408"/>
      <w:bookmarkStart w:id="479" w:name="_Toc7795"/>
      <w:bookmarkStart w:id="480" w:name="_Toc5269"/>
      <w:bookmarkStart w:id="481" w:name="_Toc23607"/>
      <w:bookmarkStart w:id="482" w:name="_Toc28548"/>
    </w:p>
    <w:p w:rsidR="00B21435" w:rsidRDefault="00F21DBE">
      <w:pPr>
        <w:spacing w:line="560" w:lineRule="exact"/>
        <w:ind w:firstLineChars="200" w:firstLine="640"/>
        <w:outlineLvl w:val="2"/>
        <w:rPr>
          <w:rFonts w:ascii="楷体" w:eastAsia="楷体" w:hAnsi="楷体" w:cs="楷体"/>
          <w:sz w:val="32"/>
          <w:szCs w:val="32"/>
        </w:rPr>
      </w:pPr>
      <w:r>
        <w:rPr>
          <w:rFonts w:ascii="楷体" w:eastAsia="楷体" w:hAnsi="楷体" w:cs="楷体" w:hint="eastAsia"/>
          <w:sz w:val="32"/>
          <w:szCs w:val="32"/>
        </w:rPr>
        <w:t>（七）生产管理</w:t>
      </w:r>
      <w:bookmarkEnd w:id="470"/>
      <w:bookmarkEnd w:id="471"/>
      <w:bookmarkEnd w:id="472"/>
      <w:bookmarkEnd w:id="473"/>
      <w:bookmarkEnd w:id="474"/>
      <w:bookmarkEnd w:id="475"/>
      <w:bookmarkEnd w:id="476"/>
      <w:bookmarkEnd w:id="477"/>
      <w:bookmarkEnd w:id="478"/>
      <w:bookmarkEnd w:id="479"/>
      <w:bookmarkEnd w:id="480"/>
      <w:bookmarkEnd w:id="481"/>
      <w:bookmarkEnd w:id="482"/>
    </w:p>
    <w:p w:rsidR="00B21435" w:rsidRDefault="00F21DBE">
      <w:pPr>
        <w:spacing w:line="560" w:lineRule="exact"/>
        <w:ind w:firstLineChars="200" w:firstLine="640"/>
        <w:rPr>
          <w:rFonts w:ascii="仿宋_GB2312" w:eastAsia="仿宋_GB2312" w:hAnsi="仿宋_GB2312" w:cs="仿宋_GB2312"/>
          <w:sz w:val="32"/>
          <w:szCs w:val="32"/>
        </w:rPr>
      </w:pPr>
      <w:bookmarkStart w:id="483" w:name="_Toc17984"/>
      <w:bookmarkStart w:id="484" w:name="_Toc17850"/>
      <w:bookmarkStart w:id="485" w:name="_Toc3826"/>
      <w:bookmarkStart w:id="486" w:name="_Toc24108"/>
      <w:bookmarkStart w:id="487" w:name="_Toc3668"/>
      <w:bookmarkStart w:id="488" w:name="_Toc14633"/>
      <w:bookmarkStart w:id="489" w:name="_Toc31208"/>
      <w:bookmarkStart w:id="490" w:name="_Toc2271"/>
      <w:bookmarkStart w:id="491" w:name="_Toc29321"/>
      <w:bookmarkStart w:id="492" w:name="_Toc14950"/>
      <w:bookmarkStart w:id="493" w:name="_Toc2382"/>
      <w:bookmarkStart w:id="494" w:name="_Toc27728"/>
      <w:r>
        <w:rPr>
          <w:rFonts w:ascii="仿宋_GB2312" w:eastAsia="仿宋_GB2312" w:hAnsi="仿宋_GB2312" w:cs="仿宋_GB2312" w:hint="eastAsia"/>
          <w:color w:val="000000"/>
          <w:sz w:val="32"/>
          <w:szCs w:val="32"/>
        </w:rPr>
        <w:t>生产过程是产品质量形成的关键保障，企业通过对人、机、料、法、环的控制，确保生产出来的产品符合强制性标准和经注册或备案的产品技术要求。</w:t>
      </w:r>
    </w:p>
    <w:p w:rsidR="00B21435" w:rsidRDefault="00F21DBE">
      <w:pPr>
        <w:pStyle w:val="4"/>
        <w:keepNext w:val="0"/>
        <w:keepLines w:val="0"/>
        <w:ind w:firstLine="640"/>
        <w:rPr>
          <w:rFonts w:ascii="仿宋_GB2312" w:hAnsi="仿宋_GB2312" w:cs="仿宋_GB2312"/>
          <w:szCs w:val="32"/>
        </w:rPr>
      </w:pPr>
      <w:r>
        <w:rPr>
          <w:rFonts w:ascii="仿宋_GB2312" w:hAnsi="仿宋_GB2312" w:cs="仿宋_GB2312" w:hint="eastAsia"/>
          <w:szCs w:val="32"/>
        </w:rPr>
        <w:t>1.生产工艺识别</w:t>
      </w:r>
      <w:bookmarkEnd w:id="483"/>
      <w:bookmarkEnd w:id="484"/>
      <w:bookmarkEnd w:id="485"/>
      <w:bookmarkEnd w:id="486"/>
      <w:bookmarkEnd w:id="487"/>
      <w:bookmarkEnd w:id="488"/>
      <w:bookmarkEnd w:id="489"/>
      <w:bookmarkEnd w:id="490"/>
      <w:bookmarkEnd w:id="491"/>
      <w:bookmarkEnd w:id="492"/>
      <w:bookmarkEnd w:id="493"/>
      <w:bookmarkEnd w:id="494"/>
    </w:p>
    <w:p w:rsidR="00B21435" w:rsidRDefault="00F21DBE">
      <w:pPr>
        <w:spacing w:line="560" w:lineRule="exact"/>
        <w:ind w:firstLineChars="200" w:firstLine="640"/>
        <w:rPr>
          <w:rFonts w:ascii="仿宋_GB2312" w:eastAsia="仿宋_GB2312" w:hAnsi="仿宋_GB2312" w:cs="仿宋_GB2312"/>
          <w:color w:val="000000"/>
          <w:sz w:val="32"/>
          <w:szCs w:val="32"/>
        </w:rPr>
      </w:pPr>
      <w:bookmarkStart w:id="495" w:name="_Toc22071"/>
      <w:bookmarkStart w:id="496" w:name="_Toc11382"/>
      <w:bookmarkStart w:id="497" w:name="_Toc29779"/>
      <w:bookmarkStart w:id="498" w:name="_Toc12714"/>
      <w:bookmarkStart w:id="499" w:name="_Toc25250"/>
      <w:bookmarkStart w:id="500" w:name="_Toc7778"/>
      <w:bookmarkStart w:id="501" w:name="_Toc18594"/>
      <w:bookmarkStart w:id="502" w:name="_Toc14492"/>
      <w:bookmarkStart w:id="503" w:name="_Toc7269"/>
      <w:bookmarkStart w:id="504" w:name="_Toc9095"/>
      <w:bookmarkStart w:id="505" w:name="_Toc14032"/>
      <w:bookmarkStart w:id="506" w:name="_Toc6679"/>
      <w:r>
        <w:rPr>
          <w:rFonts w:ascii="仿宋_GB2312" w:eastAsia="仿宋_GB2312" w:hAnsi="仿宋_GB2312" w:cs="仿宋_GB2312" w:hint="eastAsia"/>
          <w:color w:val="000000"/>
          <w:sz w:val="32"/>
          <w:szCs w:val="32"/>
        </w:rPr>
        <w:t>企业应对各生产工序过程进行分析评估，识别并评价产品实现过程的质量因素及对产品质量有重大影响的过程，确</w:t>
      </w:r>
      <w:r>
        <w:rPr>
          <w:rFonts w:ascii="仿宋_GB2312" w:eastAsia="仿宋_GB2312" w:hAnsi="仿宋_GB2312" w:cs="仿宋_GB2312" w:hint="eastAsia"/>
          <w:color w:val="000000"/>
          <w:sz w:val="32"/>
          <w:szCs w:val="32"/>
        </w:rPr>
        <w:lastRenderedPageBreak/>
        <w:t>定关键工序和特殊过程。并在工艺流程或工艺规程中加以明确,以便在生产过程中给予重点控制。</w:t>
      </w:r>
    </w:p>
    <w:p w:rsidR="00B21435" w:rsidRDefault="00F21DBE">
      <w:pPr>
        <w:pStyle w:val="4"/>
        <w:keepNext w:val="0"/>
        <w:keepLines w:val="0"/>
        <w:ind w:firstLine="640"/>
        <w:rPr>
          <w:rFonts w:ascii="仿宋_GB2312" w:hAnsi="仿宋_GB2312" w:cs="仿宋_GB2312"/>
          <w:szCs w:val="32"/>
        </w:rPr>
      </w:pPr>
      <w:r>
        <w:rPr>
          <w:rFonts w:ascii="仿宋_GB2312" w:hAnsi="仿宋_GB2312" w:cs="仿宋_GB2312" w:hint="eastAsia"/>
          <w:szCs w:val="32"/>
        </w:rPr>
        <w:t>2.特殊过程的确认和关键工序的验证</w:t>
      </w:r>
    </w:p>
    <w:p w:rsidR="00B21435" w:rsidRDefault="00F21DBE">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企业应对关键工序和特殊过程进行验证/确认，</w:t>
      </w:r>
      <w:r>
        <w:rPr>
          <w:rFonts w:ascii="仿宋_GB2312" w:eastAsia="仿宋_GB2312" w:hAnsi="仿宋_GB2312" w:cs="仿宋_GB2312" w:hint="eastAsia"/>
          <w:color w:val="000000"/>
          <w:sz w:val="32"/>
          <w:szCs w:val="32"/>
        </w:rPr>
        <w:t>明确主要工艺参数、验证/确认方案、接受标准、验证/确认结果等内容，并保留验证/确认记录。</w:t>
      </w:r>
    </w:p>
    <w:p w:rsidR="00B21435" w:rsidRDefault="00F21DBE">
      <w:pPr>
        <w:spacing w:line="560" w:lineRule="exact"/>
        <w:ind w:firstLineChars="200" w:firstLine="640"/>
        <w:outlineLvl w:val="3"/>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3.特殊过程、关键工序的控制</w:t>
      </w:r>
    </w:p>
    <w:p w:rsidR="00B21435" w:rsidRDefault="00A62EAD">
      <w:pPr>
        <w:spacing w:line="56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w:t>
      </w:r>
      <w:r w:rsidR="00F21DBE">
        <w:rPr>
          <w:rFonts w:ascii="仿宋_GB2312" w:eastAsia="仿宋_GB2312" w:hAnsi="仿宋_GB2312" w:cs="仿宋_GB2312" w:hint="eastAsia"/>
          <w:color w:val="000000"/>
          <w:sz w:val="32"/>
          <w:szCs w:val="32"/>
        </w:rPr>
        <w:t>1）特殊过程和关键工序岗位人员均应进行专业知识培训、教育，并经考核合格，确保人员的能力满足过程控制要求。</w:t>
      </w:r>
    </w:p>
    <w:p w:rsidR="00B21435" w:rsidRDefault="00A62EAD">
      <w:pPr>
        <w:spacing w:line="56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w:t>
      </w:r>
      <w:r w:rsidR="00F21DBE">
        <w:rPr>
          <w:rFonts w:ascii="仿宋_GB2312" w:eastAsia="仿宋_GB2312" w:hAnsi="仿宋_GB2312" w:cs="仿宋_GB2312" w:hint="eastAsia"/>
          <w:color w:val="000000"/>
          <w:sz w:val="32"/>
          <w:szCs w:val="32"/>
        </w:rPr>
        <w:t>2）企业应对使用的生产设备的加工精度、可靠性等进行确认，并做好设备的维护保养，确保生产设备的加工能力满足过程控制要求。</w:t>
      </w:r>
    </w:p>
    <w:p w:rsidR="00B21435" w:rsidRDefault="00A62EAD">
      <w:pPr>
        <w:spacing w:line="56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w:t>
      </w:r>
      <w:r w:rsidR="00F21DBE">
        <w:rPr>
          <w:rFonts w:ascii="仿宋_GB2312" w:eastAsia="仿宋_GB2312" w:hAnsi="仿宋_GB2312" w:cs="仿宋_GB2312" w:hint="eastAsia"/>
          <w:color w:val="000000"/>
          <w:sz w:val="32"/>
          <w:szCs w:val="32"/>
        </w:rPr>
        <w:t>3）企业应对使用的监视和测量设备的精度、量程和准确度等进行确认，包括对监视和测量设备的检定/校准；应定期对监视和测量设备进行维护保养，确保监视和测量设备处于正常运行状态，满足过程控制要求。</w:t>
      </w:r>
    </w:p>
    <w:p w:rsidR="00B21435" w:rsidRDefault="00A62EAD">
      <w:pPr>
        <w:spacing w:line="56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sz w:val="32"/>
          <w:szCs w:val="32"/>
        </w:rPr>
        <w:t>（</w:t>
      </w:r>
      <w:r w:rsidR="00F21DBE">
        <w:rPr>
          <w:rFonts w:ascii="仿宋_GB2312" w:eastAsia="仿宋_GB2312" w:hAnsi="仿宋_GB2312" w:cs="仿宋_GB2312" w:hint="eastAsia"/>
          <w:sz w:val="32"/>
          <w:szCs w:val="32"/>
        </w:rPr>
        <w:t>4</w:t>
      </w:r>
      <w:r w:rsidR="00F21DBE">
        <w:rPr>
          <w:rFonts w:ascii="仿宋_GB2312" w:eastAsia="仿宋_GB2312" w:hAnsi="仿宋_GB2312" w:cs="仿宋_GB2312" w:hint="eastAsia"/>
          <w:color w:val="000000"/>
          <w:sz w:val="32"/>
          <w:szCs w:val="32"/>
        </w:rPr>
        <w:t>）</w:t>
      </w:r>
      <w:proofErr w:type="gramStart"/>
      <w:r w:rsidR="00F21DBE">
        <w:rPr>
          <w:rFonts w:ascii="仿宋_GB2312" w:eastAsia="仿宋_GB2312" w:hAnsi="仿宋_GB2312" w:cs="仿宋_GB2312" w:hint="eastAsia"/>
          <w:color w:val="000000"/>
          <w:sz w:val="32"/>
          <w:szCs w:val="32"/>
        </w:rPr>
        <w:t>当关键</w:t>
      </w:r>
      <w:proofErr w:type="gramEnd"/>
      <w:r w:rsidR="00F21DBE">
        <w:rPr>
          <w:rFonts w:ascii="仿宋_GB2312" w:eastAsia="仿宋_GB2312" w:hAnsi="仿宋_GB2312" w:cs="仿宋_GB2312" w:hint="eastAsia"/>
          <w:color w:val="000000"/>
          <w:sz w:val="32"/>
          <w:szCs w:val="32"/>
        </w:rPr>
        <w:t>工序及特殊过程所使用的主要设备、关键材料更换，工艺发生变更等对过程特性和产品质量产生重大影响时，应对关键工序和特殊过程进行重新评估或再确认。</w:t>
      </w:r>
    </w:p>
    <w:p w:rsidR="00B21435" w:rsidRDefault="00F21DBE">
      <w:pPr>
        <w:pStyle w:val="4"/>
        <w:keepNext w:val="0"/>
        <w:keepLines w:val="0"/>
        <w:ind w:firstLine="640"/>
      </w:pPr>
      <w:r>
        <w:rPr>
          <w:rFonts w:hint="eastAsia"/>
        </w:rPr>
        <w:t>4.</w:t>
      </w:r>
      <w:r>
        <w:rPr>
          <w:rFonts w:hint="eastAsia"/>
        </w:rPr>
        <w:t>生产记录</w:t>
      </w:r>
      <w:bookmarkEnd w:id="495"/>
      <w:bookmarkEnd w:id="496"/>
      <w:bookmarkEnd w:id="497"/>
      <w:bookmarkEnd w:id="498"/>
      <w:bookmarkEnd w:id="499"/>
      <w:bookmarkEnd w:id="500"/>
      <w:bookmarkEnd w:id="501"/>
      <w:bookmarkEnd w:id="502"/>
      <w:bookmarkEnd w:id="503"/>
      <w:bookmarkEnd w:id="504"/>
      <w:bookmarkEnd w:id="505"/>
      <w:bookmarkEnd w:id="506"/>
    </w:p>
    <w:p w:rsidR="00B21435" w:rsidRDefault="00A62EAD">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1）碳离子/质子治疗系统一般每生产批为1台，企业应建立从部件/原料投入到产品放行过程的批生产记录，归档并长期保存。</w:t>
      </w:r>
    </w:p>
    <w:p w:rsidR="00B21435" w:rsidRDefault="00A62EAD">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lastRenderedPageBreak/>
        <w:t>（</w:t>
      </w:r>
      <w:r w:rsidR="00F21DBE">
        <w:rPr>
          <w:rFonts w:ascii="仿宋_GB2312" w:eastAsia="仿宋_GB2312" w:hAnsi="Arial" w:cs="Arial" w:hint="eastAsia"/>
          <w:color w:val="000000"/>
          <w:sz w:val="32"/>
          <w:szCs w:val="28"/>
        </w:rPr>
        <w:t>2）在生产管理方面：</w:t>
      </w:r>
    </w:p>
    <w:p w:rsidR="00B21435" w:rsidRDefault="00F21DBE">
      <w:pPr>
        <w:spacing w:line="560" w:lineRule="exact"/>
        <w:ind w:firstLineChars="200" w:firstLine="640"/>
        <w:rPr>
          <w:rFonts w:ascii="仿宋_GB2312" w:eastAsia="仿宋_GB2312" w:hAnsi="仿宋_GB2312" w:cs="仿宋_GB2312"/>
          <w:color w:val="000000"/>
          <w:sz w:val="32"/>
          <w:szCs w:val="28"/>
        </w:rPr>
      </w:pPr>
      <w:r>
        <w:rPr>
          <w:rFonts w:ascii="仿宋_GB2312" w:eastAsia="仿宋_GB2312" w:hAnsi="仿宋_GB2312" w:cs="仿宋_GB2312" w:hint="eastAsia"/>
          <w:color w:val="000000"/>
          <w:sz w:val="32"/>
          <w:szCs w:val="28"/>
        </w:rPr>
        <w:fldChar w:fldCharType="begin"/>
      </w:r>
      <w:r>
        <w:rPr>
          <w:rFonts w:ascii="仿宋_GB2312" w:eastAsia="仿宋_GB2312" w:hAnsi="仿宋_GB2312" w:cs="仿宋_GB2312" w:hint="eastAsia"/>
          <w:color w:val="000000"/>
          <w:sz w:val="32"/>
          <w:szCs w:val="28"/>
        </w:rPr>
        <w:instrText xml:space="preserve"> = 1 \* GB3 \* MERGEFORMAT </w:instrText>
      </w:r>
      <w:r>
        <w:rPr>
          <w:rFonts w:ascii="仿宋_GB2312" w:eastAsia="仿宋_GB2312" w:hAnsi="仿宋_GB2312" w:cs="仿宋_GB2312" w:hint="eastAsia"/>
          <w:color w:val="000000"/>
          <w:sz w:val="32"/>
          <w:szCs w:val="28"/>
        </w:rPr>
        <w:fldChar w:fldCharType="separate"/>
      </w:r>
      <w:r>
        <w:rPr>
          <w:rFonts w:ascii="仿宋_GB2312" w:eastAsia="仿宋_GB2312" w:hAnsi="仿宋_GB2312" w:cs="仿宋_GB2312" w:hint="eastAsia"/>
          <w:color w:val="000000"/>
          <w:sz w:val="32"/>
          <w:szCs w:val="28"/>
        </w:rPr>
        <w:t>①</w:t>
      </w:r>
      <w:r>
        <w:rPr>
          <w:rFonts w:ascii="仿宋_GB2312" w:eastAsia="仿宋_GB2312" w:hAnsi="仿宋_GB2312" w:cs="仿宋_GB2312" w:hint="eastAsia"/>
          <w:color w:val="000000"/>
          <w:sz w:val="32"/>
          <w:szCs w:val="28"/>
        </w:rPr>
        <w:fldChar w:fldCharType="end"/>
      </w:r>
      <w:r>
        <w:rPr>
          <w:rFonts w:ascii="仿宋_GB2312" w:eastAsia="仿宋_GB2312" w:hAnsi="仿宋_GB2312" w:cs="仿宋_GB2312" w:hint="eastAsia"/>
          <w:color w:val="000000"/>
          <w:sz w:val="32"/>
          <w:szCs w:val="28"/>
        </w:rPr>
        <w:t>企业应对关键工序工艺参数进行验证，并形成验证报告及作业指导文件，关键工序工艺参数应与验证结果一致。</w:t>
      </w:r>
    </w:p>
    <w:p w:rsidR="00B21435" w:rsidRDefault="00F21DBE">
      <w:pPr>
        <w:spacing w:line="560" w:lineRule="exact"/>
        <w:ind w:firstLineChars="200" w:firstLine="640"/>
        <w:rPr>
          <w:rFonts w:ascii="仿宋_GB2312" w:eastAsia="仿宋_GB2312" w:hAnsi="仿宋_GB2312" w:cs="仿宋_GB2312"/>
          <w:color w:val="000000"/>
          <w:sz w:val="32"/>
          <w:szCs w:val="28"/>
        </w:rPr>
      </w:pPr>
      <w:r>
        <w:rPr>
          <w:rFonts w:ascii="仿宋_GB2312" w:eastAsia="仿宋_GB2312" w:hAnsi="仿宋_GB2312" w:cs="仿宋_GB2312" w:hint="eastAsia"/>
          <w:color w:val="000000"/>
          <w:sz w:val="32"/>
          <w:szCs w:val="28"/>
        </w:rPr>
        <w:fldChar w:fldCharType="begin"/>
      </w:r>
      <w:r>
        <w:rPr>
          <w:rFonts w:ascii="仿宋_GB2312" w:eastAsia="仿宋_GB2312" w:hAnsi="仿宋_GB2312" w:cs="仿宋_GB2312" w:hint="eastAsia"/>
          <w:color w:val="000000"/>
          <w:sz w:val="32"/>
          <w:szCs w:val="28"/>
        </w:rPr>
        <w:instrText xml:space="preserve"> = 2 \* GB3 \* MERGEFORMAT </w:instrText>
      </w:r>
      <w:r>
        <w:rPr>
          <w:rFonts w:ascii="仿宋_GB2312" w:eastAsia="仿宋_GB2312" w:hAnsi="仿宋_GB2312" w:cs="仿宋_GB2312" w:hint="eastAsia"/>
          <w:color w:val="000000"/>
          <w:sz w:val="32"/>
          <w:szCs w:val="28"/>
        </w:rPr>
        <w:fldChar w:fldCharType="separate"/>
      </w:r>
      <w:r>
        <w:rPr>
          <w:rFonts w:ascii="仿宋_GB2312" w:eastAsia="仿宋_GB2312" w:hAnsi="仿宋_GB2312" w:cs="仿宋_GB2312" w:hint="eastAsia"/>
          <w:color w:val="000000"/>
          <w:sz w:val="32"/>
          <w:szCs w:val="28"/>
        </w:rPr>
        <w:t>②</w:t>
      </w:r>
      <w:r>
        <w:rPr>
          <w:rFonts w:ascii="仿宋_GB2312" w:eastAsia="仿宋_GB2312" w:hAnsi="仿宋_GB2312" w:cs="仿宋_GB2312" w:hint="eastAsia"/>
          <w:color w:val="000000"/>
          <w:sz w:val="32"/>
          <w:szCs w:val="28"/>
        </w:rPr>
        <w:fldChar w:fldCharType="end"/>
      </w:r>
      <w:r>
        <w:rPr>
          <w:rFonts w:ascii="仿宋_GB2312" w:eastAsia="仿宋_GB2312" w:hAnsi="仿宋_GB2312" w:cs="仿宋_GB2312" w:hint="eastAsia"/>
          <w:color w:val="000000"/>
          <w:sz w:val="32"/>
          <w:szCs w:val="28"/>
        </w:rPr>
        <w:t>企业应对特殊过程工艺参数进行确认，并形成确认报告及作业指导文件，特殊过程工艺参数应与确认结果一致。</w:t>
      </w:r>
    </w:p>
    <w:p w:rsidR="00B21435" w:rsidRDefault="00F21DBE">
      <w:pPr>
        <w:spacing w:line="560" w:lineRule="exact"/>
        <w:ind w:firstLineChars="200" w:firstLine="640"/>
        <w:rPr>
          <w:rFonts w:ascii="仿宋_GB2312" w:eastAsia="仿宋_GB2312" w:hAnsi="仿宋_GB2312" w:cs="仿宋_GB2312"/>
          <w:color w:val="FF0000"/>
          <w:sz w:val="32"/>
          <w:szCs w:val="28"/>
        </w:rPr>
      </w:pPr>
      <w:r>
        <w:rPr>
          <w:rFonts w:ascii="仿宋_GB2312" w:eastAsia="仿宋_GB2312" w:hAnsi="仿宋_GB2312" w:cs="仿宋_GB2312" w:hint="eastAsia"/>
          <w:color w:val="000000"/>
          <w:sz w:val="32"/>
          <w:szCs w:val="28"/>
        </w:rPr>
        <w:fldChar w:fldCharType="begin"/>
      </w:r>
      <w:r>
        <w:rPr>
          <w:rFonts w:ascii="仿宋_GB2312" w:eastAsia="仿宋_GB2312" w:hAnsi="仿宋_GB2312" w:cs="仿宋_GB2312" w:hint="eastAsia"/>
          <w:color w:val="000000"/>
          <w:sz w:val="32"/>
          <w:szCs w:val="28"/>
        </w:rPr>
        <w:instrText xml:space="preserve"> = 3 \* GB3 \* MERGEFORMAT </w:instrText>
      </w:r>
      <w:r>
        <w:rPr>
          <w:rFonts w:ascii="仿宋_GB2312" w:eastAsia="仿宋_GB2312" w:hAnsi="仿宋_GB2312" w:cs="仿宋_GB2312" w:hint="eastAsia"/>
          <w:color w:val="000000"/>
          <w:sz w:val="32"/>
          <w:szCs w:val="28"/>
        </w:rPr>
        <w:fldChar w:fldCharType="separate"/>
      </w:r>
      <w:r>
        <w:rPr>
          <w:rFonts w:ascii="仿宋_GB2312" w:eastAsia="仿宋_GB2312" w:hAnsi="仿宋_GB2312" w:cs="仿宋_GB2312" w:hint="eastAsia"/>
          <w:color w:val="000000"/>
          <w:sz w:val="32"/>
          <w:szCs w:val="28"/>
        </w:rPr>
        <w:t>③</w:t>
      </w:r>
      <w:r>
        <w:rPr>
          <w:rFonts w:ascii="仿宋_GB2312" w:eastAsia="仿宋_GB2312" w:hAnsi="仿宋_GB2312" w:cs="仿宋_GB2312" w:hint="eastAsia"/>
          <w:color w:val="000000"/>
          <w:sz w:val="32"/>
          <w:szCs w:val="28"/>
        </w:rPr>
        <w:fldChar w:fldCharType="end"/>
      </w:r>
      <w:r>
        <w:rPr>
          <w:rFonts w:ascii="仿宋_GB2312" w:eastAsia="仿宋_GB2312" w:hAnsi="仿宋_GB2312" w:cs="仿宋_GB2312" w:hint="eastAsia"/>
          <w:color w:val="000000"/>
          <w:sz w:val="32"/>
          <w:szCs w:val="28"/>
        </w:rPr>
        <w:t>生产记录中工艺参数应与生产作业文件、图纸等要求一致，且应满足可追溯性要求。</w:t>
      </w:r>
      <w:bookmarkStart w:id="507" w:name="_Toc15598"/>
      <w:bookmarkStart w:id="508" w:name="_Toc9987"/>
      <w:bookmarkStart w:id="509" w:name="_Toc14677"/>
      <w:bookmarkStart w:id="510" w:name="_Toc12472"/>
      <w:bookmarkStart w:id="511" w:name="_Toc15066"/>
      <w:bookmarkStart w:id="512" w:name="_Toc25457"/>
      <w:bookmarkStart w:id="513" w:name="_Toc9276"/>
      <w:bookmarkStart w:id="514" w:name="_Toc15146"/>
      <w:bookmarkStart w:id="515" w:name="_Toc21445"/>
      <w:bookmarkStart w:id="516" w:name="_Toc19497"/>
      <w:bookmarkStart w:id="517" w:name="_Toc30610"/>
      <w:bookmarkStart w:id="518" w:name="_Toc18402"/>
      <w:bookmarkStart w:id="519" w:name="_Toc7010"/>
    </w:p>
    <w:p w:rsidR="00B21435" w:rsidRDefault="00F21DBE">
      <w:pPr>
        <w:pStyle w:val="4"/>
        <w:ind w:firstLine="640"/>
      </w:pPr>
      <w:r>
        <w:rPr>
          <w:rFonts w:hint="eastAsia"/>
        </w:rPr>
        <w:t>5.</w:t>
      </w:r>
      <w:r>
        <w:rPr>
          <w:rFonts w:hint="eastAsia"/>
        </w:rPr>
        <w:t>安装、调试</w:t>
      </w:r>
    </w:p>
    <w:p w:rsidR="00B21435" w:rsidRDefault="00F21DBE">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安装、调试工作应当符合相关法律、法规、标准及质量管理体系要求。</w:t>
      </w:r>
    </w:p>
    <w:p w:rsidR="00B21435" w:rsidRDefault="00A62EAD">
      <w:pPr>
        <w:numPr>
          <w:ilvl w:val="255"/>
          <w:numId w:val="0"/>
        </w:num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1）安装：</w:t>
      </w:r>
    </w:p>
    <w:p w:rsidR="00B21435" w:rsidRDefault="00F21DBE">
      <w:pPr>
        <w:numPr>
          <w:ilvl w:val="255"/>
          <w:numId w:val="0"/>
        </w:numPr>
        <w:spacing w:line="560" w:lineRule="exact"/>
        <w:ind w:firstLineChars="200" w:firstLine="640"/>
        <w:rPr>
          <w:rFonts w:ascii="仿宋_GB2312" w:eastAsia="仿宋_GB2312" w:hAnsi="Arial" w:cs="Arial"/>
          <w:color w:val="000000"/>
          <w:sz w:val="32"/>
          <w:szCs w:val="28"/>
        </w:rPr>
      </w:pPr>
      <w:r>
        <w:rPr>
          <w:rFonts w:ascii="仿宋_GB2312" w:eastAsia="仿宋_GB2312" w:hAnsi="仿宋_GB2312" w:cs="仿宋_GB2312" w:hint="eastAsia"/>
          <w:color w:val="000000"/>
          <w:sz w:val="32"/>
          <w:szCs w:val="32"/>
        </w:rPr>
        <w:fldChar w:fldCharType="begin"/>
      </w:r>
      <w:r>
        <w:rPr>
          <w:rFonts w:ascii="仿宋_GB2312" w:eastAsia="仿宋_GB2312" w:hAnsi="仿宋_GB2312" w:cs="仿宋_GB2312" w:hint="eastAsia"/>
          <w:color w:val="000000"/>
          <w:sz w:val="32"/>
          <w:szCs w:val="32"/>
        </w:rPr>
        <w:instrText xml:space="preserve"> = 1 \* GB3 \* MERGEFORMAT </w:instrText>
      </w:r>
      <w:r>
        <w:rPr>
          <w:rFonts w:ascii="仿宋_GB2312" w:eastAsia="仿宋_GB2312" w:hAnsi="仿宋_GB2312" w:cs="仿宋_GB2312" w:hint="eastAsia"/>
          <w:color w:val="000000"/>
          <w:sz w:val="32"/>
          <w:szCs w:val="32"/>
        </w:rPr>
        <w:fldChar w:fldCharType="separate"/>
      </w:r>
      <w:r>
        <w:rPr>
          <w:rFonts w:ascii="仿宋_GB2312" w:eastAsia="仿宋_GB2312" w:hAnsi="仿宋_GB2312" w:cs="仿宋_GB2312" w:hint="eastAsia"/>
          <w:color w:val="000000"/>
          <w:sz w:val="32"/>
          <w:szCs w:val="32"/>
        </w:rPr>
        <w:t>①</w:t>
      </w:r>
      <w:r>
        <w:rPr>
          <w:rFonts w:ascii="仿宋_GB2312" w:eastAsia="仿宋_GB2312" w:hAnsi="仿宋_GB2312" w:cs="仿宋_GB2312" w:hint="eastAsia"/>
          <w:color w:val="000000"/>
          <w:sz w:val="32"/>
          <w:szCs w:val="32"/>
        </w:rPr>
        <w:fldChar w:fldCharType="end"/>
      </w:r>
      <w:r>
        <w:rPr>
          <w:rFonts w:ascii="仿宋_GB2312" w:eastAsia="仿宋_GB2312" w:hAnsi="Arial" w:cs="Arial" w:hint="eastAsia"/>
          <w:color w:val="000000"/>
          <w:sz w:val="32"/>
          <w:szCs w:val="28"/>
        </w:rPr>
        <w:t>企业应对安装和安装验收过程进行规定，并形成安装及验收作业文件。</w:t>
      </w:r>
    </w:p>
    <w:p w:rsidR="00B21435" w:rsidRDefault="00F21DBE">
      <w:pPr>
        <w:numPr>
          <w:ilvl w:val="255"/>
          <w:numId w:val="0"/>
        </w:numPr>
        <w:spacing w:line="560" w:lineRule="exact"/>
        <w:ind w:firstLineChars="200" w:firstLine="640"/>
        <w:rPr>
          <w:rFonts w:ascii="仿宋_GB2312" w:eastAsia="仿宋_GB2312" w:hAnsi="Arial" w:cs="Arial"/>
          <w:color w:val="000000"/>
          <w:sz w:val="32"/>
          <w:szCs w:val="28"/>
        </w:rPr>
      </w:pPr>
      <w:r>
        <w:rPr>
          <w:rFonts w:ascii="仿宋_GB2312" w:eastAsia="仿宋_GB2312" w:hAnsi="仿宋_GB2312" w:cs="仿宋_GB2312" w:hint="eastAsia"/>
          <w:color w:val="000000"/>
          <w:sz w:val="32"/>
          <w:szCs w:val="32"/>
        </w:rPr>
        <w:fldChar w:fldCharType="begin"/>
      </w:r>
      <w:r>
        <w:rPr>
          <w:rFonts w:ascii="仿宋_GB2312" w:eastAsia="仿宋_GB2312" w:hAnsi="仿宋_GB2312" w:cs="仿宋_GB2312" w:hint="eastAsia"/>
          <w:color w:val="000000"/>
          <w:sz w:val="32"/>
          <w:szCs w:val="32"/>
        </w:rPr>
        <w:instrText xml:space="preserve"> = 2 \* GB3 \* MERGEFORMAT </w:instrText>
      </w:r>
      <w:r>
        <w:rPr>
          <w:rFonts w:ascii="仿宋_GB2312" w:eastAsia="仿宋_GB2312" w:hAnsi="仿宋_GB2312" w:cs="仿宋_GB2312" w:hint="eastAsia"/>
          <w:color w:val="000000"/>
          <w:sz w:val="32"/>
          <w:szCs w:val="32"/>
        </w:rPr>
        <w:fldChar w:fldCharType="separate"/>
      </w:r>
      <w:r>
        <w:rPr>
          <w:rFonts w:ascii="仿宋_GB2312" w:eastAsia="仿宋_GB2312" w:hAnsi="仿宋_GB2312" w:cs="仿宋_GB2312" w:hint="eastAsia"/>
          <w:sz w:val="32"/>
          <w:szCs w:val="32"/>
        </w:rPr>
        <w:t>②</w:t>
      </w:r>
      <w:r>
        <w:rPr>
          <w:rFonts w:ascii="仿宋_GB2312" w:eastAsia="仿宋_GB2312" w:hAnsi="仿宋_GB2312" w:cs="仿宋_GB2312" w:hint="eastAsia"/>
          <w:color w:val="000000"/>
          <w:sz w:val="32"/>
          <w:szCs w:val="32"/>
        </w:rPr>
        <w:fldChar w:fldCharType="end"/>
      </w:r>
      <w:r>
        <w:rPr>
          <w:rFonts w:ascii="仿宋_GB2312" w:eastAsia="仿宋_GB2312" w:hAnsi="Arial" w:cs="Arial" w:hint="eastAsia"/>
          <w:color w:val="000000"/>
          <w:sz w:val="32"/>
          <w:szCs w:val="28"/>
        </w:rPr>
        <w:t>电气设备及线路应合理、整齐、无老化、无电气故障，接地应正常且接触良好。</w:t>
      </w:r>
    </w:p>
    <w:p w:rsidR="00B21435" w:rsidRDefault="00F21DBE">
      <w:pPr>
        <w:numPr>
          <w:ilvl w:val="255"/>
          <w:numId w:val="0"/>
        </w:numPr>
        <w:spacing w:line="560" w:lineRule="exact"/>
        <w:ind w:firstLineChars="200" w:firstLine="640"/>
        <w:rPr>
          <w:rFonts w:ascii="仿宋_GB2312" w:eastAsia="仿宋_GB2312" w:hAnsi="Arial" w:cs="Arial"/>
          <w:color w:val="000000"/>
          <w:sz w:val="32"/>
          <w:szCs w:val="28"/>
        </w:rPr>
      </w:pP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 3 \* GB3 \* MERGEFORMAT </w:instrText>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③</w:t>
      </w:r>
      <w:r>
        <w:rPr>
          <w:rFonts w:ascii="仿宋_GB2312" w:eastAsia="仿宋_GB2312" w:hAnsi="仿宋_GB2312" w:cs="仿宋_GB2312" w:hint="eastAsia"/>
          <w:sz w:val="32"/>
          <w:szCs w:val="32"/>
        </w:rPr>
        <w:fldChar w:fldCharType="end"/>
      </w:r>
      <w:r>
        <w:rPr>
          <w:rFonts w:ascii="仿宋_GB2312" w:eastAsia="仿宋_GB2312" w:hAnsi="Arial" w:cs="Arial" w:hint="eastAsia"/>
          <w:color w:val="000000"/>
          <w:sz w:val="32"/>
          <w:szCs w:val="28"/>
        </w:rPr>
        <w:t>企业应具有完善的辐射剂量监测和防护措施。</w:t>
      </w:r>
    </w:p>
    <w:p w:rsidR="00B21435" w:rsidRDefault="00F21DBE">
      <w:pPr>
        <w:numPr>
          <w:ilvl w:val="255"/>
          <w:numId w:val="0"/>
        </w:numPr>
        <w:spacing w:line="560" w:lineRule="exact"/>
        <w:ind w:firstLineChars="200" w:firstLine="640"/>
        <w:rPr>
          <w:rFonts w:ascii="仿宋_GB2312" w:eastAsia="仿宋_GB2312" w:hAnsi="Arial" w:cs="Arial"/>
          <w:color w:val="000000"/>
          <w:sz w:val="32"/>
          <w:szCs w:val="28"/>
        </w:rPr>
      </w:pPr>
      <w:r>
        <w:rPr>
          <w:rFonts w:ascii="仿宋_GB2312" w:eastAsia="仿宋_GB2312" w:hAnsi="仿宋_GB2312" w:cs="仿宋_GB2312" w:hint="eastAsia"/>
          <w:color w:val="000000"/>
          <w:sz w:val="32"/>
          <w:szCs w:val="32"/>
        </w:rPr>
        <w:fldChar w:fldCharType="begin"/>
      </w:r>
      <w:r>
        <w:rPr>
          <w:rFonts w:ascii="仿宋_GB2312" w:eastAsia="仿宋_GB2312" w:hAnsi="仿宋_GB2312" w:cs="仿宋_GB2312" w:hint="eastAsia"/>
          <w:color w:val="000000"/>
          <w:sz w:val="32"/>
          <w:szCs w:val="32"/>
        </w:rPr>
        <w:instrText xml:space="preserve"> = 4 \* GB3 \* MERGEFORMAT </w:instrText>
      </w:r>
      <w:r>
        <w:rPr>
          <w:rFonts w:ascii="仿宋_GB2312" w:eastAsia="仿宋_GB2312" w:hAnsi="仿宋_GB2312" w:cs="仿宋_GB2312" w:hint="eastAsia"/>
          <w:color w:val="000000"/>
          <w:sz w:val="32"/>
          <w:szCs w:val="32"/>
        </w:rPr>
        <w:fldChar w:fldCharType="separate"/>
      </w:r>
      <w:r>
        <w:rPr>
          <w:rFonts w:ascii="仿宋_GB2312" w:eastAsia="仿宋_GB2312" w:hAnsi="仿宋_GB2312" w:cs="仿宋_GB2312" w:hint="eastAsia"/>
          <w:color w:val="000000"/>
          <w:sz w:val="32"/>
          <w:szCs w:val="32"/>
        </w:rPr>
        <w:t>④</w:t>
      </w:r>
      <w:r>
        <w:rPr>
          <w:rFonts w:ascii="仿宋_GB2312" w:eastAsia="仿宋_GB2312" w:hAnsi="仿宋_GB2312" w:cs="仿宋_GB2312" w:hint="eastAsia"/>
          <w:color w:val="000000"/>
          <w:sz w:val="32"/>
          <w:szCs w:val="32"/>
        </w:rPr>
        <w:fldChar w:fldCharType="end"/>
      </w:r>
      <w:r>
        <w:rPr>
          <w:rFonts w:ascii="仿宋_GB2312" w:eastAsia="仿宋_GB2312" w:hAnsi="Arial" w:cs="Arial" w:hint="eastAsia"/>
          <w:color w:val="000000"/>
          <w:sz w:val="32"/>
          <w:szCs w:val="28"/>
        </w:rPr>
        <w:t>设备的操作使用记录应完整、真实、可追溯，对于异常记录要进行进一步的调查与处理。</w:t>
      </w:r>
    </w:p>
    <w:p w:rsidR="00B21435" w:rsidRDefault="00F21DBE">
      <w:pPr>
        <w:numPr>
          <w:ilvl w:val="255"/>
          <w:numId w:val="0"/>
        </w:numPr>
        <w:spacing w:line="560" w:lineRule="exact"/>
        <w:ind w:firstLineChars="200" w:firstLine="640"/>
        <w:rPr>
          <w:rFonts w:ascii="仿宋_GB2312" w:eastAsia="仿宋_GB2312" w:hAnsi="Arial" w:cs="Arial"/>
          <w:color w:val="000000"/>
          <w:sz w:val="32"/>
          <w:szCs w:val="28"/>
        </w:rPr>
      </w:pPr>
      <w:r>
        <w:rPr>
          <w:rFonts w:ascii="仿宋_GB2312" w:eastAsia="仿宋_GB2312" w:hAnsi="仿宋_GB2312" w:cs="仿宋_GB2312" w:hint="eastAsia"/>
          <w:color w:val="000000"/>
          <w:sz w:val="32"/>
          <w:szCs w:val="32"/>
        </w:rPr>
        <w:fldChar w:fldCharType="begin"/>
      </w:r>
      <w:r>
        <w:rPr>
          <w:rFonts w:ascii="仿宋_GB2312" w:eastAsia="仿宋_GB2312" w:hAnsi="仿宋_GB2312" w:cs="仿宋_GB2312" w:hint="eastAsia"/>
          <w:color w:val="000000"/>
          <w:sz w:val="32"/>
          <w:szCs w:val="32"/>
        </w:rPr>
        <w:instrText xml:space="preserve"> = 5 \* GB3 \* MERGEFORMAT </w:instrText>
      </w:r>
      <w:r>
        <w:rPr>
          <w:rFonts w:ascii="仿宋_GB2312" w:eastAsia="仿宋_GB2312" w:hAnsi="仿宋_GB2312" w:cs="仿宋_GB2312" w:hint="eastAsia"/>
          <w:color w:val="000000"/>
          <w:sz w:val="32"/>
          <w:szCs w:val="32"/>
        </w:rPr>
        <w:fldChar w:fldCharType="separate"/>
      </w:r>
      <w:r>
        <w:rPr>
          <w:rFonts w:ascii="仿宋_GB2312" w:eastAsia="仿宋_GB2312" w:hAnsi="仿宋_GB2312" w:cs="仿宋_GB2312" w:hint="eastAsia"/>
          <w:color w:val="000000"/>
          <w:sz w:val="32"/>
          <w:szCs w:val="32"/>
        </w:rPr>
        <w:t>⑤</w:t>
      </w:r>
      <w:r>
        <w:rPr>
          <w:rFonts w:ascii="仿宋_GB2312" w:eastAsia="仿宋_GB2312" w:hAnsi="仿宋_GB2312" w:cs="仿宋_GB2312" w:hint="eastAsia"/>
          <w:color w:val="000000"/>
          <w:sz w:val="32"/>
          <w:szCs w:val="32"/>
        </w:rPr>
        <w:fldChar w:fldCharType="end"/>
      </w:r>
      <w:r>
        <w:rPr>
          <w:rFonts w:ascii="仿宋_GB2312" w:eastAsia="仿宋_GB2312" w:hAnsi="Arial" w:cs="Arial" w:hint="eastAsia"/>
          <w:color w:val="000000"/>
          <w:sz w:val="32"/>
          <w:szCs w:val="28"/>
        </w:rPr>
        <w:t>软件的安装应满足软件运行环境要求，并在质量管理体系文件中予以规定。</w:t>
      </w:r>
    </w:p>
    <w:p w:rsidR="00B21435" w:rsidRDefault="00F21DBE">
      <w:pPr>
        <w:numPr>
          <w:ilvl w:val="255"/>
          <w:numId w:val="0"/>
        </w:numPr>
        <w:spacing w:line="560" w:lineRule="exact"/>
        <w:ind w:firstLineChars="200" w:firstLine="640"/>
        <w:rPr>
          <w:rFonts w:ascii="仿宋_GB2312" w:eastAsia="仿宋_GB2312" w:hAnsi="Arial" w:cs="Arial"/>
          <w:color w:val="000000"/>
          <w:sz w:val="32"/>
          <w:szCs w:val="28"/>
        </w:rPr>
      </w:pPr>
      <w:r>
        <w:rPr>
          <w:rFonts w:ascii="仿宋_GB2312" w:eastAsia="仿宋_GB2312" w:hAnsi="仿宋_GB2312" w:cs="仿宋_GB2312" w:hint="eastAsia"/>
          <w:color w:val="000000"/>
          <w:sz w:val="32"/>
          <w:szCs w:val="32"/>
        </w:rPr>
        <w:fldChar w:fldCharType="begin"/>
      </w:r>
      <w:r>
        <w:rPr>
          <w:rFonts w:ascii="仿宋_GB2312" w:eastAsia="仿宋_GB2312" w:hAnsi="仿宋_GB2312" w:cs="仿宋_GB2312" w:hint="eastAsia"/>
          <w:color w:val="000000"/>
          <w:sz w:val="32"/>
          <w:szCs w:val="32"/>
        </w:rPr>
        <w:instrText xml:space="preserve"> = 6 \* GB3 \* MERGEFORMAT </w:instrText>
      </w:r>
      <w:r>
        <w:rPr>
          <w:rFonts w:ascii="仿宋_GB2312" w:eastAsia="仿宋_GB2312" w:hAnsi="仿宋_GB2312" w:cs="仿宋_GB2312" w:hint="eastAsia"/>
          <w:color w:val="000000"/>
          <w:sz w:val="32"/>
          <w:szCs w:val="32"/>
        </w:rPr>
        <w:fldChar w:fldCharType="separate"/>
      </w:r>
      <w:r>
        <w:rPr>
          <w:rFonts w:ascii="仿宋_GB2312" w:eastAsia="仿宋_GB2312" w:hAnsi="仿宋_GB2312" w:cs="仿宋_GB2312" w:hint="eastAsia"/>
          <w:color w:val="000000"/>
          <w:sz w:val="32"/>
          <w:szCs w:val="32"/>
        </w:rPr>
        <w:t>⑥</w:t>
      </w:r>
      <w:r>
        <w:rPr>
          <w:rFonts w:ascii="仿宋_GB2312" w:eastAsia="仿宋_GB2312" w:hAnsi="仿宋_GB2312" w:cs="仿宋_GB2312" w:hint="eastAsia"/>
          <w:color w:val="000000"/>
          <w:sz w:val="32"/>
          <w:szCs w:val="32"/>
        </w:rPr>
        <w:fldChar w:fldCharType="end"/>
      </w:r>
      <w:r>
        <w:rPr>
          <w:rFonts w:ascii="仿宋_GB2312" w:eastAsia="仿宋_GB2312" w:hAnsi="Arial" w:cs="Arial" w:hint="eastAsia"/>
          <w:color w:val="000000"/>
          <w:sz w:val="32"/>
          <w:szCs w:val="28"/>
        </w:rPr>
        <w:t>企业应对安装结果进行符合性验证，确认安装符合相关要求，确保碳离子/质子治疗系统运行的可靠性和稳定性。</w:t>
      </w:r>
    </w:p>
    <w:p w:rsidR="00B21435" w:rsidRDefault="00A62EAD">
      <w:pPr>
        <w:numPr>
          <w:ilvl w:val="255"/>
          <w:numId w:val="0"/>
        </w:numPr>
        <w:spacing w:line="560" w:lineRule="exact"/>
        <w:ind w:firstLineChars="200" w:firstLine="640"/>
        <w:rPr>
          <w:rFonts w:ascii="仿宋_GB2312" w:eastAsia="仿宋_GB2312" w:hAnsi="Arial" w:cs="Arial"/>
          <w:sz w:val="32"/>
          <w:szCs w:val="28"/>
        </w:rPr>
      </w:pPr>
      <w:r>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2）</w:t>
      </w:r>
      <w:r w:rsidR="00F21DBE">
        <w:rPr>
          <w:rFonts w:ascii="仿宋_GB2312" w:eastAsia="仿宋_GB2312" w:hAnsi="Arial" w:cs="Arial" w:hint="eastAsia"/>
          <w:sz w:val="32"/>
          <w:szCs w:val="28"/>
        </w:rPr>
        <w:t>调试：</w:t>
      </w:r>
    </w:p>
    <w:p w:rsidR="00B21435" w:rsidRDefault="00F21DBE">
      <w:pPr>
        <w:numPr>
          <w:ilvl w:val="255"/>
          <w:numId w:val="0"/>
        </w:numPr>
        <w:spacing w:line="560" w:lineRule="exact"/>
        <w:ind w:firstLineChars="200" w:firstLine="640"/>
        <w:rPr>
          <w:rFonts w:ascii="仿宋_GB2312" w:eastAsia="仿宋_GB2312" w:hAnsi="仿宋_GB2312" w:cs="仿宋_GB2312"/>
          <w:sz w:val="32"/>
          <w:szCs w:val="28"/>
        </w:rPr>
      </w:pPr>
      <w:r>
        <w:rPr>
          <w:rFonts w:ascii="仿宋_GB2312" w:eastAsia="仿宋_GB2312" w:hAnsi="仿宋_GB2312" w:cs="仿宋_GB2312" w:hint="eastAsia"/>
          <w:kern w:val="0"/>
          <w:sz w:val="32"/>
          <w:szCs w:val="32"/>
        </w:rPr>
        <w:fldChar w:fldCharType="begin"/>
      </w:r>
      <w:r>
        <w:rPr>
          <w:rFonts w:ascii="仿宋_GB2312" w:eastAsia="仿宋_GB2312" w:hAnsi="仿宋_GB2312" w:cs="仿宋_GB2312" w:hint="eastAsia"/>
          <w:kern w:val="0"/>
          <w:sz w:val="32"/>
          <w:szCs w:val="32"/>
        </w:rPr>
        <w:instrText xml:space="preserve"> = 1 \* GB3 \* MERGEFORMAT </w:instrText>
      </w:r>
      <w:r>
        <w:rPr>
          <w:rFonts w:ascii="仿宋_GB2312" w:eastAsia="仿宋_GB2312" w:hAnsi="仿宋_GB2312" w:cs="仿宋_GB2312" w:hint="eastAsia"/>
          <w:kern w:val="0"/>
          <w:sz w:val="32"/>
          <w:szCs w:val="32"/>
        </w:rPr>
        <w:fldChar w:fldCharType="separate"/>
      </w:r>
      <w:r>
        <w:rPr>
          <w:rFonts w:ascii="仿宋_GB2312" w:eastAsia="仿宋_GB2312" w:hAnsi="仿宋_GB2312" w:cs="仿宋_GB2312" w:hint="eastAsia"/>
          <w:kern w:val="0"/>
          <w:sz w:val="32"/>
          <w:szCs w:val="32"/>
        </w:rPr>
        <w:t>①</w:t>
      </w:r>
      <w:r>
        <w:rPr>
          <w:rFonts w:ascii="仿宋_GB2312" w:eastAsia="仿宋_GB2312" w:hAnsi="仿宋_GB2312" w:cs="仿宋_GB2312" w:hint="eastAsia"/>
          <w:kern w:val="0"/>
          <w:sz w:val="32"/>
          <w:szCs w:val="32"/>
        </w:rPr>
        <w:fldChar w:fldCharType="end"/>
      </w:r>
      <w:r>
        <w:rPr>
          <w:rFonts w:ascii="仿宋_GB2312" w:eastAsia="仿宋_GB2312" w:hAnsi="仿宋_GB2312" w:cs="仿宋_GB2312" w:hint="eastAsia"/>
          <w:kern w:val="0"/>
          <w:sz w:val="32"/>
          <w:szCs w:val="32"/>
        </w:rPr>
        <w:t>企业</w:t>
      </w:r>
      <w:r>
        <w:rPr>
          <w:rFonts w:ascii="仿宋_GB2312" w:eastAsia="仿宋_GB2312" w:hAnsi="仿宋_GB2312" w:cs="仿宋_GB2312" w:hint="eastAsia"/>
          <w:color w:val="000000"/>
          <w:sz w:val="32"/>
          <w:szCs w:val="28"/>
        </w:rPr>
        <w:t>应</w:t>
      </w:r>
      <w:r>
        <w:rPr>
          <w:rFonts w:ascii="仿宋_GB2312" w:eastAsia="仿宋_GB2312" w:hAnsi="仿宋_GB2312" w:cs="仿宋_GB2312" w:hint="eastAsia"/>
          <w:sz w:val="32"/>
          <w:szCs w:val="28"/>
        </w:rPr>
        <w:t>配备满足束流调试要求的人员和仪器设备。</w:t>
      </w:r>
    </w:p>
    <w:p w:rsidR="00B21435" w:rsidRDefault="00F21DBE">
      <w:pPr>
        <w:numPr>
          <w:ilvl w:val="255"/>
          <w:numId w:val="0"/>
        </w:numPr>
        <w:spacing w:line="560" w:lineRule="exact"/>
        <w:ind w:firstLineChars="200" w:firstLine="640"/>
        <w:rPr>
          <w:rFonts w:ascii="仿宋_GB2312" w:eastAsia="仿宋_GB2312" w:hAnsi="仿宋_GB2312" w:cs="仿宋_GB2312"/>
          <w:sz w:val="32"/>
          <w:szCs w:val="28"/>
        </w:rPr>
      </w:pPr>
      <w:r>
        <w:rPr>
          <w:rFonts w:ascii="仿宋_GB2312" w:eastAsia="仿宋_GB2312" w:hAnsi="仿宋_GB2312" w:cs="仿宋_GB2312" w:hint="eastAsia"/>
          <w:kern w:val="0"/>
          <w:sz w:val="32"/>
          <w:szCs w:val="32"/>
        </w:rPr>
        <w:lastRenderedPageBreak/>
        <w:sym w:font="Wingdings" w:char="F082"/>
      </w:r>
      <w:r>
        <w:rPr>
          <w:rFonts w:ascii="仿宋_GB2312" w:eastAsia="仿宋_GB2312" w:hAnsi="仿宋_GB2312" w:cs="仿宋_GB2312" w:hint="eastAsia"/>
          <w:kern w:val="0"/>
          <w:sz w:val="32"/>
          <w:szCs w:val="32"/>
        </w:rPr>
        <w:t>企业</w:t>
      </w:r>
      <w:r>
        <w:rPr>
          <w:rFonts w:ascii="仿宋_GB2312" w:eastAsia="仿宋_GB2312" w:hAnsi="仿宋_GB2312" w:cs="仿宋_GB2312" w:hint="eastAsia"/>
          <w:color w:val="000000"/>
          <w:sz w:val="32"/>
          <w:szCs w:val="28"/>
        </w:rPr>
        <w:t>应</w:t>
      </w:r>
      <w:r>
        <w:rPr>
          <w:rFonts w:ascii="仿宋_GB2312" w:eastAsia="仿宋_GB2312" w:hAnsi="仿宋_GB2312" w:cs="仿宋_GB2312" w:hint="eastAsia"/>
          <w:sz w:val="32"/>
          <w:szCs w:val="28"/>
        </w:rPr>
        <w:t>制定束流调试作业指导文件，按照作业指导文件及设计指标的要求进行注入器系统、主加速器系统、束流传输系统及各终端束流调试，确保满足相应指标要求，并形成相应的记录。</w:t>
      </w:r>
    </w:p>
    <w:p w:rsidR="00B21435" w:rsidRDefault="00F21DBE">
      <w:pPr>
        <w:numPr>
          <w:ilvl w:val="255"/>
          <w:numId w:val="0"/>
        </w:numPr>
        <w:spacing w:line="560" w:lineRule="exact"/>
        <w:ind w:firstLineChars="200" w:firstLine="640"/>
        <w:rPr>
          <w:rFonts w:ascii="仿宋_GB2312" w:eastAsia="仿宋_GB2312" w:hAnsi="仿宋_GB2312" w:cs="仿宋_GB2312"/>
          <w:color w:val="FF0000"/>
          <w:sz w:val="32"/>
          <w:szCs w:val="28"/>
        </w:rPr>
      </w:pPr>
      <w:r>
        <w:rPr>
          <w:rFonts w:ascii="仿宋_GB2312" w:eastAsia="仿宋_GB2312" w:hAnsi="仿宋_GB2312" w:cs="仿宋_GB2312" w:hint="eastAsia"/>
          <w:kern w:val="0"/>
          <w:sz w:val="32"/>
          <w:szCs w:val="32"/>
        </w:rPr>
        <w:fldChar w:fldCharType="begin"/>
      </w:r>
      <w:r>
        <w:rPr>
          <w:rFonts w:ascii="仿宋_GB2312" w:eastAsia="仿宋_GB2312" w:hAnsi="仿宋_GB2312" w:cs="仿宋_GB2312" w:hint="eastAsia"/>
          <w:kern w:val="0"/>
          <w:sz w:val="32"/>
          <w:szCs w:val="32"/>
        </w:rPr>
        <w:instrText xml:space="preserve"> = 3 \* GB3 \* MERGEFORMAT </w:instrText>
      </w:r>
      <w:r>
        <w:rPr>
          <w:rFonts w:ascii="仿宋_GB2312" w:eastAsia="仿宋_GB2312" w:hAnsi="仿宋_GB2312" w:cs="仿宋_GB2312" w:hint="eastAsia"/>
          <w:kern w:val="0"/>
          <w:sz w:val="32"/>
          <w:szCs w:val="32"/>
        </w:rPr>
        <w:fldChar w:fldCharType="separate"/>
      </w:r>
      <w:r>
        <w:rPr>
          <w:rFonts w:ascii="仿宋_GB2312" w:eastAsia="仿宋_GB2312" w:hAnsi="仿宋_GB2312" w:cs="仿宋_GB2312" w:hint="eastAsia"/>
          <w:kern w:val="0"/>
          <w:sz w:val="32"/>
          <w:szCs w:val="32"/>
        </w:rPr>
        <w:t>③</w:t>
      </w:r>
      <w:r>
        <w:rPr>
          <w:rFonts w:ascii="仿宋_GB2312" w:eastAsia="仿宋_GB2312" w:hAnsi="仿宋_GB2312" w:cs="仿宋_GB2312" w:hint="eastAsia"/>
          <w:kern w:val="0"/>
          <w:sz w:val="32"/>
          <w:szCs w:val="32"/>
        </w:rPr>
        <w:fldChar w:fldCharType="end"/>
      </w:r>
      <w:r>
        <w:rPr>
          <w:rFonts w:ascii="仿宋_GB2312" w:eastAsia="仿宋_GB2312" w:hAnsi="仿宋_GB2312" w:cs="仿宋_GB2312" w:hint="eastAsia"/>
          <w:sz w:val="32"/>
          <w:szCs w:val="28"/>
        </w:rPr>
        <w:t>在进行各区域的束流调试前，</w:t>
      </w:r>
      <w:r>
        <w:rPr>
          <w:rFonts w:ascii="仿宋_GB2312" w:eastAsia="仿宋_GB2312" w:hAnsi="仿宋_GB2312" w:cs="仿宋_GB2312" w:hint="eastAsia"/>
          <w:kern w:val="0"/>
          <w:sz w:val="32"/>
          <w:szCs w:val="32"/>
        </w:rPr>
        <w:t>企业</w:t>
      </w:r>
      <w:r>
        <w:rPr>
          <w:rFonts w:ascii="仿宋_GB2312" w:eastAsia="仿宋_GB2312" w:hAnsi="仿宋_GB2312" w:cs="仿宋_GB2312" w:hint="eastAsia"/>
          <w:color w:val="000000"/>
          <w:sz w:val="32"/>
          <w:szCs w:val="28"/>
        </w:rPr>
        <w:t>应</w:t>
      </w:r>
      <w:r>
        <w:rPr>
          <w:rFonts w:ascii="仿宋_GB2312" w:eastAsia="仿宋_GB2312" w:hAnsi="仿宋_GB2312" w:cs="仿宋_GB2312" w:hint="eastAsia"/>
          <w:sz w:val="32"/>
          <w:szCs w:val="28"/>
        </w:rPr>
        <w:t>对上线设备进行确认，并形成记录，确认束流调试前上线设备满足正常使用的条件。</w:t>
      </w:r>
    </w:p>
    <w:p w:rsidR="00B21435" w:rsidRDefault="00F21DBE">
      <w:pPr>
        <w:numPr>
          <w:ilvl w:val="255"/>
          <w:numId w:val="0"/>
        </w:numPr>
        <w:spacing w:line="560" w:lineRule="exact"/>
        <w:ind w:firstLineChars="200" w:firstLine="640"/>
        <w:rPr>
          <w:rFonts w:ascii="仿宋_GB2312" w:eastAsia="仿宋_GB2312" w:hAnsi="Arial" w:cs="Arial"/>
          <w:sz w:val="32"/>
          <w:szCs w:val="28"/>
        </w:rPr>
      </w:pPr>
      <w:r>
        <w:rPr>
          <w:rFonts w:ascii="仿宋_GB2312" w:eastAsia="仿宋_GB2312" w:hAnsi="仿宋_GB2312" w:cs="仿宋_GB2312" w:hint="eastAsia"/>
          <w:color w:val="000000"/>
          <w:sz w:val="32"/>
          <w:szCs w:val="32"/>
        </w:rPr>
        <w:fldChar w:fldCharType="begin"/>
      </w:r>
      <w:r>
        <w:rPr>
          <w:rFonts w:ascii="仿宋_GB2312" w:eastAsia="仿宋_GB2312" w:hAnsi="仿宋_GB2312" w:cs="仿宋_GB2312" w:hint="eastAsia"/>
          <w:color w:val="000000"/>
          <w:sz w:val="32"/>
          <w:szCs w:val="32"/>
        </w:rPr>
        <w:instrText xml:space="preserve"> = 4 \* GB3 \* MERGEFORMAT </w:instrText>
      </w:r>
      <w:r>
        <w:rPr>
          <w:rFonts w:ascii="仿宋_GB2312" w:eastAsia="仿宋_GB2312" w:hAnsi="仿宋_GB2312" w:cs="仿宋_GB2312" w:hint="eastAsia"/>
          <w:color w:val="000000"/>
          <w:sz w:val="32"/>
          <w:szCs w:val="32"/>
        </w:rPr>
        <w:fldChar w:fldCharType="separate"/>
      </w:r>
      <w:r>
        <w:rPr>
          <w:rFonts w:ascii="仿宋_GB2312" w:eastAsia="仿宋_GB2312" w:hAnsi="仿宋_GB2312" w:cs="仿宋_GB2312" w:hint="eastAsia"/>
          <w:color w:val="000000"/>
          <w:sz w:val="32"/>
          <w:szCs w:val="32"/>
        </w:rPr>
        <w:t>④</w:t>
      </w:r>
      <w:r>
        <w:rPr>
          <w:rFonts w:ascii="仿宋_GB2312" w:eastAsia="仿宋_GB2312" w:hAnsi="仿宋_GB2312" w:cs="仿宋_GB2312" w:hint="eastAsia"/>
          <w:color w:val="000000"/>
          <w:sz w:val="32"/>
          <w:szCs w:val="32"/>
        </w:rPr>
        <w:fldChar w:fldCharType="end"/>
      </w:r>
      <w:r>
        <w:rPr>
          <w:rFonts w:ascii="仿宋_GB2312" w:eastAsia="仿宋_GB2312" w:hAnsi="Arial" w:cs="Arial" w:hint="eastAsia"/>
          <w:sz w:val="32"/>
          <w:szCs w:val="28"/>
        </w:rPr>
        <w:t>注入器系统束流调试确认包括粒子种类、束流能量、束流强度等指标；主加速器系统束流调试确认包括粒子种类、束流强度、能量（射程）范围等指标</w:t>
      </w:r>
      <w:r>
        <w:rPr>
          <w:rFonts w:ascii="仿宋_GB2312" w:eastAsia="仿宋_GB2312" w:hAnsi="Arial" w:cs="Arial" w:hint="eastAsia"/>
          <w:kern w:val="0"/>
          <w:sz w:val="32"/>
          <w:szCs w:val="32"/>
        </w:rPr>
        <w:t>；</w:t>
      </w:r>
      <w:r>
        <w:rPr>
          <w:rFonts w:ascii="仿宋_GB2312" w:eastAsia="仿宋_GB2312" w:hAnsi="Arial" w:cs="Arial" w:hint="eastAsia"/>
          <w:sz w:val="32"/>
          <w:szCs w:val="28"/>
        </w:rPr>
        <w:t>束流传输系统束流调试确认包括粒子种类、束流强度、传输效率等指标。</w:t>
      </w:r>
    </w:p>
    <w:p w:rsidR="00B21435" w:rsidRDefault="00F21DBE">
      <w:pPr>
        <w:numPr>
          <w:ilvl w:val="255"/>
          <w:numId w:val="0"/>
        </w:numPr>
        <w:spacing w:line="560" w:lineRule="exact"/>
        <w:ind w:firstLineChars="200" w:firstLine="640"/>
        <w:rPr>
          <w:rFonts w:ascii="仿宋_GB2312" w:eastAsia="仿宋_GB2312" w:hAnsi="Arial" w:cs="Arial"/>
          <w:color w:val="FF0000"/>
          <w:sz w:val="32"/>
          <w:szCs w:val="28"/>
        </w:rPr>
      </w:pPr>
      <w:r>
        <w:rPr>
          <w:rFonts w:ascii="仿宋_GB2312" w:eastAsia="仿宋_GB2312" w:hAnsi="仿宋_GB2312" w:cs="仿宋_GB2312" w:hint="eastAsia"/>
          <w:color w:val="000000"/>
          <w:sz w:val="32"/>
          <w:szCs w:val="32"/>
        </w:rPr>
        <w:fldChar w:fldCharType="begin"/>
      </w:r>
      <w:r>
        <w:rPr>
          <w:rFonts w:ascii="仿宋_GB2312" w:eastAsia="仿宋_GB2312" w:hAnsi="仿宋_GB2312" w:cs="仿宋_GB2312" w:hint="eastAsia"/>
          <w:color w:val="000000"/>
          <w:sz w:val="32"/>
          <w:szCs w:val="32"/>
        </w:rPr>
        <w:instrText xml:space="preserve"> = 5 \* GB3 \* MERGEFORMAT </w:instrText>
      </w:r>
      <w:r>
        <w:rPr>
          <w:rFonts w:ascii="仿宋_GB2312" w:eastAsia="仿宋_GB2312" w:hAnsi="仿宋_GB2312" w:cs="仿宋_GB2312" w:hint="eastAsia"/>
          <w:color w:val="000000"/>
          <w:sz w:val="32"/>
          <w:szCs w:val="32"/>
        </w:rPr>
        <w:fldChar w:fldCharType="separate"/>
      </w:r>
      <w:r>
        <w:rPr>
          <w:rFonts w:ascii="仿宋_GB2312" w:eastAsia="仿宋_GB2312" w:hAnsi="仿宋_GB2312" w:cs="仿宋_GB2312" w:hint="eastAsia"/>
          <w:color w:val="000000"/>
          <w:sz w:val="32"/>
          <w:szCs w:val="32"/>
        </w:rPr>
        <w:t>⑤</w:t>
      </w:r>
      <w:r>
        <w:rPr>
          <w:rFonts w:ascii="仿宋_GB2312" w:eastAsia="仿宋_GB2312" w:hAnsi="仿宋_GB2312" w:cs="仿宋_GB2312" w:hint="eastAsia"/>
          <w:color w:val="000000"/>
          <w:sz w:val="32"/>
          <w:szCs w:val="32"/>
        </w:rPr>
        <w:fldChar w:fldCharType="end"/>
      </w:r>
      <w:r>
        <w:rPr>
          <w:rFonts w:ascii="仿宋_GB2312" w:eastAsia="仿宋_GB2312" w:hAnsi="Arial" w:cs="Arial" w:hint="eastAsia"/>
          <w:sz w:val="32"/>
          <w:szCs w:val="28"/>
        </w:rPr>
        <w:t>各终端束流调试一般包括传输效率、束流强度、束斑大小、束斑位置，同时还需要对治疗头治疗室坐标系进行测试确认、剂量及位置监测装置性能进行验证、计划系统建模数据进行采集等。最终确认各治疗头束流强度、束斑大小、束斑位置、引出效率、束流能量（射程）范围及能量（射程）分级，均匀扫描射野大小、均整度、对称性、半影，调制扫描位置精度等指标满足要求。</w:t>
      </w:r>
    </w:p>
    <w:p w:rsidR="00B21435" w:rsidRDefault="00F21DBE">
      <w:pPr>
        <w:spacing w:line="560" w:lineRule="exact"/>
        <w:ind w:firstLineChars="200" w:firstLine="640"/>
        <w:outlineLvl w:val="2"/>
        <w:rPr>
          <w:rFonts w:ascii="楷体" w:eastAsia="楷体" w:hAnsi="楷体" w:cs="楷体"/>
          <w:sz w:val="32"/>
          <w:szCs w:val="32"/>
        </w:rPr>
      </w:pPr>
      <w:r>
        <w:rPr>
          <w:rFonts w:ascii="楷体" w:eastAsia="楷体" w:hAnsi="楷体" w:cs="楷体" w:hint="eastAsia"/>
          <w:sz w:val="32"/>
          <w:szCs w:val="32"/>
        </w:rPr>
        <w:t>（八）质量控制</w:t>
      </w:r>
      <w:bookmarkEnd w:id="507"/>
      <w:bookmarkEnd w:id="508"/>
      <w:bookmarkEnd w:id="509"/>
      <w:bookmarkEnd w:id="510"/>
      <w:bookmarkEnd w:id="511"/>
      <w:bookmarkEnd w:id="512"/>
      <w:bookmarkEnd w:id="513"/>
      <w:bookmarkEnd w:id="514"/>
      <w:bookmarkEnd w:id="515"/>
      <w:bookmarkEnd w:id="516"/>
      <w:bookmarkEnd w:id="517"/>
      <w:bookmarkEnd w:id="518"/>
      <w:bookmarkEnd w:id="519"/>
    </w:p>
    <w:p w:rsidR="00B21435" w:rsidRDefault="00F21DBE">
      <w:pPr>
        <w:spacing w:line="560" w:lineRule="exact"/>
        <w:ind w:firstLineChars="200" w:firstLine="640"/>
      </w:pPr>
      <w:bookmarkStart w:id="520" w:name="_Toc8297"/>
      <w:bookmarkStart w:id="521" w:name="_Toc21914"/>
      <w:bookmarkStart w:id="522" w:name="_Toc1582"/>
      <w:bookmarkStart w:id="523" w:name="_Toc9576"/>
      <w:bookmarkStart w:id="524" w:name="_Toc22980"/>
      <w:bookmarkStart w:id="525" w:name="_Toc29763"/>
      <w:bookmarkStart w:id="526" w:name="_Toc5243"/>
      <w:bookmarkStart w:id="527" w:name="_Toc13255"/>
      <w:bookmarkStart w:id="528" w:name="_Toc4542"/>
      <w:bookmarkStart w:id="529" w:name="_Toc10263"/>
      <w:bookmarkStart w:id="530" w:name="_Toc18601"/>
      <w:bookmarkStart w:id="531" w:name="_Toc2256"/>
      <w:r>
        <w:rPr>
          <w:rFonts w:ascii="仿宋_GB2312" w:eastAsia="仿宋_GB2312" w:hAnsi="Arial" w:cs="Arial" w:hint="eastAsia"/>
          <w:color w:val="000000"/>
          <w:sz w:val="32"/>
          <w:szCs w:val="28"/>
        </w:rPr>
        <w:t>企业应建立质量控制程序，规定检验部门、人员、操作等要求，并规定检验仪器设备的使用、校准等要求，以及产品放行的程序。</w:t>
      </w:r>
    </w:p>
    <w:p w:rsidR="00B21435" w:rsidRDefault="00F21DBE">
      <w:pPr>
        <w:pStyle w:val="4"/>
        <w:keepNext w:val="0"/>
        <w:keepLines w:val="0"/>
        <w:ind w:firstLine="640"/>
      </w:pPr>
      <w:bookmarkStart w:id="532" w:name="_Toc30603"/>
      <w:bookmarkStart w:id="533" w:name="_Toc2610"/>
      <w:bookmarkStart w:id="534" w:name="_Toc2990"/>
      <w:bookmarkStart w:id="535" w:name="_Toc24332"/>
      <w:bookmarkStart w:id="536" w:name="_Toc18202"/>
      <w:bookmarkStart w:id="537" w:name="_Toc663"/>
      <w:bookmarkStart w:id="538" w:name="_Toc27244"/>
      <w:bookmarkStart w:id="539" w:name="_Toc16372"/>
      <w:bookmarkStart w:id="540" w:name="_Toc22811"/>
      <w:bookmarkStart w:id="541" w:name="_Toc2697"/>
      <w:bookmarkStart w:id="542" w:name="_Toc10989"/>
      <w:bookmarkStart w:id="543" w:name="_Toc21000"/>
      <w:bookmarkEnd w:id="520"/>
      <w:bookmarkEnd w:id="521"/>
      <w:bookmarkEnd w:id="522"/>
      <w:bookmarkEnd w:id="523"/>
      <w:bookmarkEnd w:id="524"/>
      <w:bookmarkEnd w:id="525"/>
      <w:bookmarkEnd w:id="526"/>
      <w:bookmarkEnd w:id="527"/>
      <w:bookmarkEnd w:id="528"/>
      <w:bookmarkEnd w:id="529"/>
      <w:bookmarkEnd w:id="530"/>
      <w:bookmarkEnd w:id="531"/>
      <w:r>
        <w:rPr>
          <w:rFonts w:hint="eastAsia"/>
        </w:rPr>
        <w:t>1.</w:t>
      </w:r>
      <w:r>
        <w:rPr>
          <w:rFonts w:hint="eastAsia"/>
        </w:rPr>
        <w:t>控制程序</w:t>
      </w:r>
    </w:p>
    <w:p w:rsidR="00B21435" w:rsidRDefault="00A62EAD">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sidR="00F21DBE">
        <w:rPr>
          <w:rFonts w:ascii="仿宋_GB2312" w:eastAsia="仿宋_GB2312" w:hAnsi="仿宋_GB2312" w:cs="仿宋_GB2312" w:hint="eastAsia"/>
          <w:sz w:val="32"/>
          <w:szCs w:val="32"/>
        </w:rPr>
        <w:t>1）企业应建立相应质量控制程序文件，如：检验放行</w:t>
      </w:r>
      <w:r w:rsidR="00F21DBE">
        <w:rPr>
          <w:rFonts w:ascii="仿宋_GB2312" w:eastAsia="仿宋_GB2312" w:hAnsi="仿宋_GB2312" w:cs="仿宋_GB2312" w:hint="eastAsia"/>
          <w:sz w:val="32"/>
          <w:szCs w:val="32"/>
        </w:rPr>
        <w:lastRenderedPageBreak/>
        <w:t>控制程序、不合格品控制程序、监视测量设备管理控制程序等。</w:t>
      </w:r>
    </w:p>
    <w:p w:rsidR="00B21435" w:rsidRDefault="00A62EAD">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sidR="00F21DBE">
        <w:rPr>
          <w:rFonts w:ascii="仿宋_GB2312" w:eastAsia="仿宋_GB2312" w:hAnsi="仿宋_GB2312" w:cs="仿宋_GB2312" w:hint="eastAsia"/>
          <w:sz w:val="32"/>
          <w:szCs w:val="32"/>
        </w:rPr>
        <w:t>2）企业建立的质量控制文件应包含：来料检验、过程检验、成品检验、委托检验、不合格品的来源、分类、处置流程及方式，监视测量设备的检定/校准、使用和维护等。</w:t>
      </w:r>
    </w:p>
    <w:p w:rsidR="00B21435" w:rsidRDefault="00F21DBE">
      <w:pPr>
        <w:pStyle w:val="4"/>
        <w:ind w:firstLine="640"/>
      </w:pPr>
      <w:r>
        <w:rPr>
          <w:rFonts w:hint="eastAsia"/>
        </w:rPr>
        <w:t>2.</w:t>
      </w:r>
      <w:r>
        <w:rPr>
          <w:rFonts w:hint="eastAsia"/>
        </w:rPr>
        <w:t>来料、过程控制及成品放行</w:t>
      </w:r>
    </w:p>
    <w:p w:rsidR="00B21435" w:rsidRDefault="00A62EAD">
      <w:pPr>
        <w:spacing w:line="560" w:lineRule="exact"/>
        <w:ind w:firstLineChars="200" w:firstLine="640"/>
        <w:rPr>
          <w:rFonts w:ascii="仿宋_GB2312" w:eastAsia="仿宋_GB2312" w:hAnsi="仿宋_GB2312" w:cs="仿宋_GB2312"/>
          <w:sz w:val="32"/>
          <w:szCs w:val="32"/>
        </w:rPr>
      </w:pPr>
      <w:r>
        <w:rPr>
          <w:rFonts w:ascii="Times New Roman" w:eastAsia="仿宋_GB2312" w:hAnsi="Times New Roman" w:cs="Times New Roman" w:hint="eastAsia"/>
          <w:sz w:val="32"/>
          <w:szCs w:val="28"/>
        </w:rPr>
        <w:t>（</w:t>
      </w:r>
      <w:r w:rsidR="00F21DBE">
        <w:rPr>
          <w:rFonts w:ascii="Times New Roman" w:eastAsia="仿宋_GB2312" w:hAnsi="Times New Roman" w:cs="Times New Roman" w:hint="eastAsia"/>
          <w:sz w:val="32"/>
          <w:szCs w:val="28"/>
        </w:rPr>
        <w:t>1</w:t>
      </w:r>
      <w:r w:rsidR="00F21DBE">
        <w:rPr>
          <w:rFonts w:ascii="Times New Roman" w:eastAsia="仿宋_GB2312" w:hAnsi="Times New Roman" w:cs="Times New Roman" w:hint="eastAsia"/>
          <w:sz w:val="32"/>
          <w:szCs w:val="28"/>
        </w:rPr>
        <w:t>）</w:t>
      </w:r>
      <w:r w:rsidR="00F21DBE">
        <w:rPr>
          <w:rFonts w:ascii="仿宋_GB2312" w:eastAsia="仿宋_GB2312" w:hAnsi="仿宋_GB2312" w:cs="仿宋_GB2312" w:hint="eastAsia"/>
          <w:sz w:val="32"/>
          <w:szCs w:val="32"/>
        </w:rPr>
        <w:t>企业应根据物料的管理类别建立相应的来料、过程检验规程。</w:t>
      </w:r>
    </w:p>
    <w:p w:rsidR="00B21435" w:rsidRDefault="00A62EAD">
      <w:pPr>
        <w:spacing w:line="560" w:lineRule="exact"/>
        <w:ind w:firstLineChars="200" w:firstLine="640"/>
        <w:rPr>
          <w:rFonts w:ascii="仿宋_GB2312" w:eastAsia="仿宋_GB2312" w:hAnsi="仿宋_GB2312" w:cs="仿宋_GB2312"/>
          <w:sz w:val="32"/>
          <w:szCs w:val="32"/>
        </w:rPr>
      </w:pPr>
      <w:r>
        <w:rPr>
          <w:rFonts w:ascii="Times New Roman" w:eastAsia="仿宋_GB2312" w:hAnsi="Times New Roman" w:cs="Times New Roman" w:hint="eastAsia"/>
          <w:sz w:val="32"/>
          <w:szCs w:val="28"/>
        </w:rPr>
        <w:t>（</w:t>
      </w:r>
      <w:r w:rsidR="00F21DBE">
        <w:rPr>
          <w:rFonts w:ascii="Times New Roman" w:eastAsia="仿宋_GB2312" w:hAnsi="Times New Roman" w:cs="Times New Roman" w:hint="eastAsia"/>
          <w:sz w:val="32"/>
          <w:szCs w:val="28"/>
        </w:rPr>
        <w:t>2</w:t>
      </w:r>
      <w:r w:rsidR="00F21DBE">
        <w:rPr>
          <w:rFonts w:ascii="Times New Roman" w:eastAsia="仿宋_GB2312" w:hAnsi="Times New Roman" w:cs="Times New Roman" w:hint="eastAsia"/>
          <w:sz w:val="32"/>
          <w:szCs w:val="28"/>
        </w:rPr>
        <w:t>）</w:t>
      </w:r>
      <w:r w:rsidR="00F21DBE">
        <w:rPr>
          <w:rFonts w:ascii="仿宋_GB2312" w:eastAsia="仿宋_GB2312" w:hAnsi="仿宋_GB2312" w:cs="仿宋_GB2312" w:hint="eastAsia"/>
          <w:sz w:val="32"/>
          <w:szCs w:val="32"/>
        </w:rPr>
        <w:t>来料检验规程一般包含通用物料检验规程和专用物料检验规程。</w:t>
      </w:r>
      <w:r w:rsidR="00F21DBE">
        <w:rPr>
          <w:rFonts w:ascii="Times New Roman" w:eastAsia="仿宋_GB2312" w:hAnsi="Times New Roman" w:cs="Times New Roman"/>
          <w:sz w:val="32"/>
          <w:szCs w:val="28"/>
        </w:rPr>
        <w:t>外购设备验收</w:t>
      </w:r>
      <w:r w:rsidR="00F21DBE">
        <w:rPr>
          <w:rFonts w:ascii="Times New Roman" w:eastAsia="仿宋_GB2312" w:hAnsi="Times New Roman" w:cs="Times New Roman" w:hint="eastAsia"/>
          <w:sz w:val="32"/>
          <w:szCs w:val="28"/>
        </w:rPr>
        <w:t>应</w:t>
      </w:r>
      <w:r w:rsidR="00F21DBE">
        <w:rPr>
          <w:rFonts w:ascii="Times New Roman" w:eastAsia="仿宋_GB2312" w:hAnsi="Times New Roman" w:cs="Times New Roman"/>
          <w:sz w:val="32"/>
          <w:szCs w:val="28"/>
        </w:rPr>
        <w:t>包含出厂</w:t>
      </w:r>
      <w:r w:rsidR="00F21DBE">
        <w:rPr>
          <w:rFonts w:ascii="Times New Roman" w:eastAsia="仿宋_GB2312" w:hAnsi="Times New Roman" w:cs="Times New Roman" w:hint="eastAsia"/>
          <w:sz w:val="32"/>
          <w:szCs w:val="28"/>
        </w:rPr>
        <w:t>合格资料</w:t>
      </w:r>
      <w:r w:rsidR="00F21DBE">
        <w:rPr>
          <w:rFonts w:ascii="Times New Roman" w:eastAsia="仿宋_GB2312" w:hAnsi="Times New Roman" w:cs="Times New Roman"/>
          <w:sz w:val="32"/>
          <w:szCs w:val="28"/>
        </w:rPr>
        <w:t>和</w:t>
      </w:r>
      <w:r w:rsidR="00F21DBE">
        <w:rPr>
          <w:rFonts w:ascii="Times New Roman" w:eastAsia="仿宋_GB2312" w:hAnsi="Times New Roman" w:cs="Times New Roman" w:hint="eastAsia"/>
          <w:sz w:val="32"/>
          <w:szCs w:val="28"/>
        </w:rPr>
        <w:t>现场验收报告。</w:t>
      </w:r>
    </w:p>
    <w:p w:rsidR="00B21435" w:rsidRDefault="00A62EAD">
      <w:pPr>
        <w:spacing w:line="560" w:lineRule="exact"/>
        <w:ind w:firstLineChars="200" w:firstLine="640"/>
        <w:rPr>
          <w:rFonts w:ascii="Times New Roman" w:eastAsia="仿宋_GB2312" w:hAnsi="Times New Roman" w:cs="Times New Roman"/>
          <w:sz w:val="32"/>
          <w:szCs w:val="28"/>
        </w:rPr>
      </w:pPr>
      <w:r>
        <w:rPr>
          <w:rFonts w:ascii="Times New Roman" w:eastAsia="仿宋_GB2312" w:hAnsi="Times New Roman" w:cs="Times New Roman" w:hint="eastAsia"/>
          <w:sz w:val="32"/>
          <w:szCs w:val="28"/>
        </w:rPr>
        <w:t>（</w:t>
      </w:r>
      <w:r w:rsidR="00F21DBE">
        <w:rPr>
          <w:rFonts w:ascii="Times New Roman" w:eastAsia="仿宋_GB2312" w:hAnsi="Times New Roman" w:cs="Times New Roman" w:hint="eastAsia"/>
          <w:sz w:val="32"/>
          <w:szCs w:val="28"/>
        </w:rPr>
        <w:t>3</w:t>
      </w:r>
      <w:r w:rsidR="00F21DBE">
        <w:rPr>
          <w:rFonts w:ascii="Times New Roman" w:eastAsia="仿宋_GB2312" w:hAnsi="Times New Roman" w:cs="Times New Roman" w:hint="eastAsia"/>
          <w:sz w:val="32"/>
          <w:szCs w:val="28"/>
        </w:rPr>
        <w:t>）</w:t>
      </w:r>
      <w:r w:rsidR="00F21DBE">
        <w:rPr>
          <w:rFonts w:ascii="仿宋_GB2312" w:eastAsia="仿宋_GB2312" w:hAnsi="仿宋_GB2312" w:cs="仿宋_GB2312" w:hint="eastAsia"/>
          <w:sz w:val="32"/>
          <w:szCs w:val="32"/>
        </w:rPr>
        <w:t>过程检验规程一般应包含磁铁的磁场性能、真空腔体和管道漏率、电源性能、高频系统性能、束诊探测器性能、治疗控制系统、治疗计划系统、图像引导系统软硬件功能和性能、激光定位系统性能、患者支撑装置功能和性能等。</w:t>
      </w:r>
    </w:p>
    <w:p w:rsidR="00B21435" w:rsidRDefault="00A62EAD">
      <w:pPr>
        <w:spacing w:line="560" w:lineRule="exact"/>
        <w:ind w:firstLineChars="200" w:firstLine="640"/>
        <w:rPr>
          <w:rFonts w:ascii="Times New Roman" w:eastAsia="仿宋_GB2312" w:hAnsi="Times New Roman" w:cs="Times New Roman"/>
          <w:sz w:val="32"/>
          <w:szCs w:val="28"/>
        </w:rPr>
      </w:pPr>
      <w:r>
        <w:rPr>
          <w:rFonts w:ascii="Times New Roman" w:eastAsia="仿宋_GB2312" w:hAnsi="Times New Roman" w:cs="Times New Roman" w:hint="eastAsia"/>
          <w:sz w:val="32"/>
          <w:szCs w:val="28"/>
        </w:rPr>
        <w:t>（</w:t>
      </w:r>
      <w:r w:rsidR="00F21DBE">
        <w:rPr>
          <w:rFonts w:ascii="Times New Roman" w:eastAsia="仿宋_GB2312" w:hAnsi="Times New Roman" w:cs="Times New Roman" w:hint="eastAsia"/>
          <w:sz w:val="32"/>
          <w:szCs w:val="28"/>
        </w:rPr>
        <w:t>4</w:t>
      </w:r>
      <w:r w:rsidR="00F21DBE">
        <w:rPr>
          <w:rFonts w:ascii="Times New Roman" w:eastAsia="仿宋_GB2312" w:hAnsi="Times New Roman" w:cs="Times New Roman" w:hint="eastAsia"/>
          <w:sz w:val="32"/>
          <w:szCs w:val="28"/>
        </w:rPr>
        <w:t>）成品</w:t>
      </w:r>
      <w:r w:rsidR="00F21DBE">
        <w:rPr>
          <w:rFonts w:ascii="Times New Roman" w:eastAsia="仿宋_GB2312" w:hAnsi="Times New Roman" w:cs="Times New Roman"/>
          <w:sz w:val="32"/>
          <w:szCs w:val="28"/>
        </w:rPr>
        <w:t>检验</w:t>
      </w:r>
      <w:r w:rsidR="00F21DBE">
        <w:rPr>
          <w:rFonts w:ascii="Times New Roman" w:eastAsia="仿宋_GB2312" w:hAnsi="Times New Roman" w:cs="Times New Roman" w:hint="eastAsia"/>
          <w:sz w:val="32"/>
          <w:szCs w:val="28"/>
        </w:rPr>
        <w:t>规程应</w:t>
      </w:r>
      <w:r w:rsidR="00F21DBE">
        <w:rPr>
          <w:rFonts w:ascii="Times New Roman" w:eastAsia="仿宋_GB2312" w:hAnsi="Times New Roman" w:cs="Times New Roman"/>
          <w:sz w:val="32"/>
          <w:szCs w:val="28"/>
        </w:rPr>
        <w:t>包含电气安全、电磁兼容、束流性能、设备性能、软件</w:t>
      </w:r>
      <w:r w:rsidR="00F21DBE">
        <w:rPr>
          <w:rFonts w:ascii="Times New Roman" w:eastAsia="仿宋_GB2312" w:hAnsi="Times New Roman" w:cs="Times New Roman" w:hint="eastAsia"/>
          <w:sz w:val="32"/>
          <w:szCs w:val="28"/>
        </w:rPr>
        <w:t>功能</w:t>
      </w:r>
      <w:r w:rsidR="00F21DBE">
        <w:rPr>
          <w:rFonts w:ascii="Times New Roman" w:eastAsia="仿宋_GB2312" w:hAnsi="Times New Roman" w:cs="Times New Roman"/>
          <w:sz w:val="32"/>
          <w:szCs w:val="28"/>
        </w:rPr>
        <w:t>性能</w:t>
      </w:r>
      <w:r w:rsidR="00F21DBE">
        <w:rPr>
          <w:rFonts w:ascii="Times New Roman" w:eastAsia="仿宋_GB2312" w:hAnsi="Times New Roman" w:cs="Times New Roman" w:hint="eastAsia"/>
          <w:sz w:val="32"/>
          <w:szCs w:val="28"/>
        </w:rPr>
        <w:t>等，成品检验合格后予以生产放行</w:t>
      </w:r>
      <w:r w:rsidR="00F21DBE">
        <w:rPr>
          <w:rFonts w:ascii="Times New Roman" w:eastAsia="仿宋_GB2312" w:hAnsi="Times New Roman" w:cs="Times New Roman"/>
          <w:sz w:val="32"/>
          <w:szCs w:val="28"/>
        </w:rPr>
        <w:t>。</w:t>
      </w:r>
    </w:p>
    <w:p w:rsidR="00B21435" w:rsidRDefault="00A62EAD">
      <w:pPr>
        <w:spacing w:line="560" w:lineRule="exact"/>
        <w:ind w:firstLineChars="200" w:firstLine="640"/>
        <w:rPr>
          <w:rFonts w:ascii="Times New Roman" w:eastAsia="仿宋_GB2312" w:hAnsi="Times New Roman" w:cs="Times New Roman"/>
        </w:rPr>
      </w:pPr>
      <w:r>
        <w:rPr>
          <w:rFonts w:ascii="Times New Roman" w:eastAsia="仿宋_GB2312" w:hAnsi="Times New Roman" w:cs="Times New Roman" w:hint="eastAsia"/>
          <w:sz w:val="32"/>
          <w:szCs w:val="28"/>
        </w:rPr>
        <w:t>（</w:t>
      </w:r>
      <w:r w:rsidR="00F21DBE">
        <w:rPr>
          <w:rFonts w:ascii="Times New Roman" w:eastAsia="仿宋_GB2312" w:hAnsi="Times New Roman" w:cs="Times New Roman" w:hint="eastAsia"/>
          <w:sz w:val="32"/>
          <w:szCs w:val="28"/>
        </w:rPr>
        <w:t>5</w:t>
      </w:r>
      <w:r w:rsidR="00F21DBE">
        <w:rPr>
          <w:rFonts w:ascii="Times New Roman" w:eastAsia="仿宋_GB2312" w:hAnsi="Times New Roman" w:cs="Times New Roman" w:hint="eastAsia"/>
          <w:sz w:val="32"/>
          <w:szCs w:val="28"/>
        </w:rPr>
        <w:t>）</w:t>
      </w:r>
      <w:r w:rsidR="00F21DBE">
        <w:rPr>
          <w:rFonts w:ascii="Times New Roman" w:eastAsia="仿宋_GB2312" w:hAnsi="Times New Roman" w:cs="Times New Roman"/>
          <w:sz w:val="32"/>
          <w:szCs w:val="28"/>
        </w:rPr>
        <w:t>碳离子</w:t>
      </w:r>
      <w:r w:rsidR="00F21DBE">
        <w:rPr>
          <w:rFonts w:ascii="Times New Roman" w:eastAsia="仿宋_GB2312" w:hAnsi="Times New Roman" w:cs="Times New Roman"/>
          <w:sz w:val="32"/>
          <w:szCs w:val="28"/>
        </w:rPr>
        <w:t>/</w:t>
      </w:r>
      <w:r w:rsidR="00F21DBE">
        <w:rPr>
          <w:rFonts w:ascii="Times New Roman" w:eastAsia="仿宋_GB2312" w:hAnsi="Times New Roman" w:cs="Times New Roman"/>
          <w:sz w:val="32"/>
          <w:szCs w:val="28"/>
        </w:rPr>
        <w:t>质子治疗系统</w:t>
      </w:r>
      <w:r w:rsidR="00F21DBE">
        <w:rPr>
          <w:rFonts w:ascii="仿宋_GB2312" w:eastAsia="仿宋_GB2312" w:hAnsi="Arial" w:cs="Arial"/>
          <w:color w:val="000000"/>
          <w:sz w:val="32"/>
          <w:szCs w:val="28"/>
        </w:rPr>
        <w:t>在取得注册证后</w:t>
      </w:r>
      <w:r w:rsidR="00F21DBE">
        <w:rPr>
          <w:rFonts w:ascii="仿宋_GB2312" w:eastAsia="仿宋_GB2312" w:hAnsi="Arial" w:cs="Arial" w:hint="eastAsia"/>
          <w:color w:val="000000"/>
          <w:sz w:val="32"/>
          <w:szCs w:val="28"/>
        </w:rPr>
        <w:t>进行上市放行</w:t>
      </w:r>
      <w:r w:rsidR="00F21DBE">
        <w:rPr>
          <w:rFonts w:ascii="仿宋_GB2312" w:eastAsia="仿宋_GB2312" w:hAnsi="Arial" w:cs="Arial"/>
          <w:color w:val="000000"/>
          <w:sz w:val="32"/>
          <w:szCs w:val="28"/>
        </w:rPr>
        <w:t>，</w:t>
      </w:r>
      <w:r w:rsidR="00F21DBE">
        <w:rPr>
          <w:rFonts w:ascii="仿宋_GB2312" w:eastAsia="仿宋_GB2312" w:hAnsi="Arial" w:cs="Arial" w:hint="eastAsia"/>
          <w:color w:val="000000"/>
          <w:sz w:val="32"/>
          <w:szCs w:val="28"/>
        </w:rPr>
        <w:t>内容</w:t>
      </w:r>
      <w:r w:rsidR="00F21DBE">
        <w:rPr>
          <w:rFonts w:ascii="仿宋_GB2312" w:eastAsia="仿宋_GB2312" w:hAnsi="Arial" w:cs="Arial"/>
          <w:color w:val="000000"/>
          <w:sz w:val="32"/>
          <w:szCs w:val="28"/>
        </w:rPr>
        <w:t>包括</w:t>
      </w:r>
      <w:r w:rsidR="00F21DBE">
        <w:rPr>
          <w:rFonts w:ascii="仿宋_GB2312" w:eastAsia="仿宋_GB2312" w:hAnsi="Arial" w:cs="Arial" w:hint="eastAsia"/>
          <w:color w:val="000000"/>
          <w:sz w:val="32"/>
          <w:szCs w:val="28"/>
        </w:rPr>
        <w:t>产品设计、工艺转化、生产、检验、</w:t>
      </w:r>
      <w:proofErr w:type="gramStart"/>
      <w:r w:rsidR="00F21DBE">
        <w:rPr>
          <w:rFonts w:ascii="仿宋_GB2312" w:eastAsia="仿宋_GB2312" w:hAnsi="Arial" w:cs="Arial" w:hint="eastAsia"/>
          <w:color w:val="000000"/>
          <w:sz w:val="32"/>
          <w:szCs w:val="28"/>
        </w:rPr>
        <w:t>注册等碳离子</w:t>
      </w:r>
      <w:proofErr w:type="gramEnd"/>
      <w:r w:rsidR="00F21DBE">
        <w:rPr>
          <w:rFonts w:ascii="仿宋_GB2312" w:eastAsia="仿宋_GB2312" w:hAnsi="Arial" w:cs="Arial"/>
          <w:color w:val="000000"/>
          <w:sz w:val="32"/>
          <w:szCs w:val="28"/>
        </w:rPr>
        <w:t>/质子</w:t>
      </w:r>
      <w:r w:rsidR="00F21DBE">
        <w:rPr>
          <w:rFonts w:ascii="仿宋_GB2312" w:eastAsia="仿宋_GB2312" w:hAnsi="Arial" w:cs="Arial" w:hint="eastAsia"/>
          <w:color w:val="000000"/>
          <w:sz w:val="32"/>
          <w:szCs w:val="28"/>
        </w:rPr>
        <w:t>治疗系统</w:t>
      </w:r>
      <w:r w:rsidR="00F21DBE">
        <w:rPr>
          <w:rFonts w:ascii="仿宋_GB2312" w:eastAsia="仿宋_GB2312" w:hAnsi="Arial" w:cs="Arial"/>
          <w:color w:val="000000"/>
          <w:sz w:val="32"/>
          <w:szCs w:val="28"/>
        </w:rPr>
        <w:t>上市前全</w:t>
      </w:r>
      <w:r w:rsidR="00F21DBE">
        <w:rPr>
          <w:rFonts w:ascii="仿宋_GB2312" w:eastAsia="仿宋_GB2312" w:hAnsi="Arial" w:cs="Arial" w:hint="eastAsia"/>
          <w:color w:val="000000"/>
          <w:sz w:val="32"/>
          <w:szCs w:val="28"/>
        </w:rPr>
        <w:t>过程</w:t>
      </w:r>
      <w:r w:rsidR="00F21DBE">
        <w:rPr>
          <w:rFonts w:ascii="仿宋_GB2312" w:eastAsia="仿宋_GB2312" w:hAnsi="Arial" w:cs="Arial"/>
          <w:color w:val="000000"/>
          <w:sz w:val="32"/>
          <w:szCs w:val="28"/>
        </w:rPr>
        <w:t>。</w:t>
      </w:r>
    </w:p>
    <w:p w:rsidR="00B21435" w:rsidRDefault="00F21DBE">
      <w:pPr>
        <w:pStyle w:val="4"/>
        <w:keepNext w:val="0"/>
        <w:keepLines w:val="0"/>
        <w:ind w:firstLine="640"/>
      </w:pPr>
      <w:r>
        <w:rPr>
          <w:rFonts w:hint="eastAsia"/>
        </w:rPr>
        <w:t>3.</w:t>
      </w:r>
      <w:r>
        <w:rPr>
          <w:rFonts w:hint="eastAsia"/>
        </w:rPr>
        <w:t>软件测试</w:t>
      </w:r>
      <w:bookmarkEnd w:id="532"/>
      <w:bookmarkEnd w:id="533"/>
      <w:bookmarkEnd w:id="534"/>
      <w:bookmarkEnd w:id="535"/>
      <w:bookmarkEnd w:id="536"/>
      <w:bookmarkEnd w:id="537"/>
      <w:bookmarkEnd w:id="538"/>
      <w:bookmarkEnd w:id="539"/>
      <w:bookmarkEnd w:id="540"/>
      <w:bookmarkEnd w:id="541"/>
      <w:bookmarkEnd w:id="542"/>
      <w:bookmarkEnd w:id="543"/>
    </w:p>
    <w:p w:rsidR="00B21435" w:rsidRDefault="00F21DBE">
      <w:pPr>
        <w:numPr>
          <w:ilvl w:val="255"/>
          <w:numId w:val="0"/>
        </w:num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企业应制定软件测试计划，依据软件测试计划进行单元测试、集成测试、系统测试，涵盖现成软件、网络安全的测</w:t>
      </w:r>
      <w:r>
        <w:rPr>
          <w:rFonts w:ascii="仿宋_GB2312" w:eastAsia="仿宋_GB2312" w:hAnsi="Arial" w:cs="Arial" w:hint="eastAsia"/>
          <w:color w:val="000000"/>
          <w:sz w:val="32"/>
          <w:szCs w:val="28"/>
        </w:rPr>
        <w:lastRenderedPageBreak/>
        <w:t>试要求，并形成相应软件测试记录、测试报告以及评审记录，并适时更新。</w:t>
      </w:r>
    </w:p>
    <w:p w:rsidR="00B21435" w:rsidRDefault="00F21DBE">
      <w:pPr>
        <w:pStyle w:val="4"/>
        <w:keepNext w:val="0"/>
        <w:keepLines w:val="0"/>
        <w:ind w:firstLine="640"/>
      </w:pPr>
      <w:bookmarkStart w:id="544" w:name="_Toc11333"/>
      <w:bookmarkStart w:id="545" w:name="_Toc11024"/>
      <w:bookmarkStart w:id="546" w:name="_Toc5987"/>
      <w:bookmarkStart w:id="547" w:name="_Toc2012"/>
      <w:bookmarkStart w:id="548" w:name="_Toc26526"/>
      <w:bookmarkStart w:id="549" w:name="_Toc21896"/>
      <w:bookmarkStart w:id="550" w:name="_Toc32489"/>
      <w:bookmarkStart w:id="551" w:name="_Toc14854"/>
      <w:bookmarkStart w:id="552" w:name="_Toc20196"/>
      <w:bookmarkStart w:id="553" w:name="_Toc2926"/>
      <w:bookmarkStart w:id="554" w:name="_Toc10690"/>
      <w:bookmarkStart w:id="555" w:name="_Toc10491"/>
      <w:r>
        <w:rPr>
          <w:rFonts w:hint="eastAsia"/>
        </w:rPr>
        <w:t>4.</w:t>
      </w:r>
      <w:r>
        <w:rPr>
          <w:rFonts w:hint="eastAsia"/>
        </w:rPr>
        <w:t>计算机软件确认</w:t>
      </w:r>
    </w:p>
    <w:p w:rsidR="00B21435" w:rsidRDefault="00F21DBE">
      <w:pPr>
        <w:numPr>
          <w:ilvl w:val="255"/>
          <w:numId w:val="0"/>
        </w:num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企业应制定计算机软件确认程序文件。企业应对安装在生产设备或监视测量设备软件、检验设备的测试软件和质量管理软件在使用前应进行确认；当软件更改、受计算机病毒侵害等情况发生时，企业应进行再确认。</w:t>
      </w:r>
    </w:p>
    <w:p w:rsidR="00B21435" w:rsidRDefault="00F21DBE">
      <w:pPr>
        <w:pStyle w:val="4"/>
        <w:keepNext w:val="0"/>
        <w:keepLines w:val="0"/>
        <w:ind w:firstLine="640"/>
      </w:pPr>
      <w:r>
        <w:rPr>
          <w:rFonts w:ascii="仿宋_GB2312" w:hAnsi="Arial" w:cs="Arial" w:hint="eastAsia"/>
          <w:color w:val="000000"/>
        </w:rPr>
        <w:t>5</w:t>
      </w:r>
      <w:r>
        <w:rPr>
          <w:rFonts w:hint="eastAsia"/>
        </w:rPr>
        <w:t>.</w:t>
      </w:r>
      <w:r>
        <w:rPr>
          <w:rFonts w:hint="eastAsia"/>
        </w:rPr>
        <w:t>检验过程</w:t>
      </w:r>
      <w:bookmarkEnd w:id="544"/>
      <w:bookmarkEnd w:id="545"/>
      <w:bookmarkEnd w:id="546"/>
      <w:bookmarkEnd w:id="547"/>
      <w:bookmarkEnd w:id="548"/>
      <w:bookmarkEnd w:id="549"/>
      <w:bookmarkEnd w:id="550"/>
      <w:bookmarkEnd w:id="551"/>
      <w:bookmarkEnd w:id="552"/>
      <w:bookmarkEnd w:id="553"/>
      <w:bookmarkEnd w:id="554"/>
      <w:bookmarkEnd w:id="555"/>
    </w:p>
    <w:p w:rsidR="00B21435" w:rsidRDefault="00A62EAD">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1）企业应根据物料的风险程度对关键部件的外协加工采取必要的控制措施，外协供应商应具备关键部件的生产、总装、测试及</w:t>
      </w:r>
      <w:proofErr w:type="gramStart"/>
      <w:r w:rsidR="00F21DBE">
        <w:rPr>
          <w:rFonts w:ascii="仿宋_GB2312" w:eastAsia="仿宋_GB2312" w:hAnsi="Arial" w:cs="Arial" w:hint="eastAsia"/>
          <w:color w:val="000000"/>
          <w:sz w:val="32"/>
          <w:szCs w:val="28"/>
        </w:rPr>
        <w:t>售后维保等</w:t>
      </w:r>
      <w:proofErr w:type="gramEnd"/>
      <w:r w:rsidR="00F21DBE">
        <w:rPr>
          <w:rFonts w:ascii="仿宋_GB2312" w:eastAsia="仿宋_GB2312" w:hAnsi="Arial" w:cs="Arial" w:hint="eastAsia"/>
          <w:color w:val="000000"/>
          <w:sz w:val="32"/>
          <w:szCs w:val="28"/>
        </w:rPr>
        <w:t>能力，企业应定期对关键部件的外协供应商进行评价，评价其生产、质保等能力是否满足要求。企业应与关键部件外协供应商签订采购合同和质量协议，采购合同和质量协议中应明确主要技术指标、验收要求及质保要求等。</w:t>
      </w:r>
    </w:p>
    <w:p w:rsidR="00B21435" w:rsidRDefault="00A62EAD">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2）企业对碳离子/质子治疗系统来料检验、过程检验、成品检验部分内容应按照相关检验规程要求在项目现场开展，并对合格品、不合格品进行标识，便于检查和监控。</w:t>
      </w:r>
    </w:p>
    <w:p w:rsidR="00B21435" w:rsidRDefault="00A62EAD">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3）企业进行常规控制的来料检验、过程检验和成品检验项目，原则上不得进行委托检验。对于检验条件和设备要求较高，确需委托检验的项目，可委托具有资质的机构进行检验，以证明产品符合强制性标准和经注册或者备案的产品技术要求。</w:t>
      </w:r>
    </w:p>
    <w:p w:rsidR="00B21435" w:rsidRDefault="00A62EAD">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4）</w:t>
      </w:r>
      <w:r w:rsidR="00F21DBE">
        <w:rPr>
          <w:rFonts w:ascii="仿宋_GB2312" w:eastAsia="仿宋_GB2312" w:hAnsi="Arial" w:cs="Arial" w:hint="eastAsia"/>
          <w:sz w:val="32"/>
          <w:szCs w:val="28"/>
        </w:rPr>
        <w:t>企业</w:t>
      </w:r>
      <w:r w:rsidR="00F21DBE">
        <w:rPr>
          <w:rFonts w:ascii="仿宋_GB2312" w:eastAsia="仿宋_GB2312" w:hAnsi="Arial" w:cs="Arial" w:hint="eastAsia"/>
          <w:kern w:val="0"/>
          <w:sz w:val="32"/>
          <w:szCs w:val="32"/>
        </w:rPr>
        <w:t>在</w:t>
      </w:r>
      <w:r w:rsidR="00F21DBE">
        <w:rPr>
          <w:rFonts w:ascii="仿宋_GB2312" w:eastAsia="仿宋_GB2312" w:hAnsi="Arial" w:cs="Arial" w:hint="eastAsia"/>
          <w:sz w:val="32"/>
          <w:szCs w:val="28"/>
        </w:rPr>
        <w:t>辐射发射检测报告中应体现项目现场环境</w:t>
      </w:r>
      <w:r w:rsidR="00F21DBE">
        <w:rPr>
          <w:rFonts w:ascii="仿宋_GB2312" w:eastAsia="仿宋_GB2312" w:hAnsi="Arial" w:cs="Arial" w:hint="eastAsia"/>
          <w:sz w:val="32"/>
          <w:szCs w:val="28"/>
        </w:rPr>
        <w:lastRenderedPageBreak/>
        <w:t>本底水平，有特殊频点、频段还应在检测记录中进行说明。</w:t>
      </w:r>
    </w:p>
    <w:p w:rsidR="00B21435" w:rsidRDefault="00A62EAD">
      <w:pPr>
        <w:spacing w:line="560" w:lineRule="exact"/>
        <w:ind w:firstLineChars="200" w:firstLine="640"/>
        <w:rPr>
          <w:rFonts w:ascii="仿宋_GB2312" w:eastAsia="仿宋_GB2312" w:hAnsi="Arial" w:cs="Arial"/>
          <w:sz w:val="32"/>
          <w:szCs w:val="28"/>
        </w:rPr>
      </w:pPr>
      <w:r>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5）</w:t>
      </w:r>
      <w:r w:rsidR="00F21DBE">
        <w:rPr>
          <w:rFonts w:ascii="仿宋_GB2312" w:eastAsia="仿宋_GB2312" w:hAnsi="Arial" w:cs="Arial" w:hint="eastAsia"/>
          <w:kern w:val="0"/>
          <w:sz w:val="32"/>
          <w:szCs w:val="32"/>
        </w:rPr>
        <w:t>企业在</w:t>
      </w:r>
      <w:r w:rsidR="00F21DBE">
        <w:rPr>
          <w:rFonts w:ascii="仿宋_GB2312" w:eastAsia="仿宋_GB2312" w:hAnsi="Arial" w:cs="Arial" w:hint="eastAsia"/>
          <w:sz w:val="32"/>
          <w:szCs w:val="28"/>
        </w:rPr>
        <w:t>进行束流性能、电气安全，图像引导系统（例如：放射治疗X射线图像引导系统、放射治疗CT图像引导系统、放射治疗MR图像引导系统）等性能检测时应对温度、湿度、大气压力按要求进行监测和控制，并保留相关记录。</w:t>
      </w:r>
    </w:p>
    <w:p w:rsidR="00B21435" w:rsidRDefault="00A62EAD">
      <w:pPr>
        <w:spacing w:line="560" w:lineRule="exact"/>
        <w:ind w:firstLineChars="200" w:firstLine="640"/>
        <w:rPr>
          <w:rFonts w:ascii="仿宋_GB2312" w:eastAsia="仿宋_GB2312" w:hAnsi="Arial" w:cs="Arial"/>
          <w:sz w:val="32"/>
          <w:szCs w:val="28"/>
        </w:rPr>
      </w:pPr>
      <w:r>
        <w:rPr>
          <w:rFonts w:ascii="仿宋_GB2312" w:eastAsia="仿宋_GB2312" w:hAnsi="Arial" w:cs="Arial" w:hint="eastAsia"/>
          <w:kern w:val="0"/>
          <w:sz w:val="32"/>
          <w:szCs w:val="32"/>
        </w:rPr>
        <w:t>（</w:t>
      </w:r>
      <w:r w:rsidR="00F21DBE">
        <w:rPr>
          <w:rFonts w:ascii="仿宋_GB2312" w:eastAsia="仿宋_GB2312" w:hAnsi="Arial" w:cs="Arial" w:hint="eastAsia"/>
          <w:kern w:val="0"/>
          <w:sz w:val="32"/>
          <w:szCs w:val="32"/>
        </w:rPr>
        <w:t>6）</w:t>
      </w:r>
      <w:r w:rsidR="00F21DBE">
        <w:rPr>
          <w:rFonts w:ascii="仿宋_GB2312" w:eastAsia="仿宋_GB2312" w:hAnsi="Arial" w:cs="Arial" w:hint="eastAsia"/>
          <w:sz w:val="32"/>
          <w:szCs w:val="28"/>
        </w:rPr>
        <w:t>企业在进行超导磁铁性能检测时应在开阔、通风条件下开展，还应配置低温站、制冷机、恒温器等设施。</w:t>
      </w:r>
    </w:p>
    <w:p w:rsidR="00B21435" w:rsidRDefault="00A62EAD">
      <w:pPr>
        <w:spacing w:line="560" w:lineRule="exact"/>
        <w:ind w:firstLineChars="200" w:firstLine="640"/>
        <w:rPr>
          <w:rFonts w:ascii="仿宋_GB2312" w:eastAsia="仿宋_GB2312" w:hAnsi="Arial" w:cs="Arial"/>
          <w:sz w:val="32"/>
          <w:szCs w:val="28"/>
        </w:rPr>
      </w:pPr>
      <w:r>
        <w:rPr>
          <w:rFonts w:ascii="仿宋_GB2312" w:eastAsia="仿宋_GB2312" w:hAnsi="Arial" w:cs="Arial" w:hint="eastAsia"/>
          <w:sz w:val="32"/>
          <w:szCs w:val="28"/>
        </w:rPr>
        <w:t>（</w:t>
      </w:r>
      <w:r w:rsidR="00F21DBE">
        <w:rPr>
          <w:rFonts w:ascii="仿宋_GB2312" w:eastAsia="仿宋_GB2312" w:hAnsi="Arial" w:cs="Arial" w:hint="eastAsia"/>
          <w:sz w:val="32"/>
          <w:szCs w:val="28"/>
        </w:rPr>
        <w:t>7</w:t>
      </w:r>
      <w:r w:rsidR="00F21DBE">
        <w:rPr>
          <w:rFonts w:ascii="仿宋_GB2312" w:eastAsia="仿宋_GB2312" w:hAnsi="Arial" w:cs="Arial" w:hint="eastAsia"/>
          <w:color w:val="000000"/>
          <w:sz w:val="32"/>
          <w:szCs w:val="28"/>
        </w:rPr>
        <w:t>）束流性能</w:t>
      </w:r>
      <w:r w:rsidR="00F21DBE">
        <w:rPr>
          <w:rFonts w:ascii="仿宋_GB2312" w:eastAsia="仿宋_GB2312" w:hAnsi="Arial" w:cs="Arial"/>
          <w:sz w:val="32"/>
          <w:szCs w:val="28"/>
        </w:rPr>
        <w:t>检验内容</w:t>
      </w:r>
      <w:r w:rsidR="00F21DBE">
        <w:rPr>
          <w:rFonts w:ascii="仿宋_GB2312" w:eastAsia="仿宋_GB2312" w:hAnsi="Arial" w:cs="Arial" w:hint="eastAsia"/>
          <w:sz w:val="32"/>
          <w:szCs w:val="28"/>
        </w:rPr>
        <w:t>应</w:t>
      </w:r>
      <w:r w:rsidR="00F21DBE">
        <w:rPr>
          <w:rFonts w:ascii="仿宋_GB2312" w:eastAsia="仿宋_GB2312" w:hAnsi="Arial" w:cs="Arial"/>
          <w:sz w:val="32"/>
          <w:szCs w:val="28"/>
        </w:rPr>
        <w:t>包括</w:t>
      </w:r>
      <w:r w:rsidR="00F21DBE">
        <w:rPr>
          <w:rFonts w:ascii="仿宋_GB2312" w:eastAsia="仿宋_GB2312" w:hAnsi="Arial" w:cs="Arial" w:hint="eastAsia"/>
          <w:sz w:val="32"/>
          <w:szCs w:val="28"/>
        </w:rPr>
        <w:t>：</w:t>
      </w:r>
      <w:r w:rsidR="00F21DBE">
        <w:rPr>
          <w:rFonts w:ascii="仿宋_GB2312" w:eastAsia="仿宋_GB2312" w:hAnsi="Arial" w:cs="Arial"/>
          <w:sz w:val="32"/>
          <w:szCs w:val="28"/>
        </w:rPr>
        <w:t>虚拟源轴距，时间约束，剂量监测系统的线性、重复性、稳定性、离轴响应，深度剂量分布，射程稳定性，均匀扫描及调制扫描的横向曲线，规定体积的辐照时间，治疗计划系统剂量计算准确性等。</w:t>
      </w:r>
    </w:p>
    <w:p w:rsidR="00B21435" w:rsidRDefault="00A62EAD">
      <w:pPr>
        <w:spacing w:line="560" w:lineRule="exact"/>
        <w:ind w:firstLineChars="200" w:firstLine="640"/>
        <w:rPr>
          <w:rFonts w:ascii="仿宋_GB2312" w:eastAsia="仿宋_GB2312" w:hAnsi="Arial" w:cs="Arial"/>
          <w:sz w:val="32"/>
          <w:szCs w:val="28"/>
        </w:rPr>
      </w:pPr>
      <w:r>
        <w:rPr>
          <w:rFonts w:ascii="仿宋_GB2312" w:eastAsia="仿宋_GB2312" w:hAnsi="Arial" w:cs="Arial" w:hint="eastAsia"/>
          <w:sz w:val="32"/>
          <w:szCs w:val="28"/>
        </w:rPr>
        <w:t>（</w:t>
      </w:r>
      <w:r w:rsidR="00F21DBE">
        <w:rPr>
          <w:rFonts w:ascii="仿宋_GB2312" w:eastAsia="仿宋_GB2312" w:hAnsi="Arial" w:cs="Arial" w:hint="eastAsia"/>
          <w:sz w:val="32"/>
          <w:szCs w:val="28"/>
        </w:rPr>
        <w:t>8）必要时，企业应配备满足三坐标测量要求的恒温间。</w:t>
      </w:r>
    </w:p>
    <w:p w:rsidR="00B21435" w:rsidRDefault="00A62EAD">
      <w:pPr>
        <w:spacing w:line="560" w:lineRule="exact"/>
        <w:ind w:firstLineChars="200" w:firstLine="640"/>
        <w:rPr>
          <w:rFonts w:ascii="仿宋_GB2312" w:eastAsia="仿宋_GB2312" w:hAnsi="Arial" w:cs="Arial"/>
          <w:sz w:val="32"/>
          <w:szCs w:val="28"/>
        </w:rPr>
      </w:pPr>
      <w:r>
        <w:rPr>
          <w:rFonts w:ascii="仿宋_GB2312" w:eastAsia="仿宋_GB2312" w:hAnsi="Arial" w:cs="Arial" w:hint="eastAsia"/>
          <w:sz w:val="32"/>
          <w:szCs w:val="28"/>
        </w:rPr>
        <w:t>（</w:t>
      </w:r>
      <w:r w:rsidR="00F21DBE">
        <w:rPr>
          <w:rFonts w:ascii="仿宋_GB2312" w:eastAsia="仿宋_GB2312" w:hAnsi="Arial" w:cs="Arial" w:hint="eastAsia"/>
          <w:sz w:val="32"/>
          <w:szCs w:val="28"/>
        </w:rPr>
        <w:t>9）</w:t>
      </w:r>
      <w:r w:rsidR="00F21DBE">
        <w:rPr>
          <w:rFonts w:ascii="仿宋_GB2312" w:eastAsia="仿宋_GB2312" w:hAnsi="Arial" w:cs="Arial" w:hint="eastAsia"/>
          <w:color w:val="000000"/>
          <w:sz w:val="32"/>
          <w:szCs w:val="28"/>
        </w:rPr>
        <w:t>企业进行注册检验时，可</w:t>
      </w:r>
      <w:r w:rsidR="00F21DBE">
        <w:rPr>
          <w:rFonts w:ascii="仿宋_GB2312" w:eastAsia="仿宋_GB2312" w:hAnsi="Arial" w:cs="Arial"/>
          <w:sz w:val="32"/>
          <w:szCs w:val="28"/>
        </w:rPr>
        <w:t>委托具有检验资质的第三方检验机构</w:t>
      </w:r>
      <w:r w:rsidR="00F21DBE">
        <w:rPr>
          <w:rFonts w:ascii="仿宋_GB2312" w:eastAsia="仿宋_GB2312" w:hAnsi="Arial" w:cs="Arial" w:hint="eastAsia"/>
          <w:sz w:val="32"/>
          <w:szCs w:val="28"/>
        </w:rPr>
        <w:t>按照产品技术要求</w:t>
      </w:r>
      <w:r w:rsidR="00F21DBE">
        <w:rPr>
          <w:rFonts w:ascii="仿宋_GB2312" w:eastAsia="仿宋_GB2312" w:hAnsi="Arial" w:cs="Arial"/>
          <w:sz w:val="32"/>
          <w:szCs w:val="28"/>
        </w:rPr>
        <w:t>对碳离子/质子治疗系统进行检验</w:t>
      </w:r>
      <w:r w:rsidR="00F21DBE">
        <w:rPr>
          <w:rFonts w:ascii="仿宋_GB2312" w:eastAsia="仿宋_GB2312" w:hAnsi="Arial" w:cs="Arial" w:hint="eastAsia"/>
          <w:sz w:val="32"/>
          <w:szCs w:val="28"/>
        </w:rPr>
        <w:t>，如企业开展注册自检，应</w:t>
      </w:r>
      <w:r w:rsidR="00F21DBE">
        <w:rPr>
          <w:rFonts w:ascii="仿宋_GB2312" w:eastAsia="仿宋_GB2312" w:hAnsi="Arial" w:cs="Arial"/>
          <w:sz w:val="32"/>
          <w:szCs w:val="28"/>
        </w:rPr>
        <w:t>建立符合法规要求的自检体系</w:t>
      </w:r>
      <w:r w:rsidR="00F21DBE">
        <w:rPr>
          <w:rFonts w:ascii="仿宋_GB2312" w:eastAsia="仿宋_GB2312" w:hAnsi="Arial" w:cs="Arial" w:hint="eastAsia"/>
          <w:sz w:val="32"/>
          <w:szCs w:val="28"/>
        </w:rPr>
        <w:t>。</w:t>
      </w:r>
    </w:p>
    <w:p w:rsidR="00B21435" w:rsidRDefault="00F21DBE">
      <w:pPr>
        <w:pStyle w:val="4"/>
        <w:keepNext w:val="0"/>
        <w:keepLines w:val="0"/>
        <w:ind w:firstLine="640"/>
      </w:pPr>
      <w:r>
        <w:rPr>
          <w:rFonts w:hint="eastAsia"/>
        </w:rPr>
        <w:t>6.</w:t>
      </w:r>
      <w:r>
        <w:rPr>
          <w:rFonts w:hint="eastAsia"/>
        </w:rPr>
        <w:t>不合格品控制</w:t>
      </w:r>
    </w:p>
    <w:p w:rsidR="00B21435" w:rsidRDefault="00A62EAD">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1）企业应建立碳离子/质子治疗系统不合格品控制程序，规定不合格品控制的部门和人员的职责与权限。</w:t>
      </w:r>
    </w:p>
    <w:p w:rsidR="00B21435" w:rsidRDefault="00A62EAD">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2）企业应明确不合格物料的识别、记录、隔离和评审流程，根据评审结果，对不合格物</w:t>
      </w:r>
      <w:proofErr w:type="gramStart"/>
      <w:r w:rsidR="00F21DBE">
        <w:rPr>
          <w:rFonts w:ascii="仿宋_GB2312" w:eastAsia="仿宋_GB2312" w:hAnsi="Arial" w:cs="Arial" w:hint="eastAsia"/>
          <w:color w:val="000000"/>
          <w:sz w:val="32"/>
          <w:szCs w:val="28"/>
        </w:rPr>
        <w:t>料采取</w:t>
      </w:r>
      <w:proofErr w:type="gramEnd"/>
      <w:r w:rsidR="00F21DBE">
        <w:rPr>
          <w:rFonts w:ascii="仿宋_GB2312" w:eastAsia="仿宋_GB2312" w:hAnsi="Arial" w:cs="Arial" w:hint="eastAsia"/>
          <w:color w:val="000000"/>
          <w:sz w:val="32"/>
          <w:szCs w:val="28"/>
        </w:rPr>
        <w:t>相应的处置措施。</w:t>
      </w:r>
    </w:p>
    <w:p w:rsidR="00B21435" w:rsidRDefault="00A62EAD">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3）企业应按程序文件要求对不合格物料进行分门归类、原因分析，纠正预防措施应合理、有效。必要时，应进行评审，且保留评审记录。</w:t>
      </w:r>
    </w:p>
    <w:p w:rsidR="00B21435" w:rsidRDefault="00A62EAD">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lastRenderedPageBreak/>
        <w:t>（</w:t>
      </w:r>
      <w:r w:rsidR="00F21DBE">
        <w:rPr>
          <w:rFonts w:ascii="仿宋_GB2312" w:eastAsia="仿宋_GB2312" w:hAnsi="Arial" w:cs="Arial" w:hint="eastAsia"/>
          <w:color w:val="000000"/>
          <w:sz w:val="32"/>
          <w:szCs w:val="28"/>
        </w:rPr>
        <w:t>4）企业应对可以返工的不合格物料</w:t>
      </w:r>
      <w:proofErr w:type="gramStart"/>
      <w:r w:rsidR="00F21DBE">
        <w:rPr>
          <w:rFonts w:ascii="仿宋_GB2312" w:eastAsia="仿宋_GB2312" w:hAnsi="Arial" w:cs="Arial" w:hint="eastAsia"/>
          <w:color w:val="000000"/>
          <w:sz w:val="32"/>
          <w:szCs w:val="28"/>
        </w:rPr>
        <w:t>作出</w:t>
      </w:r>
      <w:proofErr w:type="gramEnd"/>
      <w:r w:rsidR="00F21DBE">
        <w:rPr>
          <w:rFonts w:ascii="仿宋_GB2312" w:eastAsia="仿宋_GB2312" w:hAnsi="Arial" w:cs="Arial" w:hint="eastAsia"/>
          <w:color w:val="000000"/>
          <w:sz w:val="32"/>
          <w:szCs w:val="28"/>
        </w:rPr>
        <w:t>规定，应按照返工文件要求进行返工活动，并记录。</w:t>
      </w:r>
    </w:p>
    <w:p w:rsidR="00B21435" w:rsidRDefault="00A62EAD">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5）企业应建立不合格物料处置记录，记录内容应完整且能有效反映处置的过程，满足可追溯要求。</w:t>
      </w:r>
    </w:p>
    <w:p w:rsidR="00B21435" w:rsidRDefault="00F21DBE">
      <w:pPr>
        <w:spacing w:line="560" w:lineRule="exact"/>
        <w:ind w:firstLineChars="200" w:firstLine="640"/>
        <w:outlineLvl w:val="3"/>
        <w:rPr>
          <w:rFonts w:ascii="仿宋_GB2312" w:eastAsia="仿宋_GB2312" w:hAnsi="Arial" w:cs="Arial"/>
          <w:color w:val="000000"/>
          <w:sz w:val="32"/>
          <w:szCs w:val="28"/>
        </w:rPr>
      </w:pPr>
      <w:r>
        <w:rPr>
          <w:rFonts w:ascii="仿宋_GB2312" w:eastAsia="仿宋_GB2312" w:hAnsi="Arial" w:cs="Arial" w:hint="eastAsia"/>
          <w:color w:val="000000"/>
          <w:sz w:val="32"/>
          <w:szCs w:val="28"/>
        </w:rPr>
        <w:t>7.运行维护</w:t>
      </w:r>
    </w:p>
    <w:p w:rsidR="00B21435" w:rsidRDefault="00A62EAD">
      <w:pPr>
        <w:spacing w:line="560" w:lineRule="exact"/>
        <w:ind w:firstLineChars="200" w:firstLine="640"/>
        <w:rPr>
          <w:rFonts w:ascii="仿宋_GB2312" w:eastAsia="仿宋_GB2312" w:hAnsi="仿宋_GB2312" w:cs="仿宋_GB2312"/>
          <w:color w:val="000000"/>
          <w:sz w:val="32"/>
          <w:szCs w:val="28"/>
        </w:rPr>
      </w:pPr>
      <w:r>
        <w:rPr>
          <w:rFonts w:ascii="仿宋_GB2312" w:eastAsia="仿宋_GB2312" w:hAnsi="仿宋_GB2312" w:cs="仿宋_GB2312" w:hint="eastAsia"/>
          <w:color w:val="000000"/>
          <w:sz w:val="32"/>
          <w:szCs w:val="28"/>
        </w:rPr>
        <w:t>（</w:t>
      </w:r>
      <w:r w:rsidR="00F21DBE">
        <w:rPr>
          <w:rFonts w:ascii="仿宋_GB2312" w:eastAsia="仿宋_GB2312" w:hAnsi="仿宋_GB2312" w:cs="仿宋_GB2312" w:hint="eastAsia"/>
          <w:color w:val="000000"/>
          <w:sz w:val="32"/>
          <w:szCs w:val="28"/>
        </w:rPr>
        <w:t>1）企业应建立碳离子/质子治疗系统运行维护程序文件，并根据产品特性建立可以保证成品安全、有效的运行维护计划，按照运行维护的计划等要求执行运行维护过程。</w:t>
      </w:r>
    </w:p>
    <w:p w:rsidR="00B21435" w:rsidRDefault="00A62EAD">
      <w:pPr>
        <w:spacing w:line="560" w:lineRule="exact"/>
        <w:ind w:firstLineChars="200" w:firstLine="640"/>
        <w:rPr>
          <w:rFonts w:ascii="仿宋_GB2312" w:eastAsia="仿宋_GB2312" w:hAnsi="仿宋_GB2312" w:cs="仿宋_GB2312"/>
          <w:color w:val="000000"/>
          <w:sz w:val="32"/>
          <w:szCs w:val="28"/>
        </w:rPr>
      </w:pPr>
      <w:r>
        <w:rPr>
          <w:rFonts w:ascii="仿宋_GB2312" w:eastAsia="仿宋_GB2312" w:hAnsi="仿宋_GB2312" w:cs="仿宋_GB2312" w:hint="eastAsia"/>
          <w:color w:val="000000"/>
          <w:sz w:val="32"/>
          <w:szCs w:val="28"/>
        </w:rPr>
        <w:t>（</w:t>
      </w:r>
      <w:r w:rsidR="00F21DBE">
        <w:rPr>
          <w:rFonts w:ascii="仿宋_GB2312" w:eastAsia="仿宋_GB2312" w:hAnsi="仿宋_GB2312" w:cs="仿宋_GB2312" w:hint="eastAsia"/>
          <w:color w:val="000000"/>
          <w:sz w:val="32"/>
          <w:szCs w:val="28"/>
        </w:rPr>
        <w:t>2）企业</w:t>
      </w:r>
      <w:proofErr w:type="gramStart"/>
      <w:r w:rsidR="00F21DBE">
        <w:rPr>
          <w:rFonts w:ascii="仿宋_GB2312" w:eastAsia="仿宋_GB2312" w:hAnsi="仿宋_GB2312" w:cs="仿宋_GB2312" w:hint="eastAsia"/>
          <w:color w:val="000000"/>
          <w:sz w:val="32"/>
          <w:szCs w:val="28"/>
        </w:rPr>
        <w:t>应制定运维</w:t>
      </w:r>
      <w:proofErr w:type="gramEnd"/>
      <w:r w:rsidR="00F21DBE">
        <w:rPr>
          <w:rFonts w:ascii="仿宋_GB2312" w:eastAsia="仿宋_GB2312" w:hAnsi="仿宋_GB2312" w:cs="仿宋_GB2312" w:hint="eastAsia"/>
          <w:color w:val="000000"/>
          <w:sz w:val="32"/>
          <w:szCs w:val="28"/>
        </w:rPr>
        <w:t>质量控制要求，并按要求执行QA，确保质控达标后交付院方使用。</w:t>
      </w:r>
    </w:p>
    <w:p w:rsidR="00B21435" w:rsidRDefault="00F21DBE">
      <w:pPr>
        <w:spacing w:line="560" w:lineRule="exact"/>
        <w:ind w:firstLineChars="200" w:firstLine="640"/>
        <w:outlineLvl w:val="3"/>
        <w:rPr>
          <w:rFonts w:ascii="仿宋_GB2312" w:eastAsia="仿宋_GB2312" w:hAnsi="Arial" w:cs="Arial"/>
          <w:color w:val="000000"/>
          <w:sz w:val="32"/>
          <w:szCs w:val="28"/>
        </w:rPr>
      </w:pPr>
      <w:r>
        <w:rPr>
          <w:rFonts w:ascii="仿宋_GB2312" w:eastAsia="仿宋_GB2312" w:hAnsi="Arial" w:cs="Arial" w:hint="eastAsia"/>
          <w:color w:val="000000"/>
          <w:sz w:val="32"/>
          <w:szCs w:val="28"/>
        </w:rPr>
        <w:t>8.记录要求</w:t>
      </w:r>
    </w:p>
    <w:p w:rsidR="00B21435" w:rsidRDefault="00F21DBE">
      <w:pPr>
        <w:spacing w:line="560" w:lineRule="exact"/>
        <w:ind w:firstLineChars="200" w:firstLine="640"/>
        <w:rPr>
          <w:rFonts w:ascii="仿宋_GB2312" w:eastAsia="仿宋_GB2312" w:hAnsi="Arial" w:cs="Arial"/>
          <w:color w:val="000000"/>
          <w:sz w:val="32"/>
          <w:szCs w:val="28"/>
        </w:rPr>
      </w:pPr>
      <w:bookmarkStart w:id="556" w:name="_Toc32472"/>
      <w:bookmarkStart w:id="557" w:name="_Toc29303"/>
      <w:bookmarkStart w:id="558" w:name="_Toc10194"/>
      <w:bookmarkStart w:id="559" w:name="_Toc8387"/>
      <w:bookmarkStart w:id="560" w:name="_Toc4370"/>
      <w:bookmarkStart w:id="561" w:name="_Toc15059"/>
      <w:bookmarkStart w:id="562" w:name="_Toc12754"/>
      <w:bookmarkStart w:id="563" w:name="_Toc14505"/>
      <w:bookmarkStart w:id="564" w:name="_Toc13986"/>
      <w:bookmarkStart w:id="565" w:name="_Toc32031"/>
      <w:bookmarkStart w:id="566" w:name="_Toc28623"/>
      <w:bookmarkStart w:id="567" w:name="_Toc25782"/>
      <w:bookmarkStart w:id="568" w:name="_Toc8100"/>
      <w:r>
        <w:rPr>
          <w:rFonts w:ascii="仿宋_GB2312" w:eastAsia="仿宋_GB2312" w:hAnsi="仿宋_GB2312" w:cs="仿宋_GB2312" w:hint="eastAsia"/>
          <w:color w:val="000000"/>
          <w:sz w:val="32"/>
          <w:szCs w:val="28"/>
        </w:rPr>
        <w:t>质量控制过程中产生的记录应完整、可追溯。</w:t>
      </w:r>
    </w:p>
    <w:p w:rsidR="00B21435" w:rsidRDefault="00F21DBE">
      <w:pPr>
        <w:spacing w:line="560" w:lineRule="exact"/>
        <w:ind w:firstLineChars="200" w:firstLine="640"/>
        <w:outlineLvl w:val="2"/>
        <w:rPr>
          <w:rFonts w:ascii="楷体" w:eastAsia="楷体" w:hAnsi="楷体" w:cs="楷体"/>
          <w:sz w:val="32"/>
          <w:szCs w:val="32"/>
        </w:rPr>
      </w:pPr>
      <w:r>
        <w:rPr>
          <w:rFonts w:ascii="楷体" w:eastAsia="楷体" w:hAnsi="楷体" w:cs="楷体" w:hint="eastAsia"/>
          <w:sz w:val="32"/>
          <w:szCs w:val="32"/>
        </w:rPr>
        <w:t>（九）销售和售后服务</w:t>
      </w:r>
      <w:bookmarkEnd w:id="556"/>
      <w:bookmarkEnd w:id="557"/>
      <w:bookmarkEnd w:id="558"/>
      <w:bookmarkEnd w:id="559"/>
      <w:bookmarkEnd w:id="560"/>
      <w:bookmarkEnd w:id="561"/>
      <w:bookmarkEnd w:id="562"/>
      <w:bookmarkEnd w:id="563"/>
      <w:bookmarkEnd w:id="564"/>
      <w:bookmarkEnd w:id="565"/>
      <w:bookmarkEnd w:id="566"/>
      <w:bookmarkEnd w:id="567"/>
      <w:bookmarkEnd w:id="568"/>
    </w:p>
    <w:p w:rsidR="00B21435" w:rsidRDefault="00F21DBE">
      <w:pPr>
        <w:spacing w:line="560" w:lineRule="exact"/>
        <w:ind w:firstLineChars="200" w:firstLine="640"/>
        <w:rPr>
          <w:rFonts w:ascii="仿宋_GB2312" w:eastAsia="仿宋_GB2312" w:hAnsi="仿宋_GB2312" w:cs="仿宋_GB2312"/>
          <w:color w:val="000000"/>
          <w:sz w:val="32"/>
          <w:szCs w:val="32"/>
          <w:shd w:val="clear" w:color="auto" w:fill="FFFFFF"/>
        </w:rPr>
      </w:pPr>
      <w:r>
        <w:rPr>
          <w:rFonts w:ascii="仿宋_GB2312" w:eastAsia="仿宋_GB2312" w:hAnsi="仿宋_GB2312" w:cs="仿宋_GB2312" w:hint="eastAsia"/>
          <w:color w:val="000000"/>
          <w:sz w:val="32"/>
          <w:szCs w:val="32"/>
          <w:shd w:val="clear" w:color="auto" w:fill="FFFFFF"/>
        </w:rPr>
        <w:t>企业应对产品销售、售后服务等过程实施控制，建立销售、售后服务控制文件，有效保障产品在临床使用的安全性和有效性。</w:t>
      </w:r>
    </w:p>
    <w:p w:rsidR="00B21435" w:rsidRDefault="00F21DBE">
      <w:pPr>
        <w:spacing w:line="560" w:lineRule="exact"/>
        <w:ind w:firstLineChars="200" w:firstLine="640"/>
        <w:outlineLvl w:val="3"/>
        <w:rPr>
          <w:rFonts w:ascii="仿宋_GB2312" w:eastAsia="仿宋_GB2312" w:hAnsi="Arial" w:cs="Arial"/>
          <w:color w:val="000000"/>
          <w:sz w:val="32"/>
          <w:szCs w:val="28"/>
        </w:rPr>
      </w:pPr>
      <w:r>
        <w:rPr>
          <w:rFonts w:ascii="仿宋_GB2312" w:eastAsia="仿宋_GB2312" w:hAnsi="Arial" w:cs="Arial" w:hint="eastAsia"/>
          <w:color w:val="000000"/>
          <w:sz w:val="32"/>
          <w:szCs w:val="28"/>
        </w:rPr>
        <w:t>1</w:t>
      </w:r>
      <w:r w:rsidR="00A62EAD">
        <w:rPr>
          <w:rFonts w:ascii="仿宋_GB2312" w:eastAsia="仿宋_GB2312" w:hAnsi="Arial" w:cs="Arial" w:hint="eastAsia"/>
          <w:color w:val="000000"/>
          <w:sz w:val="32"/>
          <w:szCs w:val="28"/>
        </w:rPr>
        <w:t>.</w:t>
      </w:r>
      <w:r>
        <w:rPr>
          <w:rFonts w:ascii="仿宋_GB2312" w:eastAsia="仿宋_GB2312" w:hAnsi="Arial" w:cs="Arial" w:hint="eastAsia"/>
          <w:color w:val="000000"/>
          <w:sz w:val="32"/>
          <w:szCs w:val="28"/>
        </w:rPr>
        <w:t>销售</w:t>
      </w:r>
    </w:p>
    <w:p w:rsidR="00B21435" w:rsidRDefault="00A62EAD">
      <w:pPr>
        <w:spacing w:line="560" w:lineRule="exact"/>
        <w:ind w:firstLineChars="200" w:firstLine="640"/>
        <w:rPr>
          <w:rFonts w:ascii="仿宋_GB2312" w:eastAsia="仿宋_GB2312" w:hAnsi="仿宋_GB2312" w:cs="仿宋_GB2312"/>
          <w:color w:val="000000"/>
          <w:sz w:val="32"/>
          <w:szCs w:val="32"/>
          <w:shd w:val="clear" w:color="auto" w:fill="FFFFFF"/>
        </w:rPr>
      </w:pPr>
      <w:r>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1）企业应建立</w:t>
      </w:r>
      <w:r w:rsidR="00F21DBE">
        <w:rPr>
          <w:rFonts w:ascii="仿宋_GB2312" w:eastAsia="仿宋_GB2312" w:hAnsi="仿宋_GB2312" w:cs="仿宋_GB2312" w:hint="eastAsia"/>
          <w:color w:val="000000"/>
          <w:sz w:val="32"/>
          <w:szCs w:val="32"/>
          <w:shd w:val="clear" w:color="auto" w:fill="FFFFFF"/>
        </w:rPr>
        <w:t>产品销售相关制度，产品销售记录应满足可追溯性要求，销售记录至少应包含：销售产品名称、规格型号、产品编号、数量、有效期、销售日期、购货单位名称、单位地址、联系方式等。</w:t>
      </w:r>
    </w:p>
    <w:p w:rsidR="00B21435" w:rsidRDefault="00A62EAD">
      <w:pPr>
        <w:spacing w:line="560" w:lineRule="exact"/>
        <w:ind w:firstLineChars="200" w:firstLine="640"/>
        <w:rPr>
          <w:rFonts w:ascii="仿宋_GB2312" w:eastAsia="仿宋_GB2312" w:hAnsi="仿宋_GB2312" w:cs="仿宋_GB2312"/>
          <w:color w:val="000000"/>
          <w:sz w:val="32"/>
          <w:szCs w:val="32"/>
          <w:shd w:val="clear" w:color="auto" w:fill="FFFFFF"/>
        </w:rPr>
      </w:pPr>
      <w:r>
        <w:rPr>
          <w:rFonts w:ascii="仿宋_GB2312" w:eastAsia="仿宋_GB2312" w:hAnsi="Arial" w:cs="Arial" w:hint="eastAsia"/>
          <w:color w:val="000000"/>
          <w:sz w:val="32"/>
          <w:szCs w:val="28"/>
        </w:rPr>
        <w:t>（</w:t>
      </w:r>
      <w:r w:rsidR="00F21DBE">
        <w:rPr>
          <w:rFonts w:ascii="仿宋_GB2312" w:eastAsia="仿宋_GB2312" w:hAnsi="仿宋_GB2312" w:cs="仿宋_GB2312" w:hint="eastAsia"/>
          <w:color w:val="000000"/>
          <w:sz w:val="32"/>
          <w:szCs w:val="32"/>
          <w:shd w:val="clear" w:color="auto" w:fill="FFFFFF"/>
        </w:rPr>
        <w:t>2）企业应与客户签订销售合同或协议，销售合同或协议至少应包含：</w:t>
      </w:r>
    </w:p>
    <w:p w:rsidR="00B21435" w:rsidRDefault="00F21DBE">
      <w:pPr>
        <w:spacing w:line="560" w:lineRule="exact"/>
        <w:ind w:firstLineChars="200" w:firstLine="640"/>
        <w:rPr>
          <w:rFonts w:ascii="仿宋_GB2312" w:eastAsia="仿宋_GB2312" w:hAnsi="仿宋_GB2312" w:cs="仿宋_GB2312"/>
          <w:color w:val="000000"/>
          <w:sz w:val="32"/>
          <w:szCs w:val="32"/>
          <w:shd w:val="clear" w:color="auto" w:fill="FFFFFF"/>
        </w:rPr>
      </w:pPr>
      <w:r>
        <w:rPr>
          <w:rFonts w:ascii="仿宋_GB2312" w:eastAsia="仿宋_GB2312" w:hAnsi="仿宋_GB2312" w:cs="仿宋_GB2312" w:hint="eastAsia"/>
          <w:color w:val="000000"/>
          <w:sz w:val="32"/>
          <w:szCs w:val="32"/>
          <w:shd w:val="clear" w:color="auto" w:fill="FFFFFF"/>
        </w:rPr>
        <w:fldChar w:fldCharType="begin"/>
      </w:r>
      <w:r>
        <w:rPr>
          <w:rFonts w:ascii="仿宋_GB2312" w:eastAsia="仿宋_GB2312" w:hAnsi="仿宋_GB2312" w:cs="仿宋_GB2312" w:hint="eastAsia"/>
          <w:color w:val="000000"/>
          <w:sz w:val="32"/>
          <w:szCs w:val="32"/>
          <w:shd w:val="clear" w:color="auto" w:fill="FFFFFF"/>
        </w:rPr>
        <w:instrText xml:space="preserve"> = 1 \* GB3 \* MERGEFORMAT </w:instrText>
      </w:r>
      <w:r>
        <w:rPr>
          <w:rFonts w:ascii="仿宋_GB2312" w:eastAsia="仿宋_GB2312" w:hAnsi="仿宋_GB2312" w:cs="仿宋_GB2312" w:hint="eastAsia"/>
          <w:color w:val="000000"/>
          <w:sz w:val="32"/>
          <w:szCs w:val="32"/>
          <w:shd w:val="clear" w:color="auto" w:fill="FFFFFF"/>
        </w:rPr>
        <w:fldChar w:fldCharType="separate"/>
      </w:r>
      <w:r>
        <w:rPr>
          <w:rFonts w:ascii="仿宋_GB2312" w:eastAsia="仿宋_GB2312" w:hAnsi="仿宋_GB2312" w:cs="仿宋_GB2312" w:hint="eastAsia"/>
          <w:sz w:val="32"/>
          <w:szCs w:val="32"/>
        </w:rPr>
        <w:t>①</w:t>
      </w:r>
      <w:r>
        <w:rPr>
          <w:rFonts w:ascii="仿宋_GB2312" w:eastAsia="仿宋_GB2312" w:hAnsi="仿宋_GB2312" w:cs="仿宋_GB2312" w:hint="eastAsia"/>
          <w:color w:val="000000"/>
          <w:sz w:val="32"/>
          <w:szCs w:val="32"/>
          <w:shd w:val="clear" w:color="auto" w:fill="FFFFFF"/>
        </w:rPr>
        <w:fldChar w:fldCharType="end"/>
      </w:r>
      <w:r>
        <w:rPr>
          <w:rFonts w:ascii="仿宋_GB2312" w:eastAsia="仿宋_GB2312" w:hAnsi="仿宋_GB2312" w:cs="仿宋_GB2312" w:hint="eastAsia"/>
          <w:color w:val="000000"/>
          <w:sz w:val="32"/>
          <w:szCs w:val="32"/>
          <w:shd w:val="clear" w:color="auto" w:fill="FFFFFF"/>
        </w:rPr>
        <w:t>甲乙双方的权利义务、质量保证及售后服务、项目进</w:t>
      </w:r>
      <w:r>
        <w:rPr>
          <w:rFonts w:ascii="仿宋_GB2312" w:eastAsia="仿宋_GB2312" w:hAnsi="仿宋_GB2312" w:cs="仿宋_GB2312" w:hint="eastAsia"/>
          <w:color w:val="000000"/>
          <w:sz w:val="32"/>
          <w:szCs w:val="32"/>
          <w:shd w:val="clear" w:color="auto" w:fill="FFFFFF"/>
        </w:rPr>
        <w:lastRenderedPageBreak/>
        <w:t>度计划及合同验收、知识产权、保密条款、违约条款以及合同的生效、变更、解除、终止等。</w:t>
      </w:r>
    </w:p>
    <w:p w:rsidR="00B21435" w:rsidRDefault="00F21DBE">
      <w:pPr>
        <w:spacing w:line="560" w:lineRule="exact"/>
        <w:ind w:firstLineChars="200" w:firstLine="640"/>
        <w:rPr>
          <w:rFonts w:ascii="仿宋_GB2312" w:eastAsia="仿宋_GB2312" w:hAnsi="仿宋_GB2312" w:cs="仿宋_GB2312"/>
          <w:color w:val="000000"/>
          <w:sz w:val="32"/>
          <w:szCs w:val="32"/>
          <w:shd w:val="clear" w:color="auto" w:fill="FFFFFF"/>
        </w:rPr>
      </w:pPr>
      <w:r>
        <w:rPr>
          <w:rFonts w:ascii="仿宋_GB2312" w:eastAsia="仿宋_GB2312" w:hAnsi="仿宋_GB2312" w:cs="仿宋_GB2312" w:hint="eastAsia"/>
          <w:color w:val="000000"/>
          <w:sz w:val="32"/>
          <w:szCs w:val="32"/>
          <w:shd w:val="clear" w:color="auto" w:fill="FFFFFF"/>
        </w:rPr>
        <w:fldChar w:fldCharType="begin"/>
      </w:r>
      <w:r>
        <w:rPr>
          <w:rFonts w:ascii="仿宋_GB2312" w:eastAsia="仿宋_GB2312" w:hAnsi="仿宋_GB2312" w:cs="仿宋_GB2312" w:hint="eastAsia"/>
          <w:color w:val="000000"/>
          <w:sz w:val="32"/>
          <w:szCs w:val="32"/>
          <w:shd w:val="clear" w:color="auto" w:fill="FFFFFF"/>
        </w:rPr>
        <w:instrText xml:space="preserve"> = 2 \* GB3 \* MERGEFORMAT </w:instrText>
      </w:r>
      <w:r>
        <w:rPr>
          <w:rFonts w:ascii="仿宋_GB2312" w:eastAsia="仿宋_GB2312" w:hAnsi="仿宋_GB2312" w:cs="仿宋_GB2312" w:hint="eastAsia"/>
          <w:color w:val="000000"/>
          <w:sz w:val="32"/>
          <w:szCs w:val="32"/>
          <w:shd w:val="clear" w:color="auto" w:fill="FFFFFF"/>
        </w:rPr>
        <w:fldChar w:fldCharType="separate"/>
      </w:r>
      <w:r>
        <w:rPr>
          <w:rFonts w:ascii="仿宋_GB2312" w:eastAsia="仿宋_GB2312" w:hAnsi="仿宋_GB2312" w:cs="仿宋_GB2312" w:hint="eastAsia"/>
          <w:color w:val="000000"/>
          <w:sz w:val="32"/>
          <w:szCs w:val="32"/>
          <w:shd w:val="clear" w:color="auto" w:fill="FFFFFF"/>
        </w:rPr>
        <w:t>②</w:t>
      </w:r>
      <w:r>
        <w:rPr>
          <w:rFonts w:ascii="仿宋_GB2312" w:eastAsia="仿宋_GB2312" w:hAnsi="仿宋_GB2312" w:cs="仿宋_GB2312" w:hint="eastAsia"/>
          <w:color w:val="000000"/>
          <w:sz w:val="32"/>
          <w:szCs w:val="32"/>
          <w:shd w:val="clear" w:color="auto" w:fill="FFFFFF"/>
        </w:rPr>
        <w:fldChar w:fldCharType="end"/>
      </w:r>
      <w:r>
        <w:rPr>
          <w:rFonts w:ascii="仿宋_GB2312" w:eastAsia="仿宋_GB2312" w:hAnsi="仿宋_GB2312" w:cs="仿宋_GB2312" w:hint="eastAsia"/>
          <w:color w:val="000000"/>
          <w:sz w:val="32"/>
          <w:szCs w:val="32"/>
          <w:shd w:val="clear" w:color="auto" w:fill="FFFFFF"/>
        </w:rPr>
        <w:t>合同附件：销售产品技术参数，设备清单，建筑交付及接口要求，临床试验要求，用户培训方案，验收方案，质保及运维方案等。</w:t>
      </w:r>
    </w:p>
    <w:p w:rsidR="00B21435" w:rsidRDefault="00F21DBE">
      <w:pPr>
        <w:spacing w:line="560" w:lineRule="exact"/>
        <w:ind w:firstLineChars="200" w:firstLine="640"/>
        <w:outlineLvl w:val="3"/>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2</w:t>
      </w:r>
      <w:r w:rsidR="00A62EAD">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运维服务</w:t>
      </w:r>
    </w:p>
    <w:p w:rsidR="00B21435" w:rsidRDefault="00F21DBE">
      <w:pPr>
        <w:spacing w:line="56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shd w:val="clear" w:color="auto" w:fill="FFFFFF"/>
        </w:rPr>
        <w:t>企业应建立</w:t>
      </w:r>
      <w:r>
        <w:rPr>
          <w:rFonts w:ascii="仿宋_GB2312" w:eastAsia="仿宋_GB2312" w:hAnsi="仿宋_GB2312" w:cs="仿宋_GB2312"/>
          <w:color w:val="000000"/>
          <w:sz w:val="32"/>
          <w:szCs w:val="32"/>
          <w:shd w:val="clear" w:color="auto" w:fill="FFFFFF"/>
        </w:rPr>
        <w:t>碳离子</w:t>
      </w:r>
      <w:r>
        <w:rPr>
          <w:rFonts w:ascii="仿宋_GB2312" w:eastAsia="仿宋_GB2312" w:hAnsi="仿宋_GB2312" w:cs="仿宋_GB2312" w:hint="eastAsia"/>
          <w:color w:val="000000"/>
          <w:sz w:val="32"/>
          <w:szCs w:val="32"/>
          <w:shd w:val="clear" w:color="auto" w:fill="FFFFFF"/>
        </w:rPr>
        <w:t>/质子</w:t>
      </w:r>
      <w:r>
        <w:rPr>
          <w:rFonts w:ascii="仿宋_GB2312" w:eastAsia="仿宋_GB2312" w:hAnsi="仿宋_GB2312" w:cs="仿宋_GB2312"/>
          <w:color w:val="000000"/>
          <w:sz w:val="32"/>
          <w:szCs w:val="32"/>
          <w:shd w:val="clear" w:color="auto" w:fill="FFFFFF"/>
        </w:rPr>
        <w:t>治疗系统运行维护</w:t>
      </w:r>
      <w:r>
        <w:rPr>
          <w:rFonts w:ascii="仿宋_GB2312" w:eastAsia="仿宋_GB2312" w:hAnsi="仿宋_GB2312" w:cs="仿宋_GB2312" w:hint="eastAsia"/>
          <w:color w:val="000000"/>
          <w:sz w:val="32"/>
          <w:szCs w:val="32"/>
          <w:shd w:val="clear" w:color="auto" w:fill="FFFFFF"/>
        </w:rPr>
        <w:t>质量管理体系</w:t>
      </w:r>
      <w:r>
        <w:rPr>
          <w:rFonts w:ascii="仿宋_GB2312" w:eastAsia="仿宋_GB2312" w:hAnsi="仿宋_GB2312" w:cs="仿宋_GB2312"/>
          <w:color w:val="000000"/>
          <w:sz w:val="32"/>
          <w:szCs w:val="32"/>
          <w:shd w:val="clear" w:color="auto" w:fill="FFFFFF"/>
        </w:rPr>
        <w:t>，明确权利义务</w:t>
      </w:r>
      <w:r>
        <w:rPr>
          <w:rFonts w:ascii="仿宋_GB2312" w:eastAsia="仿宋_GB2312" w:hAnsi="仿宋_GB2312" w:cs="仿宋_GB2312" w:hint="eastAsia"/>
          <w:color w:val="000000"/>
          <w:sz w:val="32"/>
          <w:szCs w:val="32"/>
          <w:shd w:val="clear" w:color="auto" w:fill="FFFFFF"/>
        </w:rPr>
        <w:t>及</w:t>
      </w:r>
      <w:r>
        <w:rPr>
          <w:rFonts w:ascii="仿宋_GB2312" w:eastAsia="仿宋_GB2312" w:hAnsi="仿宋_GB2312" w:cs="仿宋_GB2312"/>
          <w:color w:val="000000"/>
          <w:sz w:val="32"/>
          <w:szCs w:val="32"/>
          <w:shd w:val="clear" w:color="auto" w:fill="FFFFFF"/>
        </w:rPr>
        <w:t>分工，</w:t>
      </w:r>
      <w:r>
        <w:rPr>
          <w:rFonts w:ascii="仿宋_GB2312" w:eastAsia="仿宋_GB2312" w:hAnsi="仿宋_GB2312" w:cs="仿宋_GB2312" w:hint="eastAsia"/>
          <w:color w:val="000000"/>
          <w:sz w:val="32"/>
          <w:szCs w:val="32"/>
          <w:shd w:val="clear" w:color="auto" w:fill="FFFFFF"/>
        </w:rPr>
        <w:t>确保碳离子/质子治疗系统的安全性和有效性</w:t>
      </w:r>
      <w:r>
        <w:rPr>
          <w:rFonts w:ascii="仿宋_GB2312" w:eastAsia="仿宋_GB2312" w:hAnsi="仿宋_GB2312" w:cs="仿宋_GB2312"/>
          <w:color w:val="000000"/>
          <w:sz w:val="32"/>
          <w:szCs w:val="32"/>
          <w:shd w:val="clear" w:color="auto" w:fill="FFFFFF"/>
        </w:rPr>
        <w:t>。</w:t>
      </w:r>
    </w:p>
    <w:p w:rsidR="00B21435" w:rsidRDefault="00A62EAD">
      <w:pPr>
        <w:spacing w:line="560" w:lineRule="exact"/>
        <w:ind w:firstLineChars="200" w:firstLine="640"/>
        <w:rPr>
          <w:rFonts w:ascii="仿宋_GB2312" w:eastAsia="仿宋_GB2312" w:hAnsi="仿宋_GB2312" w:cs="仿宋_GB2312"/>
          <w:color w:val="000000"/>
          <w:sz w:val="32"/>
          <w:szCs w:val="32"/>
        </w:rPr>
      </w:pPr>
      <w:r>
        <w:rPr>
          <w:rFonts w:ascii="仿宋_GB2312" w:eastAsia="仿宋_GB2312" w:hAnsi="Arial" w:cs="Arial" w:hint="eastAsia"/>
          <w:color w:val="000000"/>
          <w:sz w:val="32"/>
          <w:szCs w:val="28"/>
        </w:rPr>
        <w:t>（</w:t>
      </w:r>
      <w:r w:rsidR="00F21DBE">
        <w:rPr>
          <w:rFonts w:ascii="仿宋_GB2312" w:eastAsia="仿宋_GB2312" w:hAnsi="仿宋_GB2312" w:cs="仿宋_GB2312" w:hint="eastAsia"/>
          <w:color w:val="000000"/>
          <w:sz w:val="32"/>
          <w:szCs w:val="32"/>
        </w:rPr>
        <w:t>1）基本要求：</w:t>
      </w:r>
    </w:p>
    <w:p w:rsidR="00B21435" w:rsidRDefault="00F21DBE">
      <w:pPr>
        <w:pStyle w:val="afb"/>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①企业应与客户签订运维合同，运维合同至少应包含：服务范围、运行维护服务期限、甲乙双方的权利义务、运维服务内容、要求和服务方式、保密承诺、违约责任以及合同的生效、变更、解除、终止等。</w:t>
      </w:r>
    </w:p>
    <w:p w:rsidR="00B21435" w:rsidRDefault="00F21DBE">
      <w:pPr>
        <w:pStyle w:val="afb"/>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②碳离子/质子治疗系统的运行维护工作应由注册人或注册人授权单位进行。</w:t>
      </w:r>
    </w:p>
    <w:p w:rsidR="00B21435" w:rsidRDefault="00F21DBE">
      <w:pPr>
        <w:pStyle w:val="afb"/>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③运行维护团队所在的单位应具备使用I类射线装置资质的辐射安全许可证。</w:t>
      </w:r>
    </w:p>
    <w:p w:rsidR="00B21435" w:rsidRDefault="00F21DBE">
      <w:pPr>
        <w:pStyle w:val="afb"/>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④企业应建立运行维护操作规程和检验作业规程，包含但不限于适用范围、制定依据、维护保养的环境要求、维护保养使用的设备和计量标准、维保标准、维保内容、维保方法、判定准则、操作步骤、结果评价和结论，还应包含应急预案的处置，运维人员培训，运维计划管理，辐射安全、网络安全管理等。</w:t>
      </w:r>
    </w:p>
    <w:p w:rsidR="00B21435" w:rsidRDefault="00A62EAD">
      <w:pPr>
        <w:pStyle w:val="afb"/>
        <w:spacing w:line="560" w:lineRule="exact"/>
        <w:ind w:firstLineChars="200" w:firstLine="640"/>
        <w:rPr>
          <w:rFonts w:ascii="仿宋_GB2312" w:eastAsia="仿宋_GB2312" w:hAnsi="仿宋_GB2312" w:cs="仿宋_GB2312"/>
          <w:sz w:val="32"/>
          <w:szCs w:val="32"/>
        </w:rPr>
      </w:pPr>
      <w:r>
        <w:rPr>
          <w:rFonts w:ascii="仿宋_GB2312" w:eastAsia="仿宋_GB2312" w:hAnsi="Arial" w:cs="Arial" w:hint="eastAsia"/>
          <w:color w:val="000000"/>
          <w:sz w:val="32"/>
          <w:szCs w:val="28"/>
        </w:rPr>
        <w:lastRenderedPageBreak/>
        <w:t>（</w:t>
      </w:r>
      <w:r w:rsidR="00F21DBE">
        <w:rPr>
          <w:rFonts w:ascii="仿宋_GB2312" w:eastAsia="仿宋_GB2312" w:hAnsi="仿宋_GB2312" w:cs="仿宋_GB2312" w:hint="eastAsia"/>
          <w:sz w:val="32"/>
          <w:szCs w:val="32"/>
        </w:rPr>
        <w:t>2）运维服务要求</w:t>
      </w:r>
    </w:p>
    <w:p w:rsidR="00B21435" w:rsidRDefault="00F21DBE">
      <w:pPr>
        <w:pStyle w:val="afb"/>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①运维团队应长期驻守产品运维现场，及时响应解决产品问题，保证束流满足使用要求，设备使用期间，实时监测系统运行状态及使用情况，记录相关运行数据。</w:t>
      </w:r>
    </w:p>
    <w:p w:rsidR="00B21435" w:rsidRDefault="00F21DBE">
      <w:pPr>
        <w:pStyle w:val="afb"/>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②企业应制定运维质量控制要求，并按要求执行日、周、月QA，确保质控达标后交付院方使用。</w:t>
      </w:r>
    </w:p>
    <w:p w:rsidR="00B21435" w:rsidRDefault="00F21DBE">
      <w:pPr>
        <w:pStyle w:val="afb"/>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③企业应定期对装置进行运维分析，总结运行情况、分析运维故障、统计运行时间等，并针对问题进行分析和改进。</w:t>
      </w:r>
    </w:p>
    <w:p w:rsidR="00B21435" w:rsidRDefault="00F21DBE">
      <w:pPr>
        <w:pStyle w:val="afb"/>
        <w:widowControl w:val="0"/>
        <w:spacing w:line="560" w:lineRule="exact"/>
        <w:ind w:firstLineChars="200" w:firstLine="640"/>
        <w:rPr>
          <w:rFonts w:ascii="仿宋_GB2312" w:eastAsia="仿宋_GB2312" w:hAnsi="仿宋_GB2312" w:cs="仿宋_GB2312"/>
          <w:sz w:val="32"/>
          <w:szCs w:val="32"/>
        </w:rPr>
      </w:pPr>
      <w:bookmarkStart w:id="569" w:name="_Hlk172795769"/>
      <w:r>
        <w:rPr>
          <w:rFonts w:ascii="仿宋_GB2312" w:eastAsia="仿宋_GB2312" w:hAnsi="仿宋_GB2312" w:cs="仿宋_GB2312" w:hint="eastAsia"/>
          <w:sz w:val="32"/>
          <w:szCs w:val="32"/>
        </w:rPr>
        <w:t>④企业应根据质量管理体系</w:t>
      </w:r>
      <w:bookmarkEnd w:id="569"/>
      <w:r>
        <w:rPr>
          <w:rFonts w:ascii="仿宋_GB2312" w:eastAsia="仿宋_GB2312" w:hAnsi="仿宋_GB2312" w:cs="仿宋_GB2312" w:hint="eastAsia"/>
          <w:sz w:val="32"/>
          <w:szCs w:val="32"/>
        </w:rPr>
        <w:t>进行运维计划管理，制定短期及长期的运维计划，计划执行过程中需要根据产品运行情况及需求进行适当调整。</w:t>
      </w:r>
    </w:p>
    <w:p w:rsidR="00B21435" w:rsidRDefault="00F21DBE">
      <w:pPr>
        <w:pStyle w:val="afb"/>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⑤企业应定期对装置运行期间的故障进行分类统计后进行风险分析，包括危险和危险情况的识别、风险评价、风险控制措施等。</w:t>
      </w:r>
    </w:p>
    <w:p w:rsidR="00B21435" w:rsidRDefault="00F21DBE">
      <w:pPr>
        <w:pStyle w:val="afb"/>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⑥每日在设备使用完成后，应对设备进行巡检维护，保证设备长期稳定运行。</w:t>
      </w:r>
    </w:p>
    <w:p w:rsidR="00B21435" w:rsidRDefault="00F21DBE">
      <w:pPr>
        <w:pStyle w:val="afb"/>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⑦企业应在项目所在地建立备件库，根据装置的运行情况和特点，保证常用的备品备件数量达到装置运行期间的使用要求，一旦设备故障时可随时进行更换；库中备件备品需要与设备的型号、规格等相匹配；备件备品需要进行有效的库存管理，包括定期检查库存数量、更新库存清单等。</w:t>
      </w:r>
    </w:p>
    <w:p w:rsidR="00B21435" w:rsidRDefault="00F21DBE">
      <w:pPr>
        <w:pStyle w:val="afb"/>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⑧企业应建立产品运维物料管理制度，确保现场的运维物料的采购、标识、检验、出入库及领用，流向清晰，具有</w:t>
      </w:r>
      <w:r>
        <w:rPr>
          <w:rFonts w:ascii="仿宋_GB2312" w:eastAsia="仿宋_GB2312" w:hAnsi="仿宋_GB2312" w:cs="仿宋_GB2312" w:hint="eastAsia"/>
          <w:sz w:val="32"/>
          <w:szCs w:val="32"/>
        </w:rPr>
        <w:lastRenderedPageBreak/>
        <w:t>可追溯性；应建立物料标识管理规范，保证备件库的工具、备品备件等物料具有唯一性的身份和相应的质量状态。</w:t>
      </w:r>
    </w:p>
    <w:p w:rsidR="00B21435" w:rsidRDefault="00F21DBE">
      <w:pPr>
        <w:pStyle w:val="afb"/>
        <w:spacing w:line="560" w:lineRule="exact"/>
        <w:ind w:firstLineChars="200" w:firstLine="640"/>
        <w:rPr>
          <w:rFonts w:ascii="仿宋_GB2312" w:eastAsia="仿宋_GB2312" w:hAnsi="Arial" w:cs="Arial"/>
          <w:color w:val="000000"/>
          <w:sz w:val="32"/>
          <w:szCs w:val="28"/>
        </w:rPr>
      </w:pP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 9 \* GB3 \* MERGEFORMAT </w:instrText>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⑨</w:t>
      </w:r>
      <w:r>
        <w:rPr>
          <w:rFonts w:ascii="仿宋_GB2312" w:eastAsia="仿宋_GB2312" w:hAnsi="仿宋_GB2312" w:cs="仿宋_GB2312" w:hint="eastAsia"/>
          <w:sz w:val="32"/>
          <w:szCs w:val="32"/>
        </w:rPr>
        <w:fldChar w:fldCharType="end"/>
      </w:r>
      <w:r>
        <w:rPr>
          <w:rFonts w:ascii="仿宋_GB2312" w:eastAsia="仿宋_GB2312" w:hAnsi="仿宋_GB2312" w:cs="仿宋_GB2312" w:hint="eastAsia"/>
          <w:sz w:val="32"/>
          <w:szCs w:val="32"/>
        </w:rPr>
        <w:t>企业应根据辐射安全相关法规要求及管理要求，建立运行维护相关的辐射安全制度，保证辐射安全相关的人员、设备、放射性废物、辐射监测（个人剂量监测、环境剂量监测）等管理满足要求。</w:t>
      </w:r>
    </w:p>
    <w:p w:rsidR="00B21435" w:rsidRDefault="00F21DBE">
      <w:pPr>
        <w:spacing w:line="560" w:lineRule="exact"/>
        <w:ind w:firstLineChars="200" w:firstLine="640"/>
        <w:outlineLvl w:val="2"/>
        <w:rPr>
          <w:rFonts w:ascii="楷体" w:eastAsia="楷体" w:hAnsi="楷体" w:cs="楷体"/>
          <w:sz w:val="32"/>
          <w:szCs w:val="32"/>
        </w:rPr>
      </w:pPr>
      <w:bookmarkStart w:id="570" w:name="_Toc25416"/>
      <w:bookmarkStart w:id="571" w:name="_Toc27930"/>
      <w:bookmarkStart w:id="572" w:name="_Toc4520"/>
      <w:bookmarkStart w:id="573" w:name="_Toc7345"/>
      <w:bookmarkStart w:id="574" w:name="_Toc32160"/>
      <w:bookmarkStart w:id="575" w:name="_Toc8386"/>
      <w:bookmarkStart w:id="576" w:name="_Toc7691"/>
      <w:bookmarkStart w:id="577" w:name="_Toc3161"/>
      <w:bookmarkStart w:id="578" w:name="_Toc18340"/>
      <w:bookmarkStart w:id="579" w:name="_Toc23976"/>
      <w:bookmarkStart w:id="580" w:name="_Toc29016"/>
      <w:bookmarkStart w:id="581" w:name="_Toc27733"/>
      <w:bookmarkStart w:id="582" w:name="_Toc20171"/>
      <w:r>
        <w:rPr>
          <w:rFonts w:ascii="楷体" w:eastAsia="楷体" w:hAnsi="楷体" w:cs="楷体" w:hint="eastAsia"/>
          <w:sz w:val="32"/>
          <w:szCs w:val="32"/>
        </w:rPr>
        <w:t>（十）不良事件监测、分析和改进</w:t>
      </w:r>
      <w:bookmarkEnd w:id="570"/>
      <w:bookmarkEnd w:id="571"/>
      <w:bookmarkEnd w:id="572"/>
      <w:bookmarkEnd w:id="573"/>
      <w:bookmarkEnd w:id="574"/>
      <w:bookmarkEnd w:id="575"/>
      <w:bookmarkEnd w:id="576"/>
      <w:bookmarkEnd w:id="577"/>
      <w:bookmarkEnd w:id="578"/>
      <w:bookmarkEnd w:id="579"/>
      <w:bookmarkEnd w:id="580"/>
      <w:bookmarkEnd w:id="581"/>
      <w:bookmarkEnd w:id="582"/>
    </w:p>
    <w:p w:rsidR="00B21435" w:rsidRDefault="00F21DBE">
      <w:pPr>
        <w:pStyle w:val="4"/>
        <w:ind w:firstLine="640"/>
        <w:rPr>
          <w:rFonts w:ascii="仿宋_GB2312" w:hAnsi="Arial" w:cs="Arial"/>
          <w:color w:val="000000"/>
        </w:rPr>
      </w:pPr>
      <w:bookmarkStart w:id="583" w:name="_Toc26520"/>
      <w:bookmarkStart w:id="584" w:name="_Toc12140"/>
      <w:bookmarkStart w:id="585" w:name="_Toc14962"/>
      <w:bookmarkStart w:id="586" w:name="_Toc16619"/>
      <w:bookmarkStart w:id="587" w:name="_Toc11262"/>
      <w:bookmarkStart w:id="588" w:name="_Toc22894"/>
      <w:bookmarkStart w:id="589" w:name="_Toc15693"/>
      <w:bookmarkStart w:id="590" w:name="_Toc26965"/>
      <w:bookmarkStart w:id="591" w:name="_Toc14463"/>
      <w:bookmarkStart w:id="592" w:name="_Toc31827"/>
      <w:bookmarkStart w:id="593" w:name="_Toc6499"/>
      <w:bookmarkStart w:id="594" w:name="_Toc938"/>
      <w:r>
        <w:rPr>
          <w:rFonts w:ascii="仿宋_GB2312" w:hAnsi="Arial" w:cs="Arial" w:hint="eastAsia"/>
          <w:color w:val="000000"/>
        </w:rPr>
        <w:t>1.不良事件监测</w:t>
      </w:r>
    </w:p>
    <w:p w:rsidR="00B21435" w:rsidRDefault="00F21DBE">
      <w:pPr>
        <w:spacing w:line="560" w:lineRule="exact"/>
        <w:ind w:firstLineChars="200" w:firstLine="640"/>
        <w:rPr>
          <w:rFonts w:ascii="仿宋_GB2312" w:eastAsia="仿宋_GB2312" w:hAnsi="Arial" w:cs="Arial"/>
          <w:color w:val="000000"/>
          <w:sz w:val="32"/>
          <w:szCs w:val="28"/>
        </w:rPr>
      </w:pPr>
      <w:r>
        <w:rPr>
          <w:rFonts w:ascii="仿宋_GB2312" w:eastAsia="仿宋_GB2312" w:hAnsi="Arial" w:cs="Arial" w:hint="eastAsia"/>
          <w:color w:val="000000"/>
          <w:sz w:val="32"/>
          <w:szCs w:val="28"/>
        </w:rPr>
        <w:t>碳离子/质子治疗系统为</w:t>
      </w:r>
      <w:r>
        <w:rPr>
          <w:rFonts w:ascii="仿宋_GB2312" w:eastAsia="仿宋_GB2312" w:hAnsi="仿宋_GB2312" w:cs="仿宋_GB2312" w:hint="eastAsia"/>
          <w:color w:val="000000"/>
          <w:sz w:val="32"/>
          <w:szCs w:val="28"/>
        </w:rPr>
        <w:t>Ⅲ</w:t>
      </w:r>
      <w:r>
        <w:rPr>
          <w:rFonts w:ascii="仿宋_GB2312" w:eastAsia="仿宋_GB2312" w:hAnsi="Arial" w:cs="Arial" w:hint="eastAsia"/>
          <w:color w:val="000000"/>
          <w:sz w:val="32"/>
          <w:szCs w:val="32"/>
        </w:rPr>
        <w:t>类高风险</w:t>
      </w:r>
      <w:r>
        <w:rPr>
          <w:rFonts w:ascii="仿宋_GB2312" w:eastAsia="仿宋_GB2312" w:hAnsi="Arial" w:cs="Arial" w:hint="eastAsia"/>
          <w:color w:val="000000"/>
          <w:sz w:val="32"/>
          <w:szCs w:val="28"/>
        </w:rPr>
        <w:t>放疗设备，企业应重点关注上市后不良事件监测工作。</w:t>
      </w:r>
    </w:p>
    <w:p w:rsidR="00B21435" w:rsidRDefault="00A62EAD">
      <w:pPr>
        <w:pStyle w:val="5"/>
        <w:keepNext w:val="0"/>
        <w:keepLines w:val="0"/>
        <w:spacing w:before="0" w:after="0" w:line="560" w:lineRule="exact"/>
        <w:ind w:firstLineChars="200" w:firstLine="640"/>
        <w:rPr>
          <w:rFonts w:ascii="仿宋_GB2312" w:eastAsia="仿宋_GB2312" w:hAnsi="Arial" w:cs="Arial"/>
          <w:b w:val="0"/>
          <w:color w:val="000000"/>
          <w:sz w:val="32"/>
          <w:szCs w:val="28"/>
        </w:rPr>
      </w:pPr>
      <w:r>
        <w:rPr>
          <w:rFonts w:ascii="仿宋_GB2312" w:eastAsia="仿宋_GB2312" w:hAnsi="Arial" w:cs="Arial" w:hint="eastAsia"/>
          <w:b w:val="0"/>
          <w:color w:val="000000"/>
          <w:sz w:val="32"/>
          <w:szCs w:val="28"/>
        </w:rPr>
        <w:t>（</w:t>
      </w:r>
      <w:r w:rsidR="00F21DBE">
        <w:rPr>
          <w:rFonts w:ascii="仿宋_GB2312" w:eastAsia="仿宋_GB2312" w:hAnsi="Arial" w:cs="Arial" w:hint="eastAsia"/>
          <w:b w:val="0"/>
          <w:color w:val="000000"/>
          <w:sz w:val="32"/>
          <w:szCs w:val="28"/>
        </w:rPr>
        <w:t>1）</w:t>
      </w:r>
      <w:bookmarkEnd w:id="583"/>
      <w:bookmarkEnd w:id="584"/>
      <w:bookmarkEnd w:id="585"/>
      <w:bookmarkEnd w:id="586"/>
      <w:bookmarkEnd w:id="587"/>
      <w:bookmarkEnd w:id="588"/>
      <w:bookmarkEnd w:id="589"/>
      <w:bookmarkEnd w:id="590"/>
      <w:bookmarkEnd w:id="591"/>
      <w:bookmarkEnd w:id="592"/>
      <w:bookmarkEnd w:id="593"/>
      <w:bookmarkEnd w:id="594"/>
      <w:r w:rsidR="00F21DBE">
        <w:rPr>
          <w:rFonts w:ascii="仿宋_GB2312" w:eastAsia="仿宋_GB2312" w:hAnsi="Arial" w:cs="Arial" w:hint="eastAsia"/>
          <w:b w:val="0"/>
          <w:color w:val="000000"/>
          <w:sz w:val="32"/>
          <w:szCs w:val="28"/>
        </w:rPr>
        <w:t>注册人应在质量管理体系中规定碳离子/质子治疗系统相关不良事件监测、分析与改进内容，并确保其有效实施和受控，包括组织结构、工作程序、资源配置、信息沟通机制以及相关的监测手段等。</w:t>
      </w:r>
    </w:p>
    <w:p w:rsidR="00B21435" w:rsidRDefault="00A62EAD">
      <w:pPr>
        <w:numPr>
          <w:ilvl w:val="255"/>
          <w:numId w:val="0"/>
        </w:numPr>
        <w:spacing w:line="560" w:lineRule="exact"/>
        <w:ind w:firstLineChars="200" w:firstLine="640"/>
        <w:rPr>
          <w:rFonts w:ascii="仿宋_GB2312" w:eastAsia="仿宋_GB2312" w:hAnsi="Arial" w:cs="Arial"/>
          <w:color w:val="000000"/>
          <w:sz w:val="32"/>
          <w:szCs w:val="28"/>
        </w:rPr>
      </w:pPr>
      <w:bookmarkStart w:id="595" w:name="_Toc7913"/>
      <w:bookmarkStart w:id="596" w:name="_Toc31133"/>
      <w:bookmarkStart w:id="597" w:name="_Toc8001"/>
      <w:bookmarkStart w:id="598" w:name="_Toc9905"/>
      <w:bookmarkStart w:id="599" w:name="_Toc7132"/>
      <w:bookmarkStart w:id="600" w:name="_Toc29033"/>
      <w:bookmarkStart w:id="601" w:name="_Toc12101"/>
      <w:bookmarkStart w:id="602" w:name="_Toc20627"/>
      <w:bookmarkStart w:id="603" w:name="_Toc12016"/>
      <w:bookmarkStart w:id="604" w:name="_Toc32383"/>
      <w:bookmarkStart w:id="605" w:name="_Toc31546"/>
      <w:bookmarkStart w:id="606" w:name="_Toc29676"/>
      <w:r w:rsidRPr="00A62EAD">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2）不良事件报告须按照《医疗器械不良事件监测和再评价管理办法》规定的要求及时上报。</w:t>
      </w:r>
    </w:p>
    <w:bookmarkEnd w:id="595"/>
    <w:bookmarkEnd w:id="596"/>
    <w:bookmarkEnd w:id="597"/>
    <w:bookmarkEnd w:id="598"/>
    <w:bookmarkEnd w:id="599"/>
    <w:bookmarkEnd w:id="600"/>
    <w:bookmarkEnd w:id="601"/>
    <w:bookmarkEnd w:id="602"/>
    <w:bookmarkEnd w:id="603"/>
    <w:bookmarkEnd w:id="604"/>
    <w:bookmarkEnd w:id="605"/>
    <w:bookmarkEnd w:id="606"/>
    <w:p w:rsidR="00B21435" w:rsidRDefault="00A62EAD">
      <w:pPr>
        <w:spacing w:line="560" w:lineRule="exact"/>
        <w:ind w:firstLineChars="200" w:firstLine="640"/>
        <w:rPr>
          <w:rFonts w:ascii="仿宋_GB2312" w:eastAsia="仿宋_GB2312" w:hAnsi="Arial" w:cs="Arial"/>
          <w:color w:val="000000"/>
          <w:sz w:val="32"/>
          <w:szCs w:val="28"/>
        </w:rPr>
      </w:pPr>
      <w:r w:rsidRPr="00A62EAD">
        <w:rPr>
          <w:rFonts w:ascii="仿宋_GB2312" w:eastAsia="仿宋_GB2312" w:hAnsi="Arial" w:cs="Arial" w:hint="eastAsia"/>
          <w:color w:val="000000"/>
          <w:sz w:val="32"/>
          <w:szCs w:val="28"/>
        </w:rPr>
        <w:t>（</w:t>
      </w:r>
      <w:r w:rsidR="00F21DBE" w:rsidRPr="00A62EAD">
        <w:rPr>
          <w:rFonts w:ascii="仿宋_GB2312" w:eastAsia="仿宋_GB2312" w:hAnsi="Arial" w:cs="Arial" w:hint="eastAsia"/>
          <w:color w:val="000000"/>
          <w:sz w:val="32"/>
          <w:szCs w:val="28"/>
        </w:rPr>
        <w:t>3</w:t>
      </w:r>
      <w:r w:rsidR="00F21DBE">
        <w:rPr>
          <w:rFonts w:ascii="仿宋_GB2312" w:eastAsia="仿宋_GB2312" w:hAnsi="Arial" w:cs="Arial" w:hint="eastAsia"/>
          <w:color w:val="000000"/>
          <w:sz w:val="32"/>
          <w:szCs w:val="28"/>
        </w:rPr>
        <w:t>）注册人应按照医疗器械不良事件监测工作方案的要求开展工作，主动收集其产品的不良事件报告等相关风险信息，撰写风险评价报告，并按要求报送至监测工作相关部门。</w:t>
      </w:r>
    </w:p>
    <w:p w:rsidR="00B21435" w:rsidRDefault="00A62EAD">
      <w:pPr>
        <w:numPr>
          <w:ilvl w:val="255"/>
          <w:numId w:val="0"/>
        </w:numPr>
        <w:spacing w:line="560" w:lineRule="exact"/>
        <w:ind w:firstLineChars="200" w:firstLine="640"/>
        <w:rPr>
          <w:rFonts w:ascii="仿宋_GB2312" w:eastAsia="仿宋_GB2312" w:hAnsi="Arial" w:cs="Arial"/>
          <w:color w:val="000000"/>
          <w:sz w:val="32"/>
          <w:szCs w:val="28"/>
        </w:rPr>
      </w:pPr>
      <w:r w:rsidRPr="00A62EAD">
        <w:rPr>
          <w:rFonts w:ascii="仿宋_GB2312" w:eastAsia="仿宋_GB2312" w:hAnsi="Arial" w:cs="Arial" w:hint="eastAsia"/>
          <w:color w:val="000000"/>
          <w:sz w:val="32"/>
          <w:szCs w:val="28"/>
        </w:rPr>
        <w:t>（</w:t>
      </w:r>
      <w:r w:rsidR="00F21DBE" w:rsidRPr="00A62EAD">
        <w:rPr>
          <w:rFonts w:ascii="仿宋_GB2312" w:eastAsia="仿宋_GB2312" w:hAnsi="Arial" w:cs="Arial" w:hint="eastAsia"/>
          <w:color w:val="000000"/>
          <w:sz w:val="32"/>
          <w:szCs w:val="28"/>
        </w:rPr>
        <w:t>4</w:t>
      </w:r>
      <w:r w:rsidR="00F21DBE">
        <w:rPr>
          <w:rFonts w:ascii="仿宋_GB2312" w:eastAsia="仿宋_GB2312" w:hAnsi="Arial" w:cs="Arial" w:hint="eastAsia"/>
          <w:color w:val="000000"/>
          <w:sz w:val="32"/>
          <w:szCs w:val="28"/>
        </w:rPr>
        <w:t>）注册人应主动收集产品主要用户的不良事件报告和产品投诉信息，并对收集的不良事件报告和产品投诉信息开展调查、分析、评价。</w:t>
      </w:r>
    </w:p>
    <w:p w:rsidR="00B21435" w:rsidRDefault="00A62EAD">
      <w:pPr>
        <w:numPr>
          <w:ilvl w:val="255"/>
          <w:numId w:val="0"/>
        </w:numPr>
        <w:spacing w:line="560" w:lineRule="exact"/>
        <w:ind w:firstLineChars="200" w:firstLine="640"/>
        <w:rPr>
          <w:rFonts w:ascii="仿宋_GB2312" w:eastAsia="仿宋_GB2312" w:hAnsi="Arial" w:cs="Arial"/>
          <w:color w:val="000000"/>
          <w:sz w:val="32"/>
          <w:szCs w:val="28"/>
        </w:rPr>
      </w:pPr>
      <w:r w:rsidRPr="00A62EAD">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5）注册人应对碳离子/质子治疗系统安全性进行持续</w:t>
      </w:r>
      <w:r w:rsidR="00F21DBE">
        <w:rPr>
          <w:rFonts w:ascii="仿宋_GB2312" w:eastAsia="仿宋_GB2312" w:hAnsi="Arial" w:cs="Arial" w:hint="eastAsia"/>
          <w:color w:val="000000"/>
          <w:sz w:val="32"/>
          <w:szCs w:val="28"/>
        </w:rPr>
        <w:lastRenderedPageBreak/>
        <w:t>研究，对产品的不良事件报告、监测资料和国内外风险信息进行汇总、分析，评价该产品的风险与受益，记录采取的风险控制措施，撰写上市后定期风险评价报告。报告内容至少应当包含：对产品的不良事件报告、监测资料和国内外风险信息进行汇总、分析，评价该产品的风险与受益，记录采取的风险控制措施。上市后定期风险评价报告，是否按照法规要求时限形成报告并上报。</w:t>
      </w:r>
    </w:p>
    <w:p w:rsidR="00B21435" w:rsidRDefault="00A62EAD">
      <w:pPr>
        <w:numPr>
          <w:ilvl w:val="255"/>
          <w:numId w:val="0"/>
        </w:numPr>
        <w:spacing w:line="560" w:lineRule="exact"/>
        <w:ind w:firstLineChars="200" w:firstLine="640"/>
        <w:rPr>
          <w:rFonts w:ascii="仿宋_GB2312" w:eastAsia="仿宋_GB2312" w:hAnsi="Arial" w:cs="Arial"/>
          <w:color w:val="000000"/>
          <w:sz w:val="32"/>
          <w:szCs w:val="28"/>
        </w:rPr>
      </w:pPr>
      <w:r w:rsidRPr="00A62EAD">
        <w:rPr>
          <w:rFonts w:ascii="仿宋_GB2312" w:eastAsia="仿宋_GB2312" w:hAnsi="Arial" w:cs="Arial" w:hint="eastAsia"/>
          <w:color w:val="000000"/>
          <w:sz w:val="32"/>
          <w:szCs w:val="28"/>
        </w:rPr>
        <w:t>（</w:t>
      </w:r>
      <w:r w:rsidR="00F21DBE" w:rsidRPr="00A62EAD">
        <w:rPr>
          <w:rFonts w:ascii="仿宋_GB2312" w:eastAsia="仿宋_GB2312" w:hAnsi="Arial" w:cs="Arial" w:hint="eastAsia"/>
          <w:color w:val="000000"/>
          <w:sz w:val="32"/>
          <w:szCs w:val="28"/>
        </w:rPr>
        <w:t>6</w:t>
      </w:r>
      <w:r w:rsidR="00F21DBE">
        <w:rPr>
          <w:rFonts w:ascii="仿宋_GB2312" w:eastAsia="仿宋_GB2312" w:hAnsi="Arial" w:cs="Arial" w:hint="eastAsia"/>
          <w:color w:val="000000"/>
          <w:sz w:val="32"/>
          <w:szCs w:val="28"/>
        </w:rPr>
        <w:t>）注册人应保存所有不良事件监测、分析与改进记录。记录可以以多种形式体现，但应明确指出所需采取的措施，以及措施的负责人和完成期限。记录应易于获得并按规定的时间留存。</w:t>
      </w:r>
    </w:p>
    <w:p w:rsidR="00B21435" w:rsidRDefault="00A62EAD">
      <w:pPr>
        <w:numPr>
          <w:ilvl w:val="255"/>
          <w:numId w:val="0"/>
        </w:numPr>
        <w:spacing w:line="560" w:lineRule="exact"/>
        <w:ind w:firstLineChars="200" w:firstLine="640"/>
        <w:rPr>
          <w:rFonts w:ascii="仿宋_GB2312" w:eastAsia="仿宋_GB2312" w:hAnsi="Arial" w:cs="Arial"/>
          <w:color w:val="000000"/>
          <w:sz w:val="32"/>
          <w:szCs w:val="28"/>
        </w:rPr>
      </w:pPr>
      <w:r w:rsidRPr="00A62EAD">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7）注册人应将评价分析所产生的风险控制措施，按照要求在适当和约定的日程内得以实施。在定期的管理会议中监控这些措施实施及其有效性。</w:t>
      </w:r>
    </w:p>
    <w:p w:rsidR="00B21435" w:rsidRDefault="00F21DBE">
      <w:pPr>
        <w:pStyle w:val="4"/>
        <w:ind w:firstLine="640"/>
        <w:rPr>
          <w:rFonts w:ascii="仿宋_GB2312" w:hAnsi="Arial" w:cs="Arial"/>
          <w:color w:val="000000"/>
        </w:rPr>
      </w:pPr>
      <w:r>
        <w:rPr>
          <w:rFonts w:ascii="仿宋_GB2312" w:hAnsi="Arial" w:cs="Arial" w:hint="eastAsia"/>
          <w:color w:val="000000"/>
        </w:rPr>
        <w:t>2.分析和改进</w:t>
      </w:r>
    </w:p>
    <w:p w:rsidR="00B21435" w:rsidRDefault="00A62EAD">
      <w:pPr>
        <w:numPr>
          <w:ilvl w:val="255"/>
          <w:numId w:val="0"/>
        </w:numPr>
        <w:spacing w:line="560" w:lineRule="exact"/>
        <w:ind w:firstLineChars="200" w:firstLine="640"/>
        <w:rPr>
          <w:rFonts w:ascii="仿宋_GB2312" w:eastAsia="仿宋_GB2312" w:hAnsi="Arial" w:cs="Arial"/>
          <w:color w:val="000000"/>
          <w:sz w:val="32"/>
          <w:szCs w:val="28"/>
        </w:rPr>
      </w:pPr>
      <w:r w:rsidRPr="00A62EAD">
        <w:rPr>
          <w:rFonts w:ascii="仿宋_GB2312" w:eastAsia="仿宋_GB2312" w:hAnsi="Arial" w:cs="Arial" w:hint="eastAsia"/>
          <w:color w:val="000000"/>
          <w:sz w:val="32"/>
          <w:szCs w:val="28"/>
        </w:rPr>
        <w:t>（</w:t>
      </w:r>
      <w:r w:rsidR="00F21DBE" w:rsidRPr="00A62EAD">
        <w:rPr>
          <w:rFonts w:ascii="仿宋_GB2312" w:eastAsia="仿宋_GB2312" w:hAnsi="Arial" w:cs="Arial" w:hint="eastAsia"/>
          <w:color w:val="000000"/>
          <w:sz w:val="32"/>
          <w:szCs w:val="28"/>
        </w:rPr>
        <w:t>1</w:t>
      </w:r>
      <w:r w:rsidR="00F21DBE">
        <w:rPr>
          <w:rFonts w:ascii="仿宋_GB2312" w:eastAsia="仿宋_GB2312" w:hAnsi="Arial" w:cs="Arial" w:hint="eastAsia"/>
          <w:color w:val="000000"/>
          <w:sz w:val="32"/>
          <w:szCs w:val="28"/>
        </w:rPr>
        <w:t>）企业应当</w:t>
      </w:r>
      <w:r w:rsidR="00F21DBE">
        <w:rPr>
          <w:rFonts w:ascii="仿宋_GB2312" w:eastAsia="仿宋_GB2312" w:hAnsi="Arial" w:cs="Arial"/>
          <w:color w:val="000000"/>
          <w:sz w:val="32"/>
          <w:szCs w:val="28"/>
        </w:rPr>
        <w:t>收集分析与产品质量、不良事件、顾客反馈和质量管理体系运行有关的数据，验证产品安全性和有效性。</w:t>
      </w:r>
    </w:p>
    <w:p w:rsidR="00B21435" w:rsidRDefault="00A62EAD">
      <w:pPr>
        <w:numPr>
          <w:ilvl w:val="255"/>
          <w:numId w:val="0"/>
        </w:numPr>
        <w:spacing w:line="560" w:lineRule="exact"/>
        <w:ind w:firstLineChars="200" w:firstLine="640"/>
        <w:rPr>
          <w:rFonts w:ascii="仿宋_GB2312" w:eastAsia="仿宋_GB2312" w:hAnsi="Arial" w:cs="Arial"/>
          <w:color w:val="000000"/>
          <w:sz w:val="32"/>
          <w:szCs w:val="28"/>
        </w:rPr>
      </w:pPr>
      <w:r w:rsidRPr="00A62EAD">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2）企业应定期对质量管理体系的运行情况进行评价，评价质量管理体系的符合性和有效性，寻求改进的机会，使质量管理体系有效运行和不断完善。</w:t>
      </w:r>
    </w:p>
    <w:p w:rsidR="00B21435" w:rsidRDefault="00A62EAD">
      <w:pPr>
        <w:numPr>
          <w:ilvl w:val="255"/>
          <w:numId w:val="0"/>
        </w:numPr>
        <w:spacing w:line="560" w:lineRule="exact"/>
        <w:ind w:firstLineChars="200" w:firstLine="640"/>
        <w:rPr>
          <w:rFonts w:ascii="仿宋_GB2312" w:eastAsia="仿宋_GB2312" w:hAnsi="Arial" w:cs="Arial"/>
          <w:color w:val="000000"/>
          <w:sz w:val="32"/>
          <w:szCs w:val="28"/>
        </w:rPr>
      </w:pPr>
      <w:r w:rsidRPr="00A62EAD">
        <w:rPr>
          <w:rFonts w:ascii="仿宋_GB2312" w:eastAsia="仿宋_GB2312" w:hAnsi="Arial" w:cs="Arial" w:hint="eastAsia"/>
          <w:color w:val="000000"/>
          <w:sz w:val="32"/>
          <w:szCs w:val="28"/>
        </w:rPr>
        <w:t>（</w:t>
      </w:r>
      <w:r w:rsidR="00F21DBE">
        <w:rPr>
          <w:rFonts w:ascii="仿宋_GB2312" w:eastAsia="仿宋_GB2312" w:hAnsi="Arial" w:cs="Arial" w:hint="eastAsia"/>
          <w:color w:val="000000"/>
          <w:sz w:val="32"/>
          <w:szCs w:val="28"/>
        </w:rPr>
        <w:t>3）企业应定期开展管理评审，评价质量管理体系的适宜性、充分性和有效性，对体系运行的薄弱环节进行分析，识别改进需求，提出实施对策，以及评价质量体系是否适应</w:t>
      </w:r>
      <w:r w:rsidR="00F21DBE">
        <w:rPr>
          <w:rFonts w:ascii="仿宋_GB2312" w:eastAsia="仿宋_GB2312" w:hAnsi="Arial" w:cs="Arial" w:hint="eastAsia"/>
          <w:color w:val="000000"/>
          <w:sz w:val="32"/>
          <w:szCs w:val="28"/>
        </w:rPr>
        <w:lastRenderedPageBreak/>
        <w:t>内外部环境的变化。</w:t>
      </w:r>
    </w:p>
    <w:sectPr w:rsidR="00B2143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6204" w:rsidRDefault="00FF6204">
      <w:r>
        <w:separator/>
      </w:r>
    </w:p>
  </w:endnote>
  <w:endnote w:type="continuationSeparator" w:id="0">
    <w:p w:rsidR="00FF6204" w:rsidRDefault="00FF62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A38508AE-E28B-4C71-9CBA-5875AC680022}"/>
  </w:font>
  <w:font w:name="仿宋_GB2312">
    <w:panose1 w:val="02010609030101010101"/>
    <w:charset w:val="86"/>
    <w:family w:val="modern"/>
    <w:pitch w:val="fixed"/>
    <w:sig w:usb0="00000001" w:usb1="080E0000" w:usb2="00000010" w:usb3="00000000" w:csb0="00040000" w:csb1="00000000"/>
    <w:embedRegular r:id="rId2" w:subsetted="1" w:fontKey="{E8BE68A9-7FBA-4813-A704-6A608187EA4D}"/>
    <w:embedBold r:id="rId3" w:subsetted="1" w:fontKey="{051F6E87-9782-4093-9B7E-FC3ED6D3F20D}"/>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4" w:subsetted="1" w:fontKey="{9AD60D49-D229-4E7E-AD49-315A72975588}"/>
  </w:font>
  <w:font w:name="Arial">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embedRegular r:id="rId5" w:subsetted="1" w:fontKey="{BB56E5EC-305C-4554-9B3F-34D373EDE971}"/>
  </w:font>
  <w:font w:name="Mangal">
    <w:panose1 w:val="02040503050203030202"/>
    <w:charset w:val="00"/>
    <w:family w:val="roman"/>
    <w:pitch w:val="variable"/>
    <w:sig w:usb0="00008003" w:usb1="00000000" w:usb2="00000000" w:usb3="00000000" w:csb0="00000001" w:csb1="00000000"/>
  </w:font>
  <w:font w:name="Microsoft YaHei UI">
    <w:panose1 w:val="020B0503020204020204"/>
    <w:charset w:val="86"/>
    <w:family w:val="swiss"/>
    <w:pitch w:val="variable"/>
    <w:sig w:usb0="80000287" w:usb1="28CF3C52" w:usb2="00000016" w:usb3="00000000" w:csb0="0004001F" w:csb1="00000000"/>
  </w:font>
  <w:font w:name="方正小标宋简体">
    <w:panose1 w:val="02010601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embedRegular r:id="rId6" w:subsetted="1" w:fontKey="{132017A5-06A6-44C9-8B3A-94A3C1EEB0F7}"/>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2297785"/>
      <w:docPartObj>
        <w:docPartGallery w:val="Page Numbers (Bottom of Page)"/>
        <w:docPartUnique/>
      </w:docPartObj>
    </w:sdtPr>
    <w:sdtContent>
      <w:sdt>
        <w:sdtPr>
          <w:id w:val="1728636285"/>
          <w:docPartObj>
            <w:docPartGallery w:val="Page Numbers (Top of Page)"/>
            <w:docPartUnique/>
          </w:docPartObj>
        </w:sdtPr>
        <w:sdtContent>
          <w:p w:rsidR="00A62EAD" w:rsidRDefault="00A62EAD">
            <w:pPr>
              <w:pStyle w:val="ad"/>
              <w:jc w:val="center"/>
            </w:pPr>
            <w:r>
              <w:rPr>
                <w:lang w:val="zh-CN"/>
              </w:rPr>
              <w:t xml:space="preserve"> </w:t>
            </w:r>
            <w:r w:rsidRPr="00A62EAD">
              <w:rPr>
                <w:rFonts w:ascii="宋体" w:hAnsi="宋体" w:hint="eastAsia"/>
                <w:sz w:val="21"/>
                <w:szCs w:val="21"/>
                <w:lang w:val="zh-CN"/>
              </w:rPr>
              <w:t>第</w:t>
            </w:r>
            <w:r w:rsidRPr="00A62EAD">
              <w:rPr>
                <w:rFonts w:ascii="宋体" w:hAnsi="宋体"/>
                <w:bCs/>
                <w:sz w:val="21"/>
                <w:szCs w:val="21"/>
              </w:rPr>
              <w:fldChar w:fldCharType="begin"/>
            </w:r>
            <w:r w:rsidRPr="00A62EAD">
              <w:rPr>
                <w:rFonts w:ascii="宋体" w:hAnsi="宋体"/>
                <w:bCs/>
                <w:sz w:val="21"/>
                <w:szCs w:val="21"/>
              </w:rPr>
              <w:instrText>PAGE</w:instrText>
            </w:r>
            <w:r w:rsidRPr="00A62EAD">
              <w:rPr>
                <w:rFonts w:ascii="宋体" w:hAnsi="宋体"/>
                <w:bCs/>
                <w:sz w:val="21"/>
                <w:szCs w:val="21"/>
              </w:rPr>
              <w:fldChar w:fldCharType="separate"/>
            </w:r>
            <w:r>
              <w:rPr>
                <w:rFonts w:ascii="宋体" w:hAnsi="宋体"/>
                <w:bCs/>
                <w:noProof/>
                <w:sz w:val="21"/>
                <w:szCs w:val="21"/>
              </w:rPr>
              <w:t>21</w:t>
            </w:r>
            <w:r w:rsidRPr="00A62EAD">
              <w:rPr>
                <w:rFonts w:ascii="宋体" w:hAnsi="宋体"/>
                <w:bCs/>
                <w:sz w:val="21"/>
                <w:szCs w:val="21"/>
              </w:rPr>
              <w:fldChar w:fldCharType="end"/>
            </w:r>
            <w:r w:rsidRPr="00A62EAD">
              <w:rPr>
                <w:rFonts w:ascii="宋体" w:hAnsi="宋体" w:hint="eastAsia"/>
                <w:bCs/>
                <w:sz w:val="21"/>
                <w:szCs w:val="21"/>
              </w:rPr>
              <w:t>页 共</w:t>
            </w:r>
            <w:r w:rsidRPr="00A62EAD">
              <w:rPr>
                <w:rFonts w:ascii="宋体" w:hAnsi="宋体"/>
                <w:bCs/>
                <w:sz w:val="21"/>
                <w:szCs w:val="21"/>
              </w:rPr>
              <w:fldChar w:fldCharType="begin"/>
            </w:r>
            <w:r w:rsidRPr="00A62EAD">
              <w:rPr>
                <w:rFonts w:ascii="宋体" w:hAnsi="宋体"/>
                <w:bCs/>
                <w:sz w:val="21"/>
                <w:szCs w:val="21"/>
              </w:rPr>
              <w:instrText>NUMPAGES</w:instrText>
            </w:r>
            <w:r w:rsidRPr="00A62EAD">
              <w:rPr>
                <w:rFonts w:ascii="宋体" w:hAnsi="宋体"/>
                <w:bCs/>
                <w:sz w:val="21"/>
                <w:szCs w:val="21"/>
              </w:rPr>
              <w:fldChar w:fldCharType="separate"/>
            </w:r>
            <w:r>
              <w:rPr>
                <w:rFonts w:ascii="宋体" w:hAnsi="宋体"/>
                <w:bCs/>
                <w:noProof/>
                <w:sz w:val="21"/>
                <w:szCs w:val="21"/>
              </w:rPr>
              <w:t>65</w:t>
            </w:r>
            <w:r w:rsidRPr="00A62EAD">
              <w:rPr>
                <w:rFonts w:ascii="宋体" w:hAnsi="宋体"/>
                <w:bCs/>
                <w:sz w:val="21"/>
                <w:szCs w:val="21"/>
              </w:rPr>
              <w:fldChar w:fldCharType="end"/>
            </w:r>
            <w:r w:rsidRPr="00A62EAD">
              <w:rPr>
                <w:rFonts w:ascii="宋体" w:hAnsi="宋体" w:hint="eastAsia"/>
                <w:bCs/>
                <w:sz w:val="21"/>
                <w:szCs w:val="21"/>
              </w:rPr>
              <w:t>页</w:t>
            </w:r>
          </w:p>
        </w:sdtContent>
      </w:sdt>
    </w:sdtContent>
  </w:sdt>
  <w:p w:rsidR="00B21435" w:rsidRPr="00A62EAD" w:rsidRDefault="00B21435" w:rsidP="00A62EAD">
    <w:pPr>
      <w:pStyle w:val="ad"/>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435" w:rsidRDefault="00F21DBE">
    <w:pPr>
      <w:pStyle w:val="ad"/>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2540</wp:posOffset>
              </wp:positionV>
              <wp:extent cx="1323975" cy="172720"/>
              <wp:effectExtent l="0" t="0" r="9525" b="17780"/>
              <wp:wrapNone/>
              <wp:docPr id="30" name="文本框 1"/>
              <wp:cNvGraphicFramePr/>
              <a:graphic xmlns:a="http://schemas.openxmlformats.org/drawingml/2006/main">
                <a:graphicData uri="http://schemas.microsoft.com/office/word/2010/wordprocessingShape">
                  <wps:wsp>
                    <wps:cNvSpPr/>
                    <wps:spPr>
                      <a:xfrm>
                        <a:off x="0" y="0"/>
                        <a:ext cx="1323975" cy="172720"/>
                      </a:xfrm>
                      <a:prstGeom prst="rect">
                        <a:avLst/>
                      </a:prstGeom>
                      <a:noFill/>
                      <a:ln>
                        <a:noFill/>
                      </a:ln>
                    </wps:spPr>
                    <wps:txbx>
                      <w:txbxContent>
                        <w:p w:rsidR="00B21435" w:rsidRDefault="00F21DBE">
                          <w:pPr>
                            <w:pStyle w:val="ad"/>
                            <w:jc w:val="center"/>
                            <w:rPr>
                              <w:rFonts w:ascii="Times New Roman" w:hAnsi="Times New Roman" w:cs="Times New Roman"/>
                              <w:sz w:val="21"/>
                              <w:szCs w:val="21"/>
                            </w:rPr>
                          </w:pPr>
                          <w:r>
                            <w:rPr>
                              <w:rFonts w:ascii="Times New Roman" w:hAnsi="Times New Roman" w:cs="Times New Roman"/>
                              <w:sz w:val="21"/>
                              <w:szCs w:val="21"/>
                            </w:rPr>
                            <w:t>第</w:t>
                          </w:r>
                          <w:r>
                            <w:rPr>
                              <w:rFonts w:ascii="Times New Roman" w:hAnsi="Times New Roman" w:cs="Times New Roman"/>
                              <w:sz w:val="21"/>
                              <w:szCs w:val="21"/>
                            </w:rPr>
                            <w:t xml:space="preserve">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sidR="00A62EAD">
                            <w:rPr>
                              <w:rFonts w:ascii="Times New Roman" w:hAnsi="Times New Roman" w:cs="Times New Roman"/>
                              <w:noProof/>
                              <w:sz w:val="21"/>
                              <w:szCs w:val="21"/>
                            </w:rPr>
                            <w:t>27</w:t>
                          </w:r>
                          <w:r>
                            <w:rPr>
                              <w:rFonts w:ascii="Times New Roman" w:hAnsi="Times New Roman" w:cs="Times New Roman"/>
                              <w:sz w:val="21"/>
                              <w:szCs w:val="21"/>
                            </w:rPr>
                            <w:fldChar w:fldCharType="end"/>
                          </w:r>
                          <w:r>
                            <w:rPr>
                              <w:rFonts w:ascii="Times New Roman" w:hAnsi="Times New Roman" w:cs="Times New Roman"/>
                              <w:sz w:val="21"/>
                              <w:szCs w:val="21"/>
                            </w:rPr>
                            <w:t xml:space="preserve"> </w:t>
                          </w:r>
                          <w:r>
                            <w:rPr>
                              <w:rFonts w:ascii="Times New Roman" w:hAnsi="Times New Roman" w:cs="Times New Roman"/>
                              <w:sz w:val="21"/>
                              <w:szCs w:val="21"/>
                            </w:rPr>
                            <w:t>页</w:t>
                          </w:r>
                          <w:r>
                            <w:rPr>
                              <w:rFonts w:ascii="Times New Roman" w:hAnsi="Times New Roman" w:cs="Times New Roman"/>
                              <w:sz w:val="21"/>
                              <w:szCs w:val="21"/>
                            </w:rPr>
                            <w:t xml:space="preserve"> </w:t>
                          </w:r>
                          <w:r>
                            <w:rPr>
                              <w:rFonts w:ascii="Times New Roman" w:hAnsi="Times New Roman" w:cs="Times New Roman"/>
                              <w:sz w:val="21"/>
                              <w:szCs w:val="21"/>
                            </w:rPr>
                            <w:t>共</w:t>
                          </w:r>
                          <w:r>
                            <w:rPr>
                              <w:rFonts w:ascii="Times New Roman" w:hAnsi="Times New Roman" w:cs="Times New Roman"/>
                              <w:sz w:val="21"/>
                              <w:szCs w:val="21"/>
                            </w:rPr>
                            <w:t xml:space="preserve">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NUMPAGES  \* MERGEFORMAT </w:instrText>
                          </w:r>
                          <w:r>
                            <w:rPr>
                              <w:rFonts w:ascii="Times New Roman" w:hAnsi="Times New Roman" w:cs="Times New Roman"/>
                              <w:sz w:val="21"/>
                              <w:szCs w:val="21"/>
                            </w:rPr>
                            <w:fldChar w:fldCharType="separate"/>
                          </w:r>
                          <w:r w:rsidR="00A62EAD">
                            <w:rPr>
                              <w:rFonts w:ascii="Times New Roman" w:hAnsi="Times New Roman" w:cs="Times New Roman"/>
                              <w:noProof/>
                              <w:sz w:val="21"/>
                              <w:szCs w:val="21"/>
                            </w:rPr>
                            <w:t>65</w:t>
                          </w:r>
                          <w:r>
                            <w:rPr>
                              <w:rFonts w:ascii="Times New Roman" w:hAnsi="Times New Roman" w:cs="Times New Roman"/>
                              <w:sz w:val="21"/>
                              <w:szCs w:val="21"/>
                            </w:rPr>
                            <w:fldChar w:fldCharType="end"/>
                          </w:r>
                          <w:r>
                            <w:rPr>
                              <w:rFonts w:ascii="Times New Roman" w:hAnsi="Times New Roman" w:cs="Times New Roman" w:hint="eastAsia"/>
                              <w:sz w:val="21"/>
                              <w:szCs w:val="21"/>
                            </w:rPr>
                            <w:t>页</w:t>
                          </w:r>
                        </w:p>
                      </w:txbxContent>
                    </wps:txbx>
                    <wps:bodyPr wrap="square" lIns="0" tIns="0" rIns="0" bIns="0"/>
                  </wps:wsp>
                </a:graphicData>
              </a:graphic>
            </wp:anchor>
          </w:drawing>
        </mc:Choice>
        <mc:Fallback>
          <w:pict>
            <v:rect id="文本框 1" o:spid="_x0000_s1026" style="position:absolute;margin-left:0;margin-top:.2pt;width:104.25pt;height:13.6pt;z-index:2516602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" filled="f" stroked="f">
              <v:textbox inset="0,0,0,0">
                <w:txbxContent>
                  <w:p w:rsidR="00B21435" w:rsidRDefault="00F21DBE">
                    <w:pPr>
                      <w:pStyle w:val="ad"/>
                      <w:jc w:val="center"/>
                      <w:rPr>
                        <w:rFonts w:ascii="Times New Roman" w:hAnsi="Times New Roman" w:cs="Times New Roman"/>
                        <w:sz w:val="21"/>
                        <w:szCs w:val="21"/>
                      </w:rPr>
                    </w:pPr>
                    <w:r>
                      <w:rPr>
                        <w:rFonts w:ascii="Times New Roman" w:hAnsi="Times New Roman" w:cs="Times New Roman"/>
                        <w:sz w:val="21"/>
                        <w:szCs w:val="21"/>
                      </w:rPr>
                      <w:t>第</w:t>
                    </w:r>
                    <w:r>
                      <w:rPr>
                        <w:rFonts w:ascii="Times New Roman" w:hAnsi="Times New Roman" w:cs="Times New Roman"/>
                        <w:sz w:val="21"/>
                        <w:szCs w:val="21"/>
                      </w:rPr>
                      <w:t xml:space="preserve">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sidR="00A62EAD">
                      <w:rPr>
                        <w:rFonts w:ascii="Times New Roman" w:hAnsi="Times New Roman" w:cs="Times New Roman"/>
                        <w:noProof/>
                        <w:sz w:val="21"/>
                        <w:szCs w:val="21"/>
                      </w:rPr>
                      <w:t>27</w:t>
                    </w:r>
                    <w:r>
                      <w:rPr>
                        <w:rFonts w:ascii="Times New Roman" w:hAnsi="Times New Roman" w:cs="Times New Roman"/>
                        <w:sz w:val="21"/>
                        <w:szCs w:val="21"/>
                      </w:rPr>
                      <w:fldChar w:fldCharType="end"/>
                    </w:r>
                    <w:r>
                      <w:rPr>
                        <w:rFonts w:ascii="Times New Roman" w:hAnsi="Times New Roman" w:cs="Times New Roman"/>
                        <w:sz w:val="21"/>
                        <w:szCs w:val="21"/>
                      </w:rPr>
                      <w:t xml:space="preserve"> </w:t>
                    </w:r>
                    <w:r>
                      <w:rPr>
                        <w:rFonts w:ascii="Times New Roman" w:hAnsi="Times New Roman" w:cs="Times New Roman"/>
                        <w:sz w:val="21"/>
                        <w:szCs w:val="21"/>
                      </w:rPr>
                      <w:t>页</w:t>
                    </w:r>
                    <w:r>
                      <w:rPr>
                        <w:rFonts w:ascii="Times New Roman" w:hAnsi="Times New Roman" w:cs="Times New Roman"/>
                        <w:sz w:val="21"/>
                        <w:szCs w:val="21"/>
                      </w:rPr>
                      <w:t xml:space="preserve"> </w:t>
                    </w:r>
                    <w:r>
                      <w:rPr>
                        <w:rFonts w:ascii="Times New Roman" w:hAnsi="Times New Roman" w:cs="Times New Roman"/>
                        <w:sz w:val="21"/>
                        <w:szCs w:val="21"/>
                      </w:rPr>
                      <w:t>共</w:t>
                    </w:r>
                    <w:r>
                      <w:rPr>
                        <w:rFonts w:ascii="Times New Roman" w:hAnsi="Times New Roman" w:cs="Times New Roman"/>
                        <w:sz w:val="21"/>
                        <w:szCs w:val="21"/>
                      </w:rPr>
                      <w:t xml:space="preserve">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NUMPAGES  \* MERGEFORMAT </w:instrText>
                    </w:r>
                    <w:r>
                      <w:rPr>
                        <w:rFonts w:ascii="Times New Roman" w:hAnsi="Times New Roman" w:cs="Times New Roman"/>
                        <w:sz w:val="21"/>
                        <w:szCs w:val="21"/>
                      </w:rPr>
                      <w:fldChar w:fldCharType="separate"/>
                    </w:r>
                    <w:r w:rsidR="00A62EAD">
                      <w:rPr>
                        <w:rFonts w:ascii="Times New Roman" w:hAnsi="Times New Roman" w:cs="Times New Roman"/>
                        <w:noProof/>
                        <w:sz w:val="21"/>
                        <w:szCs w:val="21"/>
                      </w:rPr>
                      <w:t>65</w:t>
                    </w:r>
                    <w:r>
                      <w:rPr>
                        <w:rFonts w:ascii="Times New Roman" w:hAnsi="Times New Roman" w:cs="Times New Roman"/>
                        <w:sz w:val="21"/>
                        <w:szCs w:val="21"/>
                      </w:rPr>
                      <w:fldChar w:fldCharType="end"/>
                    </w:r>
                    <w:r>
                      <w:rPr>
                        <w:rFonts w:ascii="Times New Roman" w:hAnsi="Times New Roman" w:cs="Times New Roman" w:hint="eastAsia"/>
                        <w:sz w:val="21"/>
                        <w:szCs w:val="21"/>
                      </w:rPr>
                      <w:t>页</w:t>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6204" w:rsidRDefault="00FF6204">
      <w:r>
        <w:separator/>
      </w:r>
    </w:p>
  </w:footnote>
  <w:footnote w:type="continuationSeparator" w:id="0">
    <w:p w:rsidR="00FF6204" w:rsidRDefault="00FF620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CDF04DF"/>
    <w:multiLevelType w:val="singleLevel"/>
    <w:tmpl w:val="75884E80"/>
    <w:lvl w:ilvl="0">
      <w:start w:val="1"/>
      <w:numFmt w:val="decimal"/>
      <w:suff w:val="nothing"/>
      <w:lvlText w:val="（%1）"/>
      <w:lvlJc w:val="left"/>
      <w:pPr>
        <w:ind w:left="0" w:firstLine="0"/>
      </w:pPr>
      <w:rPr>
        <w:rFonts w:hint="default"/>
        <w:sz w:val="32"/>
        <w:szCs w:val="32"/>
      </w:rPr>
    </w:lvl>
  </w:abstractNum>
  <w:abstractNum w:abstractNumId="1" w15:restartNumberingAfterBreak="0">
    <w:nsid w:val="600F52BC"/>
    <w:multiLevelType w:val="singleLevel"/>
    <w:tmpl w:val="600F52BC"/>
    <w:lvl w:ilvl="0">
      <w:start w:val="1"/>
      <w:numFmt w:val="decimal"/>
      <w:suff w:val="nothing"/>
      <w:lvlText w:val="%1．"/>
      <w:lvlJc w:val="left"/>
      <w:pPr>
        <w:ind w:left="-6" w:firstLine="400"/>
      </w:pPr>
      <w:rPr>
        <w:rFonts w:hint="default"/>
      </w:rPr>
    </w:lvl>
  </w:abstractNum>
  <w:abstractNum w:abstractNumId="2" w15:restartNumberingAfterBreak="0">
    <w:nsid w:val="6CEA2025"/>
    <w:multiLevelType w:val="multilevel"/>
    <w:tmpl w:val="6CEA2025"/>
    <w:lvl w:ilvl="0">
      <w:start w:val="1"/>
      <w:numFmt w:val="none"/>
      <w:suff w:val="nothing"/>
      <w:lvlText w:val="%1"/>
      <w:lvlJc w:val="left"/>
      <w:pPr>
        <w:ind w:left="0" w:firstLine="0"/>
      </w:pPr>
      <w:rPr>
        <w:rFonts w:hint="eastAsia"/>
      </w:rPr>
    </w:lvl>
    <w:lvl w:ilvl="1">
      <w:start w:val="1"/>
      <w:numFmt w:val="decimal"/>
      <w:suff w:val="nothing"/>
      <w:lvlText w:val="%1%2　"/>
      <w:lvlJc w:val="left"/>
      <w:pPr>
        <w:ind w:left="0" w:firstLine="0"/>
      </w:pPr>
      <w:rPr>
        <w:rFonts w:ascii="黑体" w:eastAsia="黑体" w:hint="eastAsia"/>
        <w:b w:val="0"/>
        <w:i w:val="0"/>
        <w:sz w:val="21"/>
      </w:rPr>
    </w:lvl>
    <w:lvl w:ilvl="2">
      <w:start w:val="1"/>
      <w:numFmt w:val="decimal"/>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a"/>
      <w:suff w:val="nothing"/>
      <w:lvlText w:val="%1%2.%3.%4　"/>
      <w:lvlJc w:val="left"/>
      <w:pPr>
        <w:ind w:left="0" w:firstLine="0"/>
      </w:pPr>
      <w:rPr>
        <w:rFonts w:ascii="黑体" w:eastAsia="黑体" w:hint="eastAsia"/>
        <w:b w:val="0"/>
        <w:i w:val="0"/>
        <w:sz w:val="21"/>
      </w:rPr>
    </w:lvl>
    <w:lvl w:ilvl="4">
      <w:start w:val="1"/>
      <w:numFmt w:val="decimal"/>
      <w:pStyle w:val="a0"/>
      <w:suff w:val="nothing"/>
      <w:lvlText w:val="%1%2.%3.%4.%5　"/>
      <w:lvlJc w:val="left"/>
      <w:pPr>
        <w:ind w:left="0" w:firstLine="0"/>
      </w:pPr>
      <w:rPr>
        <w:rFonts w:ascii="黑体" w:eastAsia="黑体" w:hint="eastAsia"/>
        <w:b w:val="0"/>
        <w:i w:val="0"/>
        <w:sz w:val="21"/>
      </w:rPr>
    </w:lvl>
    <w:lvl w:ilvl="5">
      <w:start w:val="1"/>
      <w:numFmt w:val="decimal"/>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3" w15:restartNumberingAfterBreak="0">
    <w:nsid w:val="70ED1405"/>
    <w:multiLevelType w:val="singleLevel"/>
    <w:tmpl w:val="ECAC1A90"/>
    <w:lvl w:ilvl="0">
      <w:start w:val="1"/>
      <w:numFmt w:val="decimal"/>
      <w:suff w:val="nothing"/>
      <w:lvlText w:val="（%1）"/>
      <w:lvlJc w:val="left"/>
      <w:pPr>
        <w:ind w:left="-10" w:firstLine="0"/>
      </w:pPr>
      <w:rPr>
        <w:rFonts w:hint="eastAsia"/>
      </w:rPr>
    </w:lvl>
  </w:abstractNum>
  <w:abstractNum w:abstractNumId="4" w15:restartNumberingAfterBreak="0">
    <w:nsid w:val="7F87D2F1"/>
    <w:multiLevelType w:val="singleLevel"/>
    <w:tmpl w:val="7F87D2F1"/>
    <w:lvl w:ilvl="0">
      <w:start w:val="1"/>
      <w:numFmt w:val="decimal"/>
      <w:pStyle w:val="a1"/>
      <w:suff w:val="nothing"/>
      <w:lvlText w:val="%1．"/>
      <w:lvlJc w:val="left"/>
      <w:pPr>
        <w:ind w:left="0" w:firstLine="400"/>
      </w:pPr>
      <w:rPr>
        <w:rFonts w:ascii="仿宋_GB2312" w:eastAsia="仿宋_GB2312" w:hAnsi="仿宋_GB2312" w:cs="仿宋_GB2312" w:hint="default"/>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saveSubsetFonts/>
  <w:bordersDoNotSurroundHeader/>
  <w:bordersDoNotSurroundFooter/>
  <w:hideSpellingErrors/>
  <w:proofState w:spelling="clean" w:grammar="clean"/>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kNWI5NzMxMDc2N2VlYWFkNzQwNWM0ODU0YTI0Y2UifQ=="/>
  </w:docVars>
  <w:rsids>
    <w:rsidRoot w:val="004570CA"/>
    <w:rsid w:val="000002D3"/>
    <w:rsid w:val="000029D8"/>
    <w:rsid w:val="00006F09"/>
    <w:rsid w:val="00007619"/>
    <w:rsid w:val="0001152E"/>
    <w:rsid w:val="0001679C"/>
    <w:rsid w:val="00030133"/>
    <w:rsid w:val="00031D4C"/>
    <w:rsid w:val="0004774A"/>
    <w:rsid w:val="000555EF"/>
    <w:rsid w:val="000724B5"/>
    <w:rsid w:val="0009621B"/>
    <w:rsid w:val="00097BDE"/>
    <w:rsid w:val="000A07B2"/>
    <w:rsid w:val="000A0AE8"/>
    <w:rsid w:val="000A241F"/>
    <w:rsid w:val="000A36AA"/>
    <w:rsid w:val="000A58C6"/>
    <w:rsid w:val="000A7342"/>
    <w:rsid w:val="000A7AE7"/>
    <w:rsid w:val="000B3761"/>
    <w:rsid w:val="000C1DC3"/>
    <w:rsid w:val="000C49E7"/>
    <w:rsid w:val="000C4D82"/>
    <w:rsid w:val="000C5C75"/>
    <w:rsid w:val="000D3024"/>
    <w:rsid w:val="000F4574"/>
    <w:rsid w:val="000F7EEE"/>
    <w:rsid w:val="00103AE6"/>
    <w:rsid w:val="00104F81"/>
    <w:rsid w:val="0010560B"/>
    <w:rsid w:val="001115D2"/>
    <w:rsid w:val="00117589"/>
    <w:rsid w:val="001178EC"/>
    <w:rsid w:val="00120B75"/>
    <w:rsid w:val="00125217"/>
    <w:rsid w:val="001277D2"/>
    <w:rsid w:val="00132818"/>
    <w:rsid w:val="00134F5D"/>
    <w:rsid w:val="0014054F"/>
    <w:rsid w:val="001424D7"/>
    <w:rsid w:val="00155636"/>
    <w:rsid w:val="00161672"/>
    <w:rsid w:val="00163043"/>
    <w:rsid w:val="00166AFF"/>
    <w:rsid w:val="001711CA"/>
    <w:rsid w:val="00172A01"/>
    <w:rsid w:val="00180D16"/>
    <w:rsid w:val="00181DF4"/>
    <w:rsid w:val="00182060"/>
    <w:rsid w:val="001840CF"/>
    <w:rsid w:val="001851A0"/>
    <w:rsid w:val="001968F4"/>
    <w:rsid w:val="001A0557"/>
    <w:rsid w:val="001A40A9"/>
    <w:rsid w:val="001A7AC2"/>
    <w:rsid w:val="001B15D8"/>
    <w:rsid w:val="001B627C"/>
    <w:rsid w:val="001C146A"/>
    <w:rsid w:val="001C5EC4"/>
    <w:rsid w:val="001C7784"/>
    <w:rsid w:val="001D17B0"/>
    <w:rsid w:val="001D196B"/>
    <w:rsid w:val="001D2667"/>
    <w:rsid w:val="001D2CD1"/>
    <w:rsid w:val="001D336E"/>
    <w:rsid w:val="001D43C7"/>
    <w:rsid w:val="001D5697"/>
    <w:rsid w:val="001D7EB7"/>
    <w:rsid w:val="001E274A"/>
    <w:rsid w:val="001E32B6"/>
    <w:rsid w:val="001F355B"/>
    <w:rsid w:val="001F5607"/>
    <w:rsid w:val="00204A7A"/>
    <w:rsid w:val="00210A04"/>
    <w:rsid w:val="0021679D"/>
    <w:rsid w:val="00216E1E"/>
    <w:rsid w:val="00217AC3"/>
    <w:rsid w:val="00221A27"/>
    <w:rsid w:val="00240829"/>
    <w:rsid w:val="00246677"/>
    <w:rsid w:val="00250B1D"/>
    <w:rsid w:val="002517CC"/>
    <w:rsid w:val="00253170"/>
    <w:rsid w:val="00262140"/>
    <w:rsid w:val="00264A66"/>
    <w:rsid w:val="0026604B"/>
    <w:rsid w:val="00266467"/>
    <w:rsid w:val="00267F34"/>
    <w:rsid w:val="0027025B"/>
    <w:rsid w:val="00271415"/>
    <w:rsid w:val="00271B38"/>
    <w:rsid w:val="0027226C"/>
    <w:rsid w:val="0028751F"/>
    <w:rsid w:val="00290AAC"/>
    <w:rsid w:val="00292D64"/>
    <w:rsid w:val="002A692B"/>
    <w:rsid w:val="002B31A1"/>
    <w:rsid w:val="002B5B42"/>
    <w:rsid w:val="002B636F"/>
    <w:rsid w:val="002B653D"/>
    <w:rsid w:val="002C2FF6"/>
    <w:rsid w:val="002C3946"/>
    <w:rsid w:val="002D0199"/>
    <w:rsid w:val="002D0657"/>
    <w:rsid w:val="002D5604"/>
    <w:rsid w:val="002D617D"/>
    <w:rsid w:val="002D6656"/>
    <w:rsid w:val="002E257B"/>
    <w:rsid w:val="002F210F"/>
    <w:rsid w:val="002F42F0"/>
    <w:rsid w:val="00300D4D"/>
    <w:rsid w:val="003046E1"/>
    <w:rsid w:val="0030550E"/>
    <w:rsid w:val="00306885"/>
    <w:rsid w:val="00310AC1"/>
    <w:rsid w:val="00336FB7"/>
    <w:rsid w:val="00345D79"/>
    <w:rsid w:val="003503AE"/>
    <w:rsid w:val="003517E2"/>
    <w:rsid w:val="003573DD"/>
    <w:rsid w:val="00360B64"/>
    <w:rsid w:val="00364DDB"/>
    <w:rsid w:val="00370AD2"/>
    <w:rsid w:val="00375F61"/>
    <w:rsid w:val="00376213"/>
    <w:rsid w:val="00377BF3"/>
    <w:rsid w:val="00387DC9"/>
    <w:rsid w:val="003A6F97"/>
    <w:rsid w:val="003A7F68"/>
    <w:rsid w:val="003B0378"/>
    <w:rsid w:val="003B2A99"/>
    <w:rsid w:val="003B5C7E"/>
    <w:rsid w:val="003B7EF1"/>
    <w:rsid w:val="003C11B5"/>
    <w:rsid w:val="003C38F8"/>
    <w:rsid w:val="003C62DE"/>
    <w:rsid w:val="003C6B05"/>
    <w:rsid w:val="003D2AED"/>
    <w:rsid w:val="003D353C"/>
    <w:rsid w:val="003D5B8A"/>
    <w:rsid w:val="003D77F0"/>
    <w:rsid w:val="003E1298"/>
    <w:rsid w:val="003E7EDA"/>
    <w:rsid w:val="003F1F3E"/>
    <w:rsid w:val="003F5A8E"/>
    <w:rsid w:val="003F67AE"/>
    <w:rsid w:val="004036E8"/>
    <w:rsid w:val="004072AF"/>
    <w:rsid w:val="004104EC"/>
    <w:rsid w:val="00413065"/>
    <w:rsid w:val="00414653"/>
    <w:rsid w:val="004166A1"/>
    <w:rsid w:val="00425E7F"/>
    <w:rsid w:val="0042713F"/>
    <w:rsid w:val="00427C96"/>
    <w:rsid w:val="00437A74"/>
    <w:rsid w:val="004425B3"/>
    <w:rsid w:val="00442BD1"/>
    <w:rsid w:val="00444449"/>
    <w:rsid w:val="00454385"/>
    <w:rsid w:val="004570CA"/>
    <w:rsid w:val="00457FCB"/>
    <w:rsid w:val="00471159"/>
    <w:rsid w:val="0048104B"/>
    <w:rsid w:val="00481870"/>
    <w:rsid w:val="00482DFD"/>
    <w:rsid w:val="004860DF"/>
    <w:rsid w:val="00490C62"/>
    <w:rsid w:val="0049324F"/>
    <w:rsid w:val="004A27A1"/>
    <w:rsid w:val="004B1C23"/>
    <w:rsid w:val="004B4064"/>
    <w:rsid w:val="004B708C"/>
    <w:rsid w:val="004E3AC6"/>
    <w:rsid w:val="004E4B79"/>
    <w:rsid w:val="004E67BA"/>
    <w:rsid w:val="004F2AB8"/>
    <w:rsid w:val="004F5B63"/>
    <w:rsid w:val="00500466"/>
    <w:rsid w:val="00502FA1"/>
    <w:rsid w:val="00504D59"/>
    <w:rsid w:val="00530C21"/>
    <w:rsid w:val="00536431"/>
    <w:rsid w:val="00540052"/>
    <w:rsid w:val="00545919"/>
    <w:rsid w:val="0055240A"/>
    <w:rsid w:val="00557C7F"/>
    <w:rsid w:val="0057508B"/>
    <w:rsid w:val="005A26B1"/>
    <w:rsid w:val="005A63F7"/>
    <w:rsid w:val="005B11E4"/>
    <w:rsid w:val="005B1958"/>
    <w:rsid w:val="005B7922"/>
    <w:rsid w:val="005C3A0F"/>
    <w:rsid w:val="005C7A50"/>
    <w:rsid w:val="005C7F50"/>
    <w:rsid w:val="005D084B"/>
    <w:rsid w:val="005D0C99"/>
    <w:rsid w:val="005D1C13"/>
    <w:rsid w:val="005E1C9C"/>
    <w:rsid w:val="005E2B57"/>
    <w:rsid w:val="005E3F38"/>
    <w:rsid w:val="005E7F87"/>
    <w:rsid w:val="005F10A2"/>
    <w:rsid w:val="006008EB"/>
    <w:rsid w:val="00617AC8"/>
    <w:rsid w:val="006221E6"/>
    <w:rsid w:val="006225C7"/>
    <w:rsid w:val="0062562A"/>
    <w:rsid w:val="00634189"/>
    <w:rsid w:val="0065246D"/>
    <w:rsid w:val="00655CBD"/>
    <w:rsid w:val="006660F8"/>
    <w:rsid w:val="006704F2"/>
    <w:rsid w:val="006710A4"/>
    <w:rsid w:val="00680B79"/>
    <w:rsid w:val="00683FA6"/>
    <w:rsid w:val="006859F7"/>
    <w:rsid w:val="006B34BD"/>
    <w:rsid w:val="006B4F71"/>
    <w:rsid w:val="006C0074"/>
    <w:rsid w:val="006F1E81"/>
    <w:rsid w:val="006F4483"/>
    <w:rsid w:val="0070438B"/>
    <w:rsid w:val="00705AB6"/>
    <w:rsid w:val="007065C5"/>
    <w:rsid w:val="00715596"/>
    <w:rsid w:val="00722E53"/>
    <w:rsid w:val="00723442"/>
    <w:rsid w:val="00723450"/>
    <w:rsid w:val="00723BCC"/>
    <w:rsid w:val="007250CE"/>
    <w:rsid w:val="0073393F"/>
    <w:rsid w:val="00735A72"/>
    <w:rsid w:val="007409EC"/>
    <w:rsid w:val="007427C3"/>
    <w:rsid w:val="00752653"/>
    <w:rsid w:val="0075647C"/>
    <w:rsid w:val="00765467"/>
    <w:rsid w:val="007660D5"/>
    <w:rsid w:val="00772939"/>
    <w:rsid w:val="00773BFB"/>
    <w:rsid w:val="00784351"/>
    <w:rsid w:val="007B58E7"/>
    <w:rsid w:val="007B6211"/>
    <w:rsid w:val="007B76A3"/>
    <w:rsid w:val="007B7A42"/>
    <w:rsid w:val="007D76CD"/>
    <w:rsid w:val="007D7B6D"/>
    <w:rsid w:val="007F70B5"/>
    <w:rsid w:val="00807173"/>
    <w:rsid w:val="00813B48"/>
    <w:rsid w:val="00823107"/>
    <w:rsid w:val="00824666"/>
    <w:rsid w:val="0083402C"/>
    <w:rsid w:val="008341DA"/>
    <w:rsid w:val="00841C2C"/>
    <w:rsid w:val="008426CD"/>
    <w:rsid w:val="008451CF"/>
    <w:rsid w:val="008460F1"/>
    <w:rsid w:val="0085030C"/>
    <w:rsid w:val="00851CEA"/>
    <w:rsid w:val="00853A28"/>
    <w:rsid w:val="008559E9"/>
    <w:rsid w:val="008613B5"/>
    <w:rsid w:val="00875547"/>
    <w:rsid w:val="00875634"/>
    <w:rsid w:val="00886088"/>
    <w:rsid w:val="0088661C"/>
    <w:rsid w:val="00890421"/>
    <w:rsid w:val="00897ACB"/>
    <w:rsid w:val="008A0301"/>
    <w:rsid w:val="008A0FB2"/>
    <w:rsid w:val="008B1810"/>
    <w:rsid w:val="008C09E3"/>
    <w:rsid w:val="008C1025"/>
    <w:rsid w:val="008D6848"/>
    <w:rsid w:val="008F5C7D"/>
    <w:rsid w:val="008F699E"/>
    <w:rsid w:val="00902214"/>
    <w:rsid w:val="00902E19"/>
    <w:rsid w:val="00904D11"/>
    <w:rsid w:val="00906444"/>
    <w:rsid w:val="0091503B"/>
    <w:rsid w:val="00920BF7"/>
    <w:rsid w:val="0092700C"/>
    <w:rsid w:val="00930197"/>
    <w:rsid w:val="0093038B"/>
    <w:rsid w:val="0093400E"/>
    <w:rsid w:val="009367AA"/>
    <w:rsid w:val="009418E5"/>
    <w:rsid w:val="00946418"/>
    <w:rsid w:val="00946957"/>
    <w:rsid w:val="00955256"/>
    <w:rsid w:val="00963326"/>
    <w:rsid w:val="009637FA"/>
    <w:rsid w:val="0096759D"/>
    <w:rsid w:val="00976A89"/>
    <w:rsid w:val="009773F7"/>
    <w:rsid w:val="00992082"/>
    <w:rsid w:val="00995FF2"/>
    <w:rsid w:val="009A42C2"/>
    <w:rsid w:val="009A6057"/>
    <w:rsid w:val="009A6A77"/>
    <w:rsid w:val="009B09E7"/>
    <w:rsid w:val="009B2930"/>
    <w:rsid w:val="009C079F"/>
    <w:rsid w:val="009D078F"/>
    <w:rsid w:val="009D5F53"/>
    <w:rsid w:val="009F2D23"/>
    <w:rsid w:val="00A05EEE"/>
    <w:rsid w:val="00A069D4"/>
    <w:rsid w:val="00A32CBE"/>
    <w:rsid w:val="00A40FF2"/>
    <w:rsid w:val="00A45C4C"/>
    <w:rsid w:val="00A52947"/>
    <w:rsid w:val="00A547B5"/>
    <w:rsid w:val="00A57D57"/>
    <w:rsid w:val="00A60159"/>
    <w:rsid w:val="00A60CE5"/>
    <w:rsid w:val="00A62EAD"/>
    <w:rsid w:val="00A6350A"/>
    <w:rsid w:val="00A63B4F"/>
    <w:rsid w:val="00A86DAE"/>
    <w:rsid w:val="00A871A7"/>
    <w:rsid w:val="00A96D77"/>
    <w:rsid w:val="00AA14F5"/>
    <w:rsid w:val="00AA1CDF"/>
    <w:rsid w:val="00AA6F60"/>
    <w:rsid w:val="00AB047B"/>
    <w:rsid w:val="00AB5FB2"/>
    <w:rsid w:val="00AB6749"/>
    <w:rsid w:val="00AC0893"/>
    <w:rsid w:val="00AC4B62"/>
    <w:rsid w:val="00AC4DEA"/>
    <w:rsid w:val="00AC60C8"/>
    <w:rsid w:val="00AD082E"/>
    <w:rsid w:val="00AD690B"/>
    <w:rsid w:val="00AF1532"/>
    <w:rsid w:val="00AF1ECB"/>
    <w:rsid w:val="00AF2C8C"/>
    <w:rsid w:val="00AF2EBC"/>
    <w:rsid w:val="00AF4A51"/>
    <w:rsid w:val="00AF5F44"/>
    <w:rsid w:val="00B112D1"/>
    <w:rsid w:val="00B117DC"/>
    <w:rsid w:val="00B11872"/>
    <w:rsid w:val="00B1591E"/>
    <w:rsid w:val="00B21435"/>
    <w:rsid w:val="00B221E8"/>
    <w:rsid w:val="00B22BA0"/>
    <w:rsid w:val="00B23F2E"/>
    <w:rsid w:val="00B30762"/>
    <w:rsid w:val="00B30DB4"/>
    <w:rsid w:val="00B36C00"/>
    <w:rsid w:val="00B444EE"/>
    <w:rsid w:val="00B63CC3"/>
    <w:rsid w:val="00B72C24"/>
    <w:rsid w:val="00B73CEA"/>
    <w:rsid w:val="00B7436B"/>
    <w:rsid w:val="00B8724C"/>
    <w:rsid w:val="00B97EA6"/>
    <w:rsid w:val="00BA036F"/>
    <w:rsid w:val="00BA054E"/>
    <w:rsid w:val="00BA3D02"/>
    <w:rsid w:val="00BB3523"/>
    <w:rsid w:val="00BB3E0E"/>
    <w:rsid w:val="00BC093A"/>
    <w:rsid w:val="00BC308E"/>
    <w:rsid w:val="00BD3DC1"/>
    <w:rsid w:val="00BD6618"/>
    <w:rsid w:val="00BE0DAF"/>
    <w:rsid w:val="00BE15DF"/>
    <w:rsid w:val="00BE2AE0"/>
    <w:rsid w:val="00BE7993"/>
    <w:rsid w:val="00BF175A"/>
    <w:rsid w:val="00C009F9"/>
    <w:rsid w:val="00C01233"/>
    <w:rsid w:val="00C039FD"/>
    <w:rsid w:val="00C12DE3"/>
    <w:rsid w:val="00C175A6"/>
    <w:rsid w:val="00C17D50"/>
    <w:rsid w:val="00C17DE4"/>
    <w:rsid w:val="00C237C3"/>
    <w:rsid w:val="00C4666B"/>
    <w:rsid w:val="00C46FD3"/>
    <w:rsid w:val="00C4701E"/>
    <w:rsid w:val="00C507D6"/>
    <w:rsid w:val="00C50D81"/>
    <w:rsid w:val="00C517A6"/>
    <w:rsid w:val="00C54D52"/>
    <w:rsid w:val="00C55B33"/>
    <w:rsid w:val="00C603E7"/>
    <w:rsid w:val="00C62EAD"/>
    <w:rsid w:val="00C645DF"/>
    <w:rsid w:val="00C64B55"/>
    <w:rsid w:val="00C6577F"/>
    <w:rsid w:val="00C65EA5"/>
    <w:rsid w:val="00C6764F"/>
    <w:rsid w:val="00C70280"/>
    <w:rsid w:val="00C72721"/>
    <w:rsid w:val="00C76A05"/>
    <w:rsid w:val="00C86456"/>
    <w:rsid w:val="00C927B7"/>
    <w:rsid w:val="00C9416B"/>
    <w:rsid w:val="00C96B1F"/>
    <w:rsid w:val="00C97D54"/>
    <w:rsid w:val="00CA69FD"/>
    <w:rsid w:val="00CB2C30"/>
    <w:rsid w:val="00CB37C5"/>
    <w:rsid w:val="00CB5325"/>
    <w:rsid w:val="00CB62BF"/>
    <w:rsid w:val="00CB64B2"/>
    <w:rsid w:val="00CC0CB9"/>
    <w:rsid w:val="00CC5434"/>
    <w:rsid w:val="00CD0D5A"/>
    <w:rsid w:val="00CE47DB"/>
    <w:rsid w:val="00CE4EDE"/>
    <w:rsid w:val="00CE563A"/>
    <w:rsid w:val="00CF014A"/>
    <w:rsid w:val="00CF0307"/>
    <w:rsid w:val="00CF0E55"/>
    <w:rsid w:val="00D04D7F"/>
    <w:rsid w:val="00D06A1E"/>
    <w:rsid w:val="00D160D9"/>
    <w:rsid w:val="00D20E41"/>
    <w:rsid w:val="00D2151A"/>
    <w:rsid w:val="00D23242"/>
    <w:rsid w:val="00D27165"/>
    <w:rsid w:val="00D400D1"/>
    <w:rsid w:val="00D414C3"/>
    <w:rsid w:val="00D50375"/>
    <w:rsid w:val="00D53E9C"/>
    <w:rsid w:val="00D62CA9"/>
    <w:rsid w:val="00D73226"/>
    <w:rsid w:val="00D75004"/>
    <w:rsid w:val="00D765F2"/>
    <w:rsid w:val="00D77918"/>
    <w:rsid w:val="00D906EC"/>
    <w:rsid w:val="00D90B28"/>
    <w:rsid w:val="00D92A47"/>
    <w:rsid w:val="00D94A13"/>
    <w:rsid w:val="00D95793"/>
    <w:rsid w:val="00D966DD"/>
    <w:rsid w:val="00DC046E"/>
    <w:rsid w:val="00DC60B9"/>
    <w:rsid w:val="00DD00AD"/>
    <w:rsid w:val="00DD1646"/>
    <w:rsid w:val="00DD7765"/>
    <w:rsid w:val="00DE1BE7"/>
    <w:rsid w:val="00DE6340"/>
    <w:rsid w:val="00DF2862"/>
    <w:rsid w:val="00DF6F02"/>
    <w:rsid w:val="00E13C7C"/>
    <w:rsid w:val="00E25414"/>
    <w:rsid w:val="00E26836"/>
    <w:rsid w:val="00E30051"/>
    <w:rsid w:val="00E40717"/>
    <w:rsid w:val="00E42DE0"/>
    <w:rsid w:val="00E43D97"/>
    <w:rsid w:val="00E43F83"/>
    <w:rsid w:val="00E446C6"/>
    <w:rsid w:val="00E47929"/>
    <w:rsid w:val="00E53F4E"/>
    <w:rsid w:val="00E62AC4"/>
    <w:rsid w:val="00E903C7"/>
    <w:rsid w:val="00E92859"/>
    <w:rsid w:val="00EA0D72"/>
    <w:rsid w:val="00EB24E1"/>
    <w:rsid w:val="00EB29D9"/>
    <w:rsid w:val="00EB6550"/>
    <w:rsid w:val="00EB7DAC"/>
    <w:rsid w:val="00EC0283"/>
    <w:rsid w:val="00EC0DFC"/>
    <w:rsid w:val="00EC1DAE"/>
    <w:rsid w:val="00EC2D87"/>
    <w:rsid w:val="00EC3146"/>
    <w:rsid w:val="00EC74B5"/>
    <w:rsid w:val="00EE3C7F"/>
    <w:rsid w:val="00EF5527"/>
    <w:rsid w:val="00F027F4"/>
    <w:rsid w:val="00F03FA6"/>
    <w:rsid w:val="00F10A89"/>
    <w:rsid w:val="00F141C0"/>
    <w:rsid w:val="00F21DBE"/>
    <w:rsid w:val="00F21F6F"/>
    <w:rsid w:val="00F24DE1"/>
    <w:rsid w:val="00F27E2F"/>
    <w:rsid w:val="00F27EA0"/>
    <w:rsid w:val="00F41F64"/>
    <w:rsid w:val="00F57809"/>
    <w:rsid w:val="00F67AA5"/>
    <w:rsid w:val="00F74780"/>
    <w:rsid w:val="00F768EF"/>
    <w:rsid w:val="00F842EE"/>
    <w:rsid w:val="00F915FE"/>
    <w:rsid w:val="00F923CB"/>
    <w:rsid w:val="00F96B16"/>
    <w:rsid w:val="00FB2C89"/>
    <w:rsid w:val="00FB43A2"/>
    <w:rsid w:val="00FC2D97"/>
    <w:rsid w:val="00FC76AA"/>
    <w:rsid w:val="00FD11DF"/>
    <w:rsid w:val="00FD164E"/>
    <w:rsid w:val="00FE24BB"/>
    <w:rsid w:val="00FE33E3"/>
    <w:rsid w:val="00FE77A2"/>
    <w:rsid w:val="00FF29D0"/>
    <w:rsid w:val="00FF4E6D"/>
    <w:rsid w:val="00FF6204"/>
    <w:rsid w:val="00FF6C05"/>
    <w:rsid w:val="00FF6E50"/>
    <w:rsid w:val="00FF7B86"/>
    <w:rsid w:val="010764E3"/>
    <w:rsid w:val="01113D6B"/>
    <w:rsid w:val="011B58EE"/>
    <w:rsid w:val="012515C4"/>
    <w:rsid w:val="012C1337"/>
    <w:rsid w:val="012C2953"/>
    <w:rsid w:val="01527B5F"/>
    <w:rsid w:val="015B3238"/>
    <w:rsid w:val="015B6D94"/>
    <w:rsid w:val="01657C13"/>
    <w:rsid w:val="019D73AC"/>
    <w:rsid w:val="01AF3208"/>
    <w:rsid w:val="01B3097E"/>
    <w:rsid w:val="01BD17FD"/>
    <w:rsid w:val="01BF5783"/>
    <w:rsid w:val="01D52A47"/>
    <w:rsid w:val="0204567E"/>
    <w:rsid w:val="022C24DE"/>
    <w:rsid w:val="02375F16"/>
    <w:rsid w:val="023C4E17"/>
    <w:rsid w:val="02661E94"/>
    <w:rsid w:val="027A12A2"/>
    <w:rsid w:val="027C5214"/>
    <w:rsid w:val="02881E0B"/>
    <w:rsid w:val="02895B83"/>
    <w:rsid w:val="029C7664"/>
    <w:rsid w:val="029F53A6"/>
    <w:rsid w:val="02A45027"/>
    <w:rsid w:val="02AF7F28"/>
    <w:rsid w:val="02BE1438"/>
    <w:rsid w:val="02C32E43"/>
    <w:rsid w:val="02F079B0"/>
    <w:rsid w:val="03045209"/>
    <w:rsid w:val="031E451D"/>
    <w:rsid w:val="033124A2"/>
    <w:rsid w:val="03323B24"/>
    <w:rsid w:val="033C0E47"/>
    <w:rsid w:val="03476C84"/>
    <w:rsid w:val="034A3564"/>
    <w:rsid w:val="034A5312"/>
    <w:rsid w:val="039E6195"/>
    <w:rsid w:val="03A34A22"/>
    <w:rsid w:val="03AC1B29"/>
    <w:rsid w:val="03B73B1E"/>
    <w:rsid w:val="03D177E1"/>
    <w:rsid w:val="03DA48E8"/>
    <w:rsid w:val="03E17FEB"/>
    <w:rsid w:val="04012209"/>
    <w:rsid w:val="04556FDE"/>
    <w:rsid w:val="0475494B"/>
    <w:rsid w:val="04763EE5"/>
    <w:rsid w:val="04997E32"/>
    <w:rsid w:val="049C1B9D"/>
    <w:rsid w:val="04AA3A81"/>
    <w:rsid w:val="04AB0032"/>
    <w:rsid w:val="04B2316F"/>
    <w:rsid w:val="04C959D7"/>
    <w:rsid w:val="04DF7CDC"/>
    <w:rsid w:val="04F351BB"/>
    <w:rsid w:val="05053465"/>
    <w:rsid w:val="05191440"/>
    <w:rsid w:val="052A53FB"/>
    <w:rsid w:val="052C2F85"/>
    <w:rsid w:val="053D054C"/>
    <w:rsid w:val="0543026B"/>
    <w:rsid w:val="056B28D7"/>
    <w:rsid w:val="05726DA2"/>
    <w:rsid w:val="05746676"/>
    <w:rsid w:val="058D6A20"/>
    <w:rsid w:val="05921402"/>
    <w:rsid w:val="05926AFC"/>
    <w:rsid w:val="05940AC6"/>
    <w:rsid w:val="05C84C14"/>
    <w:rsid w:val="05D76C05"/>
    <w:rsid w:val="05D9297D"/>
    <w:rsid w:val="060816FA"/>
    <w:rsid w:val="060A0D89"/>
    <w:rsid w:val="06147E59"/>
    <w:rsid w:val="064D2FFD"/>
    <w:rsid w:val="06840B3B"/>
    <w:rsid w:val="069B5E85"/>
    <w:rsid w:val="06AC1E40"/>
    <w:rsid w:val="06B807E5"/>
    <w:rsid w:val="06CC4290"/>
    <w:rsid w:val="06CE1DB6"/>
    <w:rsid w:val="06EF599D"/>
    <w:rsid w:val="06F85085"/>
    <w:rsid w:val="070E2AFA"/>
    <w:rsid w:val="07161A83"/>
    <w:rsid w:val="0724760E"/>
    <w:rsid w:val="07375BAD"/>
    <w:rsid w:val="073A38EF"/>
    <w:rsid w:val="074107DA"/>
    <w:rsid w:val="074A1D85"/>
    <w:rsid w:val="07634BF4"/>
    <w:rsid w:val="07A86AAB"/>
    <w:rsid w:val="07B74F40"/>
    <w:rsid w:val="07BC4304"/>
    <w:rsid w:val="07BD3C84"/>
    <w:rsid w:val="07BD6B04"/>
    <w:rsid w:val="07CF228A"/>
    <w:rsid w:val="07F92DB8"/>
    <w:rsid w:val="0802639E"/>
    <w:rsid w:val="080A78AC"/>
    <w:rsid w:val="08275C22"/>
    <w:rsid w:val="08396FEC"/>
    <w:rsid w:val="08602EE2"/>
    <w:rsid w:val="08630B9B"/>
    <w:rsid w:val="08915791"/>
    <w:rsid w:val="089E2538"/>
    <w:rsid w:val="08C6547B"/>
    <w:rsid w:val="08D42B95"/>
    <w:rsid w:val="08F71A98"/>
    <w:rsid w:val="0907198C"/>
    <w:rsid w:val="0913264A"/>
    <w:rsid w:val="091E51EB"/>
    <w:rsid w:val="09277590"/>
    <w:rsid w:val="092D370C"/>
    <w:rsid w:val="09304FAA"/>
    <w:rsid w:val="093C394F"/>
    <w:rsid w:val="0946657C"/>
    <w:rsid w:val="096133B5"/>
    <w:rsid w:val="09702F64"/>
    <w:rsid w:val="09880942"/>
    <w:rsid w:val="09B06C9C"/>
    <w:rsid w:val="09D90390"/>
    <w:rsid w:val="09E54FC6"/>
    <w:rsid w:val="0A105578"/>
    <w:rsid w:val="0A1421D6"/>
    <w:rsid w:val="0A374116"/>
    <w:rsid w:val="0A3B59B5"/>
    <w:rsid w:val="0A402DE6"/>
    <w:rsid w:val="0A4535DA"/>
    <w:rsid w:val="0A456833"/>
    <w:rsid w:val="0A4800D1"/>
    <w:rsid w:val="0A621193"/>
    <w:rsid w:val="0A7D7D7B"/>
    <w:rsid w:val="0A91640E"/>
    <w:rsid w:val="0AA43C12"/>
    <w:rsid w:val="0AAE262A"/>
    <w:rsid w:val="0ABE2142"/>
    <w:rsid w:val="0AC0410C"/>
    <w:rsid w:val="0ACC0D02"/>
    <w:rsid w:val="0AF73FD1"/>
    <w:rsid w:val="0B094C47"/>
    <w:rsid w:val="0B1269BE"/>
    <w:rsid w:val="0B2428ED"/>
    <w:rsid w:val="0B3A5C6C"/>
    <w:rsid w:val="0B3F66D6"/>
    <w:rsid w:val="0B601965"/>
    <w:rsid w:val="0B675067"/>
    <w:rsid w:val="0B722975"/>
    <w:rsid w:val="0BA80E28"/>
    <w:rsid w:val="0BA94BA0"/>
    <w:rsid w:val="0BB43F19"/>
    <w:rsid w:val="0BC32105"/>
    <w:rsid w:val="0BF95B27"/>
    <w:rsid w:val="0C0369A6"/>
    <w:rsid w:val="0C094DF9"/>
    <w:rsid w:val="0C286ADE"/>
    <w:rsid w:val="0C4F74F5"/>
    <w:rsid w:val="0C592F89"/>
    <w:rsid w:val="0C6E02C3"/>
    <w:rsid w:val="0C6E7A0C"/>
    <w:rsid w:val="0CAF1744"/>
    <w:rsid w:val="0CB35CD6"/>
    <w:rsid w:val="0CBB6FB2"/>
    <w:rsid w:val="0CBC583E"/>
    <w:rsid w:val="0CE20369"/>
    <w:rsid w:val="0CF63E15"/>
    <w:rsid w:val="0CF956B3"/>
    <w:rsid w:val="0D1036FE"/>
    <w:rsid w:val="0D1129FD"/>
    <w:rsid w:val="0D164897"/>
    <w:rsid w:val="0D305F43"/>
    <w:rsid w:val="0D3112F1"/>
    <w:rsid w:val="0D6945E7"/>
    <w:rsid w:val="0D8B27AF"/>
    <w:rsid w:val="0D8D29CB"/>
    <w:rsid w:val="0D9F1B38"/>
    <w:rsid w:val="0DAE5704"/>
    <w:rsid w:val="0DB066B9"/>
    <w:rsid w:val="0DD73C46"/>
    <w:rsid w:val="0DF30354"/>
    <w:rsid w:val="0E010CC3"/>
    <w:rsid w:val="0E082052"/>
    <w:rsid w:val="0E1529C0"/>
    <w:rsid w:val="0E244726"/>
    <w:rsid w:val="0E4B0190"/>
    <w:rsid w:val="0E6D0107"/>
    <w:rsid w:val="0E8245E4"/>
    <w:rsid w:val="0E8611C8"/>
    <w:rsid w:val="0E87566C"/>
    <w:rsid w:val="0E8D07A9"/>
    <w:rsid w:val="0E8E2A5E"/>
    <w:rsid w:val="0EA31D7A"/>
    <w:rsid w:val="0EA35638"/>
    <w:rsid w:val="0EC95F88"/>
    <w:rsid w:val="0ED21969"/>
    <w:rsid w:val="0ED308B1"/>
    <w:rsid w:val="0ED85EC8"/>
    <w:rsid w:val="0EDB59B8"/>
    <w:rsid w:val="0F11087B"/>
    <w:rsid w:val="0F20161D"/>
    <w:rsid w:val="0F2C6C66"/>
    <w:rsid w:val="0F3835E7"/>
    <w:rsid w:val="0F4C0664"/>
    <w:rsid w:val="0F5054F7"/>
    <w:rsid w:val="0F5E34E0"/>
    <w:rsid w:val="0F683F28"/>
    <w:rsid w:val="0F953DB9"/>
    <w:rsid w:val="0F9C5147"/>
    <w:rsid w:val="0FA97864"/>
    <w:rsid w:val="0FDE1B16"/>
    <w:rsid w:val="0FE20680"/>
    <w:rsid w:val="0FF94348"/>
    <w:rsid w:val="100920B1"/>
    <w:rsid w:val="10156852"/>
    <w:rsid w:val="101649EC"/>
    <w:rsid w:val="1019280D"/>
    <w:rsid w:val="101E3DAE"/>
    <w:rsid w:val="1045758D"/>
    <w:rsid w:val="105F7F23"/>
    <w:rsid w:val="106A2B50"/>
    <w:rsid w:val="10790FE5"/>
    <w:rsid w:val="10B244F7"/>
    <w:rsid w:val="10BA2575"/>
    <w:rsid w:val="10C06C14"/>
    <w:rsid w:val="10CD1330"/>
    <w:rsid w:val="10CF7FC4"/>
    <w:rsid w:val="10DE52EC"/>
    <w:rsid w:val="10DE709A"/>
    <w:rsid w:val="10E8616A"/>
    <w:rsid w:val="10FA5A47"/>
    <w:rsid w:val="111B3927"/>
    <w:rsid w:val="111F7DDE"/>
    <w:rsid w:val="113E619F"/>
    <w:rsid w:val="115122ED"/>
    <w:rsid w:val="11586EE7"/>
    <w:rsid w:val="115B1C24"/>
    <w:rsid w:val="11671785"/>
    <w:rsid w:val="116A6B7F"/>
    <w:rsid w:val="11B524F0"/>
    <w:rsid w:val="11B81FE1"/>
    <w:rsid w:val="11BB5040"/>
    <w:rsid w:val="11C95F9C"/>
    <w:rsid w:val="12045226"/>
    <w:rsid w:val="124473D0"/>
    <w:rsid w:val="12463148"/>
    <w:rsid w:val="12503FC7"/>
    <w:rsid w:val="1272218F"/>
    <w:rsid w:val="12955E7E"/>
    <w:rsid w:val="12A06F1A"/>
    <w:rsid w:val="12B5207C"/>
    <w:rsid w:val="12C02EFB"/>
    <w:rsid w:val="12C549B5"/>
    <w:rsid w:val="12C765B7"/>
    <w:rsid w:val="12D93FBD"/>
    <w:rsid w:val="12E56E05"/>
    <w:rsid w:val="13070B2A"/>
    <w:rsid w:val="13135720"/>
    <w:rsid w:val="133B4C77"/>
    <w:rsid w:val="13491142"/>
    <w:rsid w:val="13497394"/>
    <w:rsid w:val="13540B2E"/>
    <w:rsid w:val="136E2957"/>
    <w:rsid w:val="138959E3"/>
    <w:rsid w:val="139D3DFC"/>
    <w:rsid w:val="13A72EEF"/>
    <w:rsid w:val="13CD36B9"/>
    <w:rsid w:val="13D20ADC"/>
    <w:rsid w:val="13D50C28"/>
    <w:rsid w:val="13E946D3"/>
    <w:rsid w:val="13E96481"/>
    <w:rsid w:val="140A3B78"/>
    <w:rsid w:val="1417547A"/>
    <w:rsid w:val="141A2ADF"/>
    <w:rsid w:val="141C43A8"/>
    <w:rsid w:val="14214C4A"/>
    <w:rsid w:val="142E658A"/>
    <w:rsid w:val="14342571"/>
    <w:rsid w:val="144760A7"/>
    <w:rsid w:val="144A465D"/>
    <w:rsid w:val="144E09DA"/>
    <w:rsid w:val="146124BC"/>
    <w:rsid w:val="1461426A"/>
    <w:rsid w:val="147C094F"/>
    <w:rsid w:val="14863CD0"/>
    <w:rsid w:val="14B52807"/>
    <w:rsid w:val="14C34F24"/>
    <w:rsid w:val="14CD18FF"/>
    <w:rsid w:val="14E742D5"/>
    <w:rsid w:val="14ED01F3"/>
    <w:rsid w:val="14FC3F92"/>
    <w:rsid w:val="151632A6"/>
    <w:rsid w:val="151641DC"/>
    <w:rsid w:val="15347BD0"/>
    <w:rsid w:val="153D188B"/>
    <w:rsid w:val="154047C7"/>
    <w:rsid w:val="156D6C3E"/>
    <w:rsid w:val="156E30E2"/>
    <w:rsid w:val="15712BD2"/>
    <w:rsid w:val="15800CC8"/>
    <w:rsid w:val="15843E8B"/>
    <w:rsid w:val="158E5532"/>
    <w:rsid w:val="15BD1974"/>
    <w:rsid w:val="15C2342E"/>
    <w:rsid w:val="15E72E94"/>
    <w:rsid w:val="16077093"/>
    <w:rsid w:val="161672D6"/>
    <w:rsid w:val="16180394"/>
    <w:rsid w:val="1618304E"/>
    <w:rsid w:val="1635673D"/>
    <w:rsid w:val="164149B6"/>
    <w:rsid w:val="165C118C"/>
    <w:rsid w:val="1660435D"/>
    <w:rsid w:val="16677B31"/>
    <w:rsid w:val="169326D4"/>
    <w:rsid w:val="16B207CA"/>
    <w:rsid w:val="16B702AD"/>
    <w:rsid w:val="16E3540A"/>
    <w:rsid w:val="16FB6BF7"/>
    <w:rsid w:val="17034063"/>
    <w:rsid w:val="170D06D9"/>
    <w:rsid w:val="172925CA"/>
    <w:rsid w:val="17304BCD"/>
    <w:rsid w:val="175D4FCA"/>
    <w:rsid w:val="1763654B"/>
    <w:rsid w:val="17A1031E"/>
    <w:rsid w:val="17A34B99"/>
    <w:rsid w:val="17A531CF"/>
    <w:rsid w:val="17AD5A18"/>
    <w:rsid w:val="17B84AE8"/>
    <w:rsid w:val="17C214C3"/>
    <w:rsid w:val="17C76AD9"/>
    <w:rsid w:val="17CC2342"/>
    <w:rsid w:val="17D819FB"/>
    <w:rsid w:val="17DA28DA"/>
    <w:rsid w:val="17E14BEB"/>
    <w:rsid w:val="17E86A50"/>
    <w:rsid w:val="17EA1584"/>
    <w:rsid w:val="17EC6CE1"/>
    <w:rsid w:val="17EE22B8"/>
    <w:rsid w:val="17F84EE5"/>
    <w:rsid w:val="18154FDF"/>
    <w:rsid w:val="182C52B5"/>
    <w:rsid w:val="18351C95"/>
    <w:rsid w:val="18541CF2"/>
    <w:rsid w:val="18602A8A"/>
    <w:rsid w:val="18702CCD"/>
    <w:rsid w:val="18707171"/>
    <w:rsid w:val="18756535"/>
    <w:rsid w:val="18AE4589"/>
    <w:rsid w:val="18C82B09"/>
    <w:rsid w:val="18CD6E50"/>
    <w:rsid w:val="18DC1ABD"/>
    <w:rsid w:val="18F935F9"/>
    <w:rsid w:val="190634BA"/>
    <w:rsid w:val="190F0738"/>
    <w:rsid w:val="19257F5C"/>
    <w:rsid w:val="192F4E41"/>
    <w:rsid w:val="196B7938"/>
    <w:rsid w:val="1971594F"/>
    <w:rsid w:val="19742C91"/>
    <w:rsid w:val="19832ED4"/>
    <w:rsid w:val="19866DD1"/>
    <w:rsid w:val="198805EA"/>
    <w:rsid w:val="198C3F5C"/>
    <w:rsid w:val="1994787E"/>
    <w:rsid w:val="199E1ABC"/>
    <w:rsid w:val="19C86A6D"/>
    <w:rsid w:val="19F57A56"/>
    <w:rsid w:val="1A02204B"/>
    <w:rsid w:val="1A116732"/>
    <w:rsid w:val="1A283D75"/>
    <w:rsid w:val="1A3741DD"/>
    <w:rsid w:val="1A516B2E"/>
    <w:rsid w:val="1A705206"/>
    <w:rsid w:val="1A75281D"/>
    <w:rsid w:val="1AA475A6"/>
    <w:rsid w:val="1ACD2659"/>
    <w:rsid w:val="1AD20404"/>
    <w:rsid w:val="1AD80FFE"/>
    <w:rsid w:val="1AE25F54"/>
    <w:rsid w:val="1B083691"/>
    <w:rsid w:val="1B193101"/>
    <w:rsid w:val="1B2B2CEA"/>
    <w:rsid w:val="1B4556F0"/>
    <w:rsid w:val="1B486006"/>
    <w:rsid w:val="1B9B2757"/>
    <w:rsid w:val="1BE13EE2"/>
    <w:rsid w:val="1BE51C24"/>
    <w:rsid w:val="1BF711F2"/>
    <w:rsid w:val="1C16002F"/>
    <w:rsid w:val="1C1918CE"/>
    <w:rsid w:val="1C1D316C"/>
    <w:rsid w:val="1C3F4CE8"/>
    <w:rsid w:val="1C4755EC"/>
    <w:rsid w:val="1C512EAC"/>
    <w:rsid w:val="1C533032"/>
    <w:rsid w:val="1C5A43C0"/>
    <w:rsid w:val="1C646FED"/>
    <w:rsid w:val="1C6C40F3"/>
    <w:rsid w:val="1C740447"/>
    <w:rsid w:val="1C93342E"/>
    <w:rsid w:val="1C9F1DD3"/>
    <w:rsid w:val="1CA13D9D"/>
    <w:rsid w:val="1CAC2742"/>
    <w:rsid w:val="1CD0541E"/>
    <w:rsid w:val="1CE156D8"/>
    <w:rsid w:val="1CFD4D4B"/>
    <w:rsid w:val="1D063C00"/>
    <w:rsid w:val="1D077978"/>
    <w:rsid w:val="1D1B6050"/>
    <w:rsid w:val="1D2642A2"/>
    <w:rsid w:val="1D303373"/>
    <w:rsid w:val="1D3249F5"/>
    <w:rsid w:val="1D383FD6"/>
    <w:rsid w:val="1D4F5582"/>
    <w:rsid w:val="1D5C4168"/>
    <w:rsid w:val="1D9E02DC"/>
    <w:rsid w:val="1DA13EB7"/>
    <w:rsid w:val="1DAF24EA"/>
    <w:rsid w:val="1DB418AE"/>
    <w:rsid w:val="1DBA0CD4"/>
    <w:rsid w:val="1DC35F95"/>
    <w:rsid w:val="1DD0420E"/>
    <w:rsid w:val="1DD261D8"/>
    <w:rsid w:val="1DFE0D7B"/>
    <w:rsid w:val="1E2F7187"/>
    <w:rsid w:val="1E5D33B2"/>
    <w:rsid w:val="1E5F2DC5"/>
    <w:rsid w:val="1E85149C"/>
    <w:rsid w:val="1E890F8D"/>
    <w:rsid w:val="1E8C282B"/>
    <w:rsid w:val="1E8C45D9"/>
    <w:rsid w:val="1E8E0351"/>
    <w:rsid w:val="1E982F7E"/>
    <w:rsid w:val="1E9B0CC0"/>
    <w:rsid w:val="1EA05B80"/>
    <w:rsid w:val="1EA336D1"/>
    <w:rsid w:val="1EB1403F"/>
    <w:rsid w:val="1EB3600A"/>
    <w:rsid w:val="1ED0096A"/>
    <w:rsid w:val="1EEA1E81"/>
    <w:rsid w:val="1EF84E1D"/>
    <w:rsid w:val="1EFB442D"/>
    <w:rsid w:val="1F130856"/>
    <w:rsid w:val="1F1620F4"/>
    <w:rsid w:val="1F173DF1"/>
    <w:rsid w:val="1F262D0B"/>
    <w:rsid w:val="1F29007A"/>
    <w:rsid w:val="1F3A7323"/>
    <w:rsid w:val="1F3E3D69"/>
    <w:rsid w:val="1F462292"/>
    <w:rsid w:val="1F555E2B"/>
    <w:rsid w:val="1F6D17F9"/>
    <w:rsid w:val="1F7806C5"/>
    <w:rsid w:val="1F7E03C6"/>
    <w:rsid w:val="1F7F5EEC"/>
    <w:rsid w:val="1F841754"/>
    <w:rsid w:val="1F8650DF"/>
    <w:rsid w:val="1F99651E"/>
    <w:rsid w:val="1F996949"/>
    <w:rsid w:val="1FBA6F24"/>
    <w:rsid w:val="1FC63FA6"/>
    <w:rsid w:val="1FE02E2E"/>
    <w:rsid w:val="1FF00B97"/>
    <w:rsid w:val="1FF92929"/>
    <w:rsid w:val="202820DF"/>
    <w:rsid w:val="20484530"/>
    <w:rsid w:val="204C4E74"/>
    <w:rsid w:val="20564E9E"/>
    <w:rsid w:val="20607ACB"/>
    <w:rsid w:val="207E15CE"/>
    <w:rsid w:val="2084196E"/>
    <w:rsid w:val="20A025BE"/>
    <w:rsid w:val="20A756FA"/>
    <w:rsid w:val="20A91472"/>
    <w:rsid w:val="20BC5AB0"/>
    <w:rsid w:val="20D44015"/>
    <w:rsid w:val="20EE79FA"/>
    <w:rsid w:val="21294361"/>
    <w:rsid w:val="21537630"/>
    <w:rsid w:val="21676C37"/>
    <w:rsid w:val="216C72F5"/>
    <w:rsid w:val="217925AE"/>
    <w:rsid w:val="217D645B"/>
    <w:rsid w:val="217E28FF"/>
    <w:rsid w:val="21837F15"/>
    <w:rsid w:val="2190166D"/>
    <w:rsid w:val="21DA565B"/>
    <w:rsid w:val="21E36C06"/>
    <w:rsid w:val="21F11323"/>
    <w:rsid w:val="221943D6"/>
    <w:rsid w:val="221E379A"/>
    <w:rsid w:val="22482F0D"/>
    <w:rsid w:val="224C47AB"/>
    <w:rsid w:val="224F6049"/>
    <w:rsid w:val="229D08A0"/>
    <w:rsid w:val="22A23A9C"/>
    <w:rsid w:val="22A85759"/>
    <w:rsid w:val="22A939AB"/>
    <w:rsid w:val="22BB548D"/>
    <w:rsid w:val="22CE51C0"/>
    <w:rsid w:val="22FB2B87"/>
    <w:rsid w:val="2302130E"/>
    <w:rsid w:val="23152DEF"/>
    <w:rsid w:val="231A0405"/>
    <w:rsid w:val="23244DE0"/>
    <w:rsid w:val="2327182A"/>
    <w:rsid w:val="232F19D7"/>
    <w:rsid w:val="2346744C"/>
    <w:rsid w:val="234F0269"/>
    <w:rsid w:val="235558E1"/>
    <w:rsid w:val="2355768F"/>
    <w:rsid w:val="236E24FF"/>
    <w:rsid w:val="23A203FB"/>
    <w:rsid w:val="23DA5DE6"/>
    <w:rsid w:val="23E66539"/>
    <w:rsid w:val="240A20B5"/>
    <w:rsid w:val="24220EB0"/>
    <w:rsid w:val="2452597D"/>
    <w:rsid w:val="24596D0B"/>
    <w:rsid w:val="246A716A"/>
    <w:rsid w:val="246F4781"/>
    <w:rsid w:val="24747FE9"/>
    <w:rsid w:val="24AD52A9"/>
    <w:rsid w:val="24C30629"/>
    <w:rsid w:val="24E231A5"/>
    <w:rsid w:val="24E82BA0"/>
    <w:rsid w:val="25010871"/>
    <w:rsid w:val="250255F5"/>
    <w:rsid w:val="25281DE7"/>
    <w:rsid w:val="254554E2"/>
    <w:rsid w:val="25754019"/>
    <w:rsid w:val="25985D20"/>
    <w:rsid w:val="259E73AE"/>
    <w:rsid w:val="25BE3AE8"/>
    <w:rsid w:val="25C14A4B"/>
    <w:rsid w:val="25E17963"/>
    <w:rsid w:val="25EC3099"/>
    <w:rsid w:val="25F25669"/>
    <w:rsid w:val="25F72C80"/>
    <w:rsid w:val="260B7F89"/>
    <w:rsid w:val="26256849"/>
    <w:rsid w:val="26345C82"/>
    <w:rsid w:val="263B7010"/>
    <w:rsid w:val="26435EC5"/>
    <w:rsid w:val="26451C3D"/>
    <w:rsid w:val="264B2FCC"/>
    <w:rsid w:val="26502390"/>
    <w:rsid w:val="26593CB2"/>
    <w:rsid w:val="26663961"/>
    <w:rsid w:val="26804A23"/>
    <w:rsid w:val="26A85D28"/>
    <w:rsid w:val="26BB5A5B"/>
    <w:rsid w:val="26C778D8"/>
    <w:rsid w:val="26D60AE7"/>
    <w:rsid w:val="26DB4BE0"/>
    <w:rsid w:val="26E86A6C"/>
    <w:rsid w:val="2703209B"/>
    <w:rsid w:val="270D78FD"/>
    <w:rsid w:val="270F5DA7"/>
    <w:rsid w:val="2739158C"/>
    <w:rsid w:val="2762237B"/>
    <w:rsid w:val="27637EA1"/>
    <w:rsid w:val="276B6970"/>
    <w:rsid w:val="27A6670B"/>
    <w:rsid w:val="27C13545"/>
    <w:rsid w:val="27CE7A10"/>
    <w:rsid w:val="27DF1C1D"/>
    <w:rsid w:val="27E9484A"/>
    <w:rsid w:val="27EA5CB9"/>
    <w:rsid w:val="27EC7E96"/>
    <w:rsid w:val="27F531EF"/>
    <w:rsid w:val="27F63565"/>
    <w:rsid w:val="28137B19"/>
    <w:rsid w:val="2821284F"/>
    <w:rsid w:val="284F6DA3"/>
    <w:rsid w:val="285C14C0"/>
    <w:rsid w:val="2869714F"/>
    <w:rsid w:val="288A1B89"/>
    <w:rsid w:val="289724F8"/>
    <w:rsid w:val="28A54C15"/>
    <w:rsid w:val="28AD3ACA"/>
    <w:rsid w:val="28BC3D0D"/>
    <w:rsid w:val="28C72DDD"/>
    <w:rsid w:val="28D56B7C"/>
    <w:rsid w:val="28DC615D"/>
    <w:rsid w:val="28F966BD"/>
    <w:rsid w:val="290E7DBA"/>
    <w:rsid w:val="2920604A"/>
    <w:rsid w:val="292D0766"/>
    <w:rsid w:val="292F2731"/>
    <w:rsid w:val="2950368E"/>
    <w:rsid w:val="2953058C"/>
    <w:rsid w:val="29944E6A"/>
    <w:rsid w:val="29B345EF"/>
    <w:rsid w:val="29CF7236"/>
    <w:rsid w:val="29E7300B"/>
    <w:rsid w:val="29F714A0"/>
    <w:rsid w:val="29FD15E4"/>
    <w:rsid w:val="29FF6F50"/>
    <w:rsid w:val="2A1443A7"/>
    <w:rsid w:val="2A241B69"/>
    <w:rsid w:val="2A244EDE"/>
    <w:rsid w:val="2A375D41"/>
    <w:rsid w:val="2A4354BD"/>
    <w:rsid w:val="2A522B7B"/>
    <w:rsid w:val="2A8329A5"/>
    <w:rsid w:val="2AAA6513"/>
    <w:rsid w:val="2AB96756"/>
    <w:rsid w:val="2AD417E1"/>
    <w:rsid w:val="2AD57308"/>
    <w:rsid w:val="2AE40F8B"/>
    <w:rsid w:val="2AF05EF0"/>
    <w:rsid w:val="2AFB6D6E"/>
    <w:rsid w:val="2B0379D1"/>
    <w:rsid w:val="2B140271"/>
    <w:rsid w:val="2B2F4A7A"/>
    <w:rsid w:val="2B312684"/>
    <w:rsid w:val="2B5E07C0"/>
    <w:rsid w:val="2B606BD1"/>
    <w:rsid w:val="2B7A2ED9"/>
    <w:rsid w:val="2B7B4E48"/>
    <w:rsid w:val="2B7C2585"/>
    <w:rsid w:val="2B844752"/>
    <w:rsid w:val="2B8505B7"/>
    <w:rsid w:val="2B9D6077"/>
    <w:rsid w:val="2BB34E5E"/>
    <w:rsid w:val="2BB807BB"/>
    <w:rsid w:val="2BD355F5"/>
    <w:rsid w:val="2BD52113"/>
    <w:rsid w:val="2BDB6BA0"/>
    <w:rsid w:val="2BE710A1"/>
    <w:rsid w:val="2C016606"/>
    <w:rsid w:val="2C131E96"/>
    <w:rsid w:val="2C1856FE"/>
    <w:rsid w:val="2C504E98"/>
    <w:rsid w:val="2C5160B7"/>
    <w:rsid w:val="2C6646BB"/>
    <w:rsid w:val="2C882884"/>
    <w:rsid w:val="2C9D501F"/>
    <w:rsid w:val="2CC82C80"/>
    <w:rsid w:val="2CD85C57"/>
    <w:rsid w:val="2D376058"/>
    <w:rsid w:val="2D590E12"/>
    <w:rsid w:val="2D874CA0"/>
    <w:rsid w:val="2D8D5C78"/>
    <w:rsid w:val="2D8F424F"/>
    <w:rsid w:val="2D9B45E2"/>
    <w:rsid w:val="2DAA05D8"/>
    <w:rsid w:val="2DAD00C8"/>
    <w:rsid w:val="2DB42E4E"/>
    <w:rsid w:val="2DDF4725"/>
    <w:rsid w:val="2DE25FC3"/>
    <w:rsid w:val="2DF83A39"/>
    <w:rsid w:val="2DF857E7"/>
    <w:rsid w:val="2E1970E1"/>
    <w:rsid w:val="2E1B7DC2"/>
    <w:rsid w:val="2E2B600A"/>
    <w:rsid w:val="2E7334D9"/>
    <w:rsid w:val="2E7D5CEC"/>
    <w:rsid w:val="2E813A2E"/>
    <w:rsid w:val="2E9A4AF0"/>
    <w:rsid w:val="2EA80FBB"/>
    <w:rsid w:val="2EE43FBD"/>
    <w:rsid w:val="2EE95130"/>
    <w:rsid w:val="2EED10C4"/>
    <w:rsid w:val="2F0A56A3"/>
    <w:rsid w:val="2F126434"/>
    <w:rsid w:val="2F4B315F"/>
    <w:rsid w:val="2F4B7B98"/>
    <w:rsid w:val="2F68699C"/>
    <w:rsid w:val="2F697F69"/>
    <w:rsid w:val="2F7B427A"/>
    <w:rsid w:val="2F8300FC"/>
    <w:rsid w:val="2F8512FC"/>
    <w:rsid w:val="2F881E8A"/>
    <w:rsid w:val="2F963509"/>
    <w:rsid w:val="2F9652B7"/>
    <w:rsid w:val="2FC31E25"/>
    <w:rsid w:val="2FC5794B"/>
    <w:rsid w:val="2FE14059"/>
    <w:rsid w:val="2FF16992"/>
    <w:rsid w:val="30030473"/>
    <w:rsid w:val="30055365"/>
    <w:rsid w:val="30093CDB"/>
    <w:rsid w:val="304765B2"/>
    <w:rsid w:val="305B205D"/>
    <w:rsid w:val="306C7796"/>
    <w:rsid w:val="30833A05"/>
    <w:rsid w:val="30AA35A0"/>
    <w:rsid w:val="30BA3228"/>
    <w:rsid w:val="30E8612D"/>
    <w:rsid w:val="310149B3"/>
    <w:rsid w:val="311D20A3"/>
    <w:rsid w:val="313034EA"/>
    <w:rsid w:val="31570E00"/>
    <w:rsid w:val="31662A68"/>
    <w:rsid w:val="317E4255"/>
    <w:rsid w:val="318B0720"/>
    <w:rsid w:val="319F5601"/>
    <w:rsid w:val="31B859B9"/>
    <w:rsid w:val="31C201A0"/>
    <w:rsid w:val="31C75BFC"/>
    <w:rsid w:val="31D16A7B"/>
    <w:rsid w:val="31D772B9"/>
    <w:rsid w:val="31E3055C"/>
    <w:rsid w:val="31EC7411"/>
    <w:rsid w:val="31F84A85"/>
    <w:rsid w:val="31FC4DDA"/>
    <w:rsid w:val="321E1594"/>
    <w:rsid w:val="322D13CC"/>
    <w:rsid w:val="323963CE"/>
    <w:rsid w:val="323D5EBE"/>
    <w:rsid w:val="323F1C36"/>
    <w:rsid w:val="32494863"/>
    <w:rsid w:val="324B208A"/>
    <w:rsid w:val="32873093"/>
    <w:rsid w:val="32917FB8"/>
    <w:rsid w:val="32933D30"/>
    <w:rsid w:val="32B048E2"/>
    <w:rsid w:val="32B37F2E"/>
    <w:rsid w:val="32BF2D77"/>
    <w:rsid w:val="32C57C62"/>
    <w:rsid w:val="32C65EB4"/>
    <w:rsid w:val="32D00AE0"/>
    <w:rsid w:val="32EC1CEB"/>
    <w:rsid w:val="33022C64"/>
    <w:rsid w:val="33243DAA"/>
    <w:rsid w:val="332901F1"/>
    <w:rsid w:val="332B3F69"/>
    <w:rsid w:val="334D0383"/>
    <w:rsid w:val="33544185"/>
    <w:rsid w:val="33582884"/>
    <w:rsid w:val="33590AD6"/>
    <w:rsid w:val="33674017"/>
    <w:rsid w:val="338E62A6"/>
    <w:rsid w:val="33932E1D"/>
    <w:rsid w:val="33954726"/>
    <w:rsid w:val="33997124"/>
    <w:rsid w:val="33A24E8E"/>
    <w:rsid w:val="33B66CB9"/>
    <w:rsid w:val="33CD3146"/>
    <w:rsid w:val="33D939C5"/>
    <w:rsid w:val="33EA7980"/>
    <w:rsid w:val="340D18C0"/>
    <w:rsid w:val="34232E92"/>
    <w:rsid w:val="342F5CDB"/>
    <w:rsid w:val="343432F1"/>
    <w:rsid w:val="34425A0E"/>
    <w:rsid w:val="34533777"/>
    <w:rsid w:val="34627E5E"/>
    <w:rsid w:val="34655258"/>
    <w:rsid w:val="34F565DC"/>
    <w:rsid w:val="34FA62E8"/>
    <w:rsid w:val="35011425"/>
    <w:rsid w:val="3512281F"/>
    <w:rsid w:val="35327830"/>
    <w:rsid w:val="35472BB0"/>
    <w:rsid w:val="354E2190"/>
    <w:rsid w:val="35554E79"/>
    <w:rsid w:val="356279EA"/>
    <w:rsid w:val="35685B45"/>
    <w:rsid w:val="357E2A76"/>
    <w:rsid w:val="35926521"/>
    <w:rsid w:val="3599165E"/>
    <w:rsid w:val="35AA37E4"/>
    <w:rsid w:val="35BC17F0"/>
    <w:rsid w:val="35CD7559"/>
    <w:rsid w:val="35E30B2B"/>
    <w:rsid w:val="35F20D6E"/>
    <w:rsid w:val="35F44AE6"/>
    <w:rsid w:val="361B6516"/>
    <w:rsid w:val="365437D6"/>
    <w:rsid w:val="36631C6B"/>
    <w:rsid w:val="36653C36"/>
    <w:rsid w:val="366B7875"/>
    <w:rsid w:val="36804D5B"/>
    <w:rsid w:val="368757BD"/>
    <w:rsid w:val="36962041"/>
    <w:rsid w:val="369938DF"/>
    <w:rsid w:val="36A6394E"/>
    <w:rsid w:val="36C00E6C"/>
    <w:rsid w:val="36E258E7"/>
    <w:rsid w:val="37070849"/>
    <w:rsid w:val="37206A37"/>
    <w:rsid w:val="37282D41"/>
    <w:rsid w:val="372E5DD5"/>
    <w:rsid w:val="373C25C9"/>
    <w:rsid w:val="373D426B"/>
    <w:rsid w:val="375C3499"/>
    <w:rsid w:val="375F0685"/>
    <w:rsid w:val="37732B1E"/>
    <w:rsid w:val="37863E63"/>
    <w:rsid w:val="3793032E"/>
    <w:rsid w:val="379F4F25"/>
    <w:rsid w:val="37A95F4C"/>
    <w:rsid w:val="37C21340"/>
    <w:rsid w:val="3809239F"/>
    <w:rsid w:val="382A2A41"/>
    <w:rsid w:val="3836588A"/>
    <w:rsid w:val="383B2EA0"/>
    <w:rsid w:val="383B6559"/>
    <w:rsid w:val="384250C9"/>
    <w:rsid w:val="38481119"/>
    <w:rsid w:val="384C6E5B"/>
    <w:rsid w:val="385178A7"/>
    <w:rsid w:val="387B14EE"/>
    <w:rsid w:val="38A973CE"/>
    <w:rsid w:val="38BD38B5"/>
    <w:rsid w:val="38D40BFF"/>
    <w:rsid w:val="38D96215"/>
    <w:rsid w:val="38E70B92"/>
    <w:rsid w:val="38F202B5"/>
    <w:rsid w:val="38F372D7"/>
    <w:rsid w:val="390B0AC4"/>
    <w:rsid w:val="39162FC5"/>
    <w:rsid w:val="391B682D"/>
    <w:rsid w:val="39243934"/>
    <w:rsid w:val="39253208"/>
    <w:rsid w:val="392C4597"/>
    <w:rsid w:val="39423DBA"/>
    <w:rsid w:val="394C4699"/>
    <w:rsid w:val="39551D3F"/>
    <w:rsid w:val="395835DE"/>
    <w:rsid w:val="395F496C"/>
    <w:rsid w:val="397E0A4F"/>
    <w:rsid w:val="397F6DBC"/>
    <w:rsid w:val="3982065B"/>
    <w:rsid w:val="39924D42"/>
    <w:rsid w:val="39B73855"/>
    <w:rsid w:val="39D97124"/>
    <w:rsid w:val="39E46138"/>
    <w:rsid w:val="39EE7A9E"/>
    <w:rsid w:val="39F23A32"/>
    <w:rsid w:val="39F30EC3"/>
    <w:rsid w:val="39F33306"/>
    <w:rsid w:val="3A1C285D"/>
    <w:rsid w:val="3A35391F"/>
    <w:rsid w:val="3A361392"/>
    <w:rsid w:val="3A59585F"/>
    <w:rsid w:val="3A5C3ADB"/>
    <w:rsid w:val="3A5D587F"/>
    <w:rsid w:val="3A6B10EF"/>
    <w:rsid w:val="3A7C412B"/>
    <w:rsid w:val="3A830B2E"/>
    <w:rsid w:val="3AA54601"/>
    <w:rsid w:val="3AB24F6F"/>
    <w:rsid w:val="3ACD1DA9"/>
    <w:rsid w:val="3AD83559"/>
    <w:rsid w:val="3AE25532"/>
    <w:rsid w:val="3B0D0ED8"/>
    <w:rsid w:val="3B19209B"/>
    <w:rsid w:val="3B1F0857"/>
    <w:rsid w:val="3B326EB2"/>
    <w:rsid w:val="3B4262F3"/>
    <w:rsid w:val="3B4E2EEA"/>
    <w:rsid w:val="3B514788"/>
    <w:rsid w:val="3B6E533A"/>
    <w:rsid w:val="3B781D15"/>
    <w:rsid w:val="3B824942"/>
    <w:rsid w:val="3B912DD7"/>
    <w:rsid w:val="3BAC736A"/>
    <w:rsid w:val="3BC35D64"/>
    <w:rsid w:val="3BC907C3"/>
    <w:rsid w:val="3BDA477E"/>
    <w:rsid w:val="3C005315"/>
    <w:rsid w:val="3C371BD0"/>
    <w:rsid w:val="3C5533F2"/>
    <w:rsid w:val="3C6250A3"/>
    <w:rsid w:val="3C634773"/>
    <w:rsid w:val="3C686F62"/>
    <w:rsid w:val="3C720E5A"/>
    <w:rsid w:val="3C776471"/>
    <w:rsid w:val="3C7A1ABD"/>
    <w:rsid w:val="3C7C7D98"/>
    <w:rsid w:val="3CB11B5A"/>
    <w:rsid w:val="3CC226D6"/>
    <w:rsid w:val="3CC25EAD"/>
    <w:rsid w:val="3CCA034E"/>
    <w:rsid w:val="3CCA4061"/>
    <w:rsid w:val="3D112421"/>
    <w:rsid w:val="3D160257"/>
    <w:rsid w:val="3D1C447A"/>
    <w:rsid w:val="3D2057BC"/>
    <w:rsid w:val="3D29215E"/>
    <w:rsid w:val="3D2F28A7"/>
    <w:rsid w:val="3D4F4CF8"/>
    <w:rsid w:val="3D7D3613"/>
    <w:rsid w:val="3D974106"/>
    <w:rsid w:val="3DAA0180"/>
    <w:rsid w:val="3DE74F30"/>
    <w:rsid w:val="3DF31B27"/>
    <w:rsid w:val="3DFA1107"/>
    <w:rsid w:val="3E015FF2"/>
    <w:rsid w:val="3E1F6A8C"/>
    <w:rsid w:val="3E247F32"/>
    <w:rsid w:val="3E304B29"/>
    <w:rsid w:val="3E444130"/>
    <w:rsid w:val="3E5A1BA6"/>
    <w:rsid w:val="3E79027E"/>
    <w:rsid w:val="3E860BED"/>
    <w:rsid w:val="3EAD43CC"/>
    <w:rsid w:val="3EB05C6A"/>
    <w:rsid w:val="3EB26AE9"/>
    <w:rsid w:val="3EF23B8C"/>
    <w:rsid w:val="3F204B9E"/>
    <w:rsid w:val="3F281CA4"/>
    <w:rsid w:val="3F3348D1"/>
    <w:rsid w:val="3F367F1D"/>
    <w:rsid w:val="3F415034"/>
    <w:rsid w:val="3F47037C"/>
    <w:rsid w:val="3F5C54AA"/>
    <w:rsid w:val="3F7942AE"/>
    <w:rsid w:val="3F98792E"/>
    <w:rsid w:val="3FBD419A"/>
    <w:rsid w:val="3FC92B3F"/>
    <w:rsid w:val="3FCB2D5B"/>
    <w:rsid w:val="3FD6525C"/>
    <w:rsid w:val="3FE200A5"/>
    <w:rsid w:val="40055B41"/>
    <w:rsid w:val="40093884"/>
    <w:rsid w:val="40152228"/>
    <w:rsid w:val="402C1113"/>
    <w:rsid w:val="403740AD"/>
    <w:rsid w:val="40387CC5"/>
    <w:rsid w:val="404460F6"/>
    <w:rsid w:val="405A7C3B"/>
    <w:rsid w:val="407231D7"/>
    <w:rsid w:val="407A652F"/>
    <w:rsid w:val="40BE466E"/>
    <w:rsid w:val="40C81E0C"/>
    <w:rsid w:val="40D53CF4"/>
    <w:rsid w:val="40DB1A38"/>
    <w:rsid w:val="40FE2B4E"/>
    <w:rsid w:val="41263FC1"/>
    <w:rsid w:val="41313092"/>
    <w:rsid w:val="41322966"/>
    <w:rsid w:val="4148218A"/>
    <w:rsid w:val="414A2B22"/>
    <w:rsid w:val="414A4154"/>
    <w:rsid w:val="416F3BBA"/>
    <w:rsid w:val="41727207"/>
    <w:rsid w:val="41866FFD"/>
    <w:rsid w:val="418F7DB9"/>
    <w:rsid w:val="419051C8"/>
    <w:rsid w:val="41B33AA7"/>
    <w:rsid w:val="41B3613A"/>
    <w:rsid w:val="41D1217F"/>
    <w:rsid w:val="41D21EC1"/>
    <w:rsid w:val="41FD2F74"/>
    <w:rsid w:val="41FF6CEC"/>
    <w:rsid w:val="421B164C"/>
    <w:rsid w:val="4230334A"/>
    <w:rsid w:val="42330A76"/>
    <w:rsid w:val="4235280B"/>
    <w:rsid w:val="425F3425"/>
    <w:rsid w:val="42644DA1"/>
    <w:rsid w:val="42784FA7"/>
    <w:rsid w:val="428710CC"/>
    <w:rsid w:val="429531AD"/>
    <w:rsid w:val="42A653BA"/>
    <w:rsid w:val="42B070C3"/>
    <w:rsid w:val="42B20202"/>
    <w:rsid w:val="430A4F48"/>
    <w:rsid w:val="430F5DCE"/>
    <w:rsid w:val="430F7403"/>
    <w:rsid w:val="431C77B4"/>
    <w:rsid w:val="432D1637"/>
    <w:rsid w:val="43364990"/>
    <w:rsid w:val="43424588"/>
    <w:rsid w:val="434500D6"/>
    <w:rsid w:val="43482915"/>
    <w:rsid w:val="435A0BBC"/>
    <w:rsid w:val="436239D7"/>
    <w:rsid w:val="43A713E9"/>
    <w:rsid w:val="43CC07FF"/>
    <w:rsid w:val="43CC52F4"/>
    <w:rsid w:val="43E51A5B"/>
    <w:rsid w:val="43EC32A0"/>
    <w:rsid w:val="43F14D5A"/>
    <w:rsid w:val="43F47CD3"/>
    <w:rsid w:val="44044A8E"/>
    <w:rsid w:val="44110F59"/>
    <w:rsid w:val="442D20B0"/>
    <w:rsid w:val="442D3994"/>
    <w:rsid w:val="44307631"/>
    <w:rsid w:val="444E3F5B"/>
    <w:rsid w:val="445175A7"/>
    <w:rsid w:val="445B21D4"/>
    <w:rsid w:val="446121CE"/>
    <w:rsid w:val="446B0669"/>
    <w:rsid w:val="44896D41"/>
    <w:rsid w:val="448B0D0B"/>
    <w:rsid w:val="448B2AB9"/>
    <w:rsid w:val="44927617"/>
    <w:rsid w:val="44A377A9"/>
    <w:rsid w:val="44BF6C07"/>
    <w:rsid w:val="44DA4FC1"/>
    <w:rsid w:val="44EA77D8"/>
    <w:rsid w:val="452627E2"/>
    <w:rsid w:val="453D6639"/>
    <w:rsid w:val="454A30BA"/>
    <w:rsid w:val="456F5F37"/>
    <w:rsid w:val="45800144"/>
    <w:rsid w:val="459260C9"/>
    <w:rsid w:val="45961716"/>
    <w:rsid w:val="4597548E"/>
    <w:rsid w:val="459F3DA5"/>
    <w:rsid w:val="45AA3413"/>
    <w:rsid w:val="45B63B66"/>
    <w:rsid w:val="45E43E6E"/>
    <w:rsid w:val="46032B23"/>
    <w:rsid w:val="46040D75"/>
    <w:rsid w:val="46072613"/>
    <w:rsid w:val="460F3276"/>
    <w:rsid w:val="46340F2E"/>
    <w:rsid w:val="464B69A4"/>
    <w:rsid w:val="464D790E"/>
    <w:rsid w:val="467B6B5D"/>
    <w:rsid w:val="469320F9"/>
    <w:rsid w:val="469519CD"/>
    <w:rsid w:val="46CC1167"/>
    <w:rsid w:val="46D47017"/>
    <w:rsid w:val="4702041A"/>
    <w:rsid w:val="470F3192"/>
    <w:rsid w:val="4712301E"/>
    <w:rsid w:val="472D60AA"/>
    <w:rsid w:val="473531B0"/>
    <w:rsid w:val="473867FC"/>
    <w:rsid w:val="475E6263"/>
    <w:rsid w:val="476B0980"/>
    <w:rsid w:val="477058C2"/>
    <w:rsid w:val="47777289"/>
    <w:rsid w:val="47797541"/>
    <w:rsid w:val="47A143A2"/>
    <w:rsid w:val="47A63CD1"/>
    <w:rsid w:val="47BB1907"/>
    <w:rsid w:val="47C22A8D"/>
    <w:rsid w:val="47CA1B4A"/>
    <w:rsid w:val="47D7186A"/>
    <w:rsid w:val="47DC362C"/>
    <w:rsid w:val="47DF2383"/>
    <w:rsid w:val="47E669A0"/>
    <w:rsid w:val="47EB5A68"/>
    <w:rsid w:val="47FD5CB7"/>
    <w:rsid w:val="48147269"/>
    <w:rsid w:val="48164D90"/>
    <w:rsid w:val="48233B26"/>
    <w:rsid w:val="48390A7E"/>
    <w:rsid w:val="483F42E6"/>
    <w:rsid w:val="48474F49"/>
    <w:rsid w:val="486A6E89"/>
    <w:rsid w:val="487815A6"/>
    <w:rsid w:val="48945CB4"/>
    <w:rsid w:val="489B5295"/>
    <w:rsid w:val="48AC74A2"/>
    <w:rsid w:val="48B028BF"/>
    <w:rsid w:val="48C15C0B"/>
    <w:rsid w:val="48DB1B35"/>
    <w:rsid w:val="48DD3919"/>
    <w:rsid w:val="48E24C72"/>
    <w:rsid w:val="48EB0073"/>
    <w:rsid w:val="48FE06BC"/>
    <w:rsid w:val="4900334A"/>
    <w:rsid w:val="49333CCD"/>
    <w:rsid w:val="49557B3A"/>
    <w:rsid w:val="497A30FC"/>
    <w:rsid w:val="49836455"/>
    <w:rsid w:val="49935DF0"/>
    <w:rsid w:val="499917D4"/>
    <w:rsid w:val="49B44860"/>
    <w:rsid w:val="49C10D2B"/>
    <w:rsid w:val="49FE675C"/>
    <w:rsid w:val="4A08695A"/>
    <w:rsid w:val="4A187736"/>
    <w:rsid w:val="4A3C7E3F"/>
    <w:rsid w:val="4A443E7E"/>
    <w:rsid w:val="4A5679C1"/>
    <w:rsid w:val="4A7B712C"/>
    <w:rsid w:val="4A873D23"/>
    <w:rsid w:val="4A985F30"/>
    <w:rsid w:val="4AA448D5"/>
    <w:rsid w:val="4AB32D6A"/>
    <w:rsid w:val="4AB4263E"/>
    <w:rsid w:val="4AD93E52"/>
    <w:rsid w:val="4AEC002A"/>
    <w:rsid w:val="4B02325D"/>
    <w:rsid w:val="4B045373"/>
    <w:rsid w:val="4B092567"/>
    <w:rsid w:val="4B105AC6"/>
    <w:rsid w:val="4B2C0426"/>
    <w:rsid w:val="4B4021B7"/>
    <w:rsid w:val="4B582549"/>
    <w:rsid w:val="4B5D1DE1"/>
    <w:rsid w:val="4B797B0F"/>
    <w:rsid w:val="4B8671D2"/>
    <w:rsid w:val="4B897627"/>
    <w:rsid w:val="4B95421D"/>
    <w:rsid w:val="4BA032C9"/>
    <w:rsid w:val="4BA83F51"/>
    <w:rsid w:val="4BB07C37"/>
    <w:rsid w:val="4BB23021"/>
    <w:rsid w:val="4BCC547D"/>
    <w:rsid w:val="4BCD1C09"/>
    <w:rsid w:val="4BD411EA"/>
    <w:rsid w:val="4BD96800"/>
    <w:rsid w:val="4BDB2578"/>
    <w:rsid w:val="4C0F5D7E"/>
    <w:rsid w:val="4C36441A"/>
    <w:rsid w:val="4C382EC4"/>
    <w:rsid w:val="4C392DFB"/>
    <w:rsid w:val="4C455C43"/>
    <w:rsid w:val="4C6D0CF6"/>
    <w:rsid w:val="4C6E6D6A"/>
    <w:rsid w:val="4C737ADC"/>
    <w:rsid w:val="4C854292"/>
    <w:rsid w:val="4CAA3CF8"/>
    <w:rsid w:val="4CC0351C"/>
    <w:rsid w:val="4CD314A1"/>
    <w:rsid w:val="4CE4720A"/>
    <w:rsid w:val="4CFB48EC"/>
    <w:rsid w:val="4D193597"/>
    <w:rsid w:val="4D287409"/>
    <w:rsid w:val="4D297313"/>
    <w:rsid w:val="4D3F4582"/>
    <w:rsid w:val="4D4001B9"/>
    <w:rsid w:val="4D411C17"/>
    <w:rsid w:val="4D4203D5"/>
    <w:rsid w:val="4D44414D"/>
    <w:rsid w:val="4D4C6CD1"/>
    <w:rsid w:val="4D616AAD"/>
    <w:rsid w:val="4D8C1650"/>
    <w:rsid w:val="4D902EEE"/>
    <w:rsid w:val="4DAC584E"/>
    <w:rsid w:val="4DBC3CE3"/>
    <w:rsid w:val="4DD728CB"/>
    <w:rsid w:val="4DD7387C"/>
    <w:rsid w:val="4E061402"/>
    <w:rsid w:val="4E0631B0"/>
    <w:rsid w:val="4E0C3478"/>
    <w:rsid w:val="4E1111F8"/>
    <w:rsid w:val="4E1123A5"/>
    <w:rsid w:val="4E2875CB"/>
    <w:rsid w:val="4E41243B"/>
    <w:rsid w:val="4E473EF5"/>
    <w:rsid w:val="4E4A5793"/>
    <w:rsid w:val="4E4A7544"/>
    <w:rsid w:val="4E611B8B"/>
    <w:rsid w:val="4E8D5680"/>
    <w:rsid w:val="4EE334F2"/>
    <w:rsid w:val="4EE44549"/>
    <w:rsid w:val="4EF456FF"/>
    <w:rsid w:val="4F035942"/>
    <w:rsid w:val="4F271630"/>
    <w:rsid w:val="4F4C553B"/>
    <w:rsid w:val="4F644633"/>
    <w:rsid w:val="4F7B26CD"/>
    <w:rsid w:val="4F9B0E06"/>
    <w:rsid w:val="4FA80E46"/>
    <w:rsid w:val="4FB410CF"/>
    <w:rsid w:val="4FEE65F2"/>
    <w:rsid w:val="4FF20C57"/>
    <w:rsid w:val="50106568"/>
    <w:rsid w:val="502E78D5"/>
    <w:rsid w:val="503B25E4"/>
    <w:rsid w:val="507E1724"/>
    <w:rsid w:val="50A62A29"/>
    <w:rsid w:val="50AE32FC"/>
    <w:rsid w:val="50BC2015"/>
    <w:rsid w:val="50DD28EE"/>
    <w:rsid w:val="51136310"/>
    <w:rsid w:val="512322CB"/>
    <w:rsid w:val="513818A7"/>
    <w:rsid w:val="51620A14"/>
    <w:rsid w:val="518B31EB"/>
    <w:rsid w:val="51932FAD"/>
    <w:rsid w:val="51B01DB1"/>
    <w:rsid w:val="51C83199"/>
    <w:rsid w:val="51DA5080"/>
    <w:rsid w:val="51DC4954"/>
    <w:rsid w:val="51E01241"/>
    <w:rsid w:val="523253D7"/>
    <w:rsid w:val="523522B6"/>
    <w:rsid w:val="525941F7"/>
    <w:rsid w:val="525A7F6F"/>
    <w:rsid w:val="526037D7"/>
    <w:rsid w:val="526204A9"/>
    <w:rsid w:val="526F0F67"/>
    <w:rsid w:val="528374C6"/>
    <w:rsid w:val="52A35686"/>
    <w:rsid w:val="52ED493F"/>
    <w:rsid w:val="52F537F4"/>
    <w:rsid w:val="53205C75"/>
    <w:rsid w:val="53281E1B"/>
    <w:rsid w:val="532C190B"/>
    <w:rsid w:val="534A1D91"/>
    <w:rsid w:val="536800EB"/>
    <w:rsid w:val="537B63EF"/>
    <w:rsid w:val="53910EF7"/>
    <w:rsid w:val="539354E6"/>
    <w:rsid w:val="53BB67EB"/>
    <w:rsid w:val="53BD2563"/>
    <w:rsid w:val="53C546E8"/>
    <w:rsid w:val="53E775E0"/>
    <w:rsid w:val="54307C7C"/>
    <w:rsid w:val="543F741C"/>
    <w:rsid w:val="54520EFE"/>
    <w:rsid w:val="54686973"/>
    <w:rsid w:val="54F9581D"/>
    <w:rsid w:val="5508667D"/>
    <w:rsid w:val="5541211F"/>
    <w:rsid w:val="55425416"/>
    <w:rsid w:val="55434CEA"/>
    <w:rsid w:val="55474E28"/>
    <w:rsid w:val="554E0D02"/>
    <w:rsid w:val="555D2250"/>
    <w:rsid w:val="555D3FFE"/>
    <w:rsid w:val="556035C4"/>
    <w:rsid w:val="559D089E"/>
    <w:rsid w:val="55A21A11"/>
    <w:rsid w:val="55CD539B"/>
    <w:rsid w:val="561623FF"/>
    <w:rsid w:val="561F3061"/>
    <w:rsid w:val="563C0364"/>
    <w:rsid w:val="564B654C"/>
    <w:rsid w:val="56A77D1E"/>
    <w:rsid w:val="56A77ED4"/>
    <w:rsid w:val="56AD4B11"/>
    <w:rsid w:val="56B75990"/>
    <w:rsid w:val="56CD51B3"/>
    <w:rsid w:val="56DA167E"/>
    <w:rsid w:val="570A0F13"/>
    <w:rsid w:val="57376AD1"/>
    <w:rsid w:val="57633422"/>
    <w:rsid w:val="57646D20"/>
    <w:rsid w:val="57783371"/>
    <w:rsid w:val="57812D77"/>
    <w:rsid w:val="57995574"/>
    <w:rsid w:val="579B2BBB"/>
    <w:rsid w:val="57A777B2"/>
    <w:rsid w:val="57AF6667"/>
    <w:rsid w:val="57B63E99"/>
    <w:rsid w:val="57B7551B"/>
    <w:rsid w:val="57BB331D"/>
    <w:rsid w:val="57C06AC6"/>
    <w:rsid w:val="57D70067"/>
    <w:rsid w:val="57DB3900"/>
    <w:rsid w:val="57DE1EC2"/>
    <w:rsid w:val="57DE6F4C"/>
    <w:rsid w:val="57EC78BB"/>
    <w:rsid w:val="57F05693"/>
    <w:rsid w:val="57F347A6"/>
    <w:rsid w:val="57FD5624"/>
    <w:rsid w:val="580E11C7"/>
    <w:rsid w:val="58247055"/>
    <w:rsid w:val="58262DCD"/>
    <w:rsid w:val="58331046"/>
    <w:rsid w:val="583A23D4"/>
    <w:rsid w:val="58450D79"/>
    <w:rsid w:val="5852361E"/>
    <w:rsid w:val="58690919"/>
    <w:rsid w:val="586D09FC"/>
    <w:rsid w:val="586E6522"/>
    <w:rsid w:val="58786725"/>
    <w:rsid w:val="58883A0E"/>
    <w:rsid w:val="58A310F9"/>
    <w:rsid w:val="58AA1DD9"/>
    <w:rsid w:val="58B55EFF"/>
    <w:rsid w:val="58BC1051"/>
    <w:rsid w:val="58C83E84"/>
    <w:rsid w:val="58CD3249"/>
    <w:rsid w:val="58DF0A8C"/>
    <w:rsid w:val="58E95338"/>
    <w:rsid w:val="58F033DB"/>
    <w:rsid w:val="590429E2"/>
    <w:rsid w:val="5905528F"/>
    <w:rsid w:val="59197DC3"/>
    <w:rsid w:val="59201E0F"/>
    <w:rsid w:val="592875B7"/>
    <w:rsid w:val="595E6596"/>
    <w:rsid w:val="5960230F"/>
    <w:rsid w:val="596932BB"/>
    <w:rsid w:val="596A6CE9"/>
    <w:rsid w:val="596D2336"/>
    <w:rsid w:val="596F5E5F"/>
    <w:rsid w:val="5991071A"/>
    <w:rsid w:val="59AB4D0E"/>
    <w:rsid w:val="59C12681"/>
    <w:rsid w:val="59D32AE1"/>
    <w:rsid w:val="59E635AC"/>
    <w:rsid w:val="5A0013FC"/>
    <w:rsid w:val="5A105AE3"/>
    <w:rsid w:val="5A19703F"/>
    <w:rsid w:val="5A1D40BE"/>
    <w:rsid w:val="5A3572F7"/>
    <w:rsid w:val="5A362A5B"/>
    <w:rsid w:val="5A3A490E"/>
    <w:rsid w:val="5A3C5143"/>
    <w:rsid w:val="5A61633E"/>
    <w:rsid w:val="5A882A18"/>
    <w:rsid w:val="5AA12BDF"/>
    <w:rsid w:val="5AA47FD9"/>
    <w:rsid w:val="5AAC0DD3"/>
    <w:rsid w:val="5AC16DDD"/>
    <w:rsid w:val="5ACE32A8"/>
    <w:rsid w:val="5AD22D98"/>
    <w:rsid w:val="5B345801"/>
    <w:rsid w:val="5B590DC3"/>
    <w:rsid w:val="5B7038B7"/>
    <w:rsid w:val="5B7C4AB2"/>
    <w:rsid w:val="5B962018"/>
    <w:rsid w:val="5B9938B6"/>
    <w:rsid w:val="5BAA47CD"/>
    <w:rsid w:val="5BB97AB4"/>
    <w:rsid w:val="5BD14DFE"/>
    <w:rsid w:val="5BF359E5"/>
    <w:rsid w:val="5C0304F7"/>
    <w:rsid w:val="5C076A71"/>
    <w:rsid w:val="5C25339C"/>
    <w:rsid w:val="5C2A6C04"/>
    <w:rsid w:val="5C34538D"/>
    <w:rsid w:val="5C4E644E"/>
    <w:rsid w:val="5C702869"/>
    <w:rsid w:val="5C7C5BB4"/>
    <w:rsid w:val="5C9E1349"/>
    <w:rsid w:val="5CA729BF"/>
    <w:rsid w:val="5CB5471F"/>
    <w:rsid w:val="5CB72C4F"/>
    <w:rsid w:val="5CC65E9F"/>
    <w:rsid w:val="5CE768A3"/>
    <w:rsid w:val="5CF07506"/>
    <w:rsid w:val="5CF64FE0"/>
    <w:rsid w:val="5D064F7B"/>
    <w:rsid w:val="5D1F428F"/>
    <w:rsid w:val="5D1F603D"/>
    <w:rsid w:val="5D35760E"/>
    <w:rsid w:val="5D423AD9"/>
    <w:rsid w:val="5D4D2BAA"/>
    <w:rsid w:val="5D5405EB"/>
    <w:rsid w:val="5D5702B3"/>
    <w:rsid w:val="5D5C51DC"/>
    <w:rsid w:val="5D5E4DB7"/>
    <w:rsid w:val="5D681792"/>
    <w:rsid w:val="5D72616D"/>
    <w:rsid w:val="5D79399F"/>
    <w:rsid w:val="5D7F6ADB"/>
    <w:rsid w:val="5D9E1345"/>
    <w:rsid w:val="5DB760B7"/>
    <w:rsid w:val="5DBB3FB7"/>
    <w:rsid w:val="5DCA244C"/>
    <w:rsid w:val="5DCA7D57"/>
    <w:rsid w:val="5DE057CC"/>
    <w:rsid w:val="5DE8778C"/>
    <w:rsid w:val="5E2002BE"/>
    <w:rsid w:val="5E280F21"/>
    <w:rsid w:val="5E483371"/>
    <w:rsid w:val="5E4A533B"/>
    <w:rsid w:val="5E4E4E2C"/>
    <w:rsid w:val="5E6957C1"/>
    <w:rsid w:val="5E6A153A"/>
    <w:rsid w:val="5E714676"/>
    <w:rsid w:val="5E861633"/>
    <w:rsid w:val="5E9465B6"/>
    <w:rsid w:val="5E9640DD"/>
    <w:rsid w:val="5E9A5DEE"/>
    <w:rsid w:val="5EBB4278"/>
    <w:rsid w:val="5EC073AC"/>
    <w:rsid w:val="5EC62C14"/>
    <w:rsid w:val="5ED510A9"/>
    <w:rsid w:val="5EE04DB6"/>
    <w:rsid w:val="5F0454EA"/>
    <w:rsid w:val="5F090D52"/>
    <w:rsid w:val="5F180F96"/>
    <w:rsid w:val="5F1A6ABC"/>
    <w:rsid w:val="5F1F0DB8"/>
    <w:rsid w:val="5F21609C"/>
    <w:rsid w:val="5F2B2A77"/>
    <w:rsid w:val="5F322057"/>
    <w:rsid w:val="5F593A88"/>
    <w:rsid w:val="5F5C2898"/>
    <w:rsid w:val="5F5F0972"/>
    <w:rsid w:val="5F724B4A"/>
    <w:rsid w:val="5F750196"/>
    <w:rsid w:val="5F781A34"/>
    <w:rsid w:val="5F8328B3"/>
    <w:rsid w:val="5F842357"/>
    <w:rsid w:val="5F851FA3"/>
    <w:rsid w:val="5F903222"/>
    <w:rsid w:val="5F906D7E"/>
    <w:rsid w:val="5F97635E"/>
    <w:rsid w:val="5FA97E40"/>
    <w:rsid w:val="5FAF18FA"/>
    <w:rsid w:val="5FCB425A"/>
    <w:rsid w:val="5FE570CA"/>
    <w:rsid w:val="5FF94923"/>
    <w:rsid w:val="600018B2"/>
    <w:rsid w:val="60161979"/>
    <w:rsid w:val="6025124B"/>
    <w:rsid w:val="6037544B"/>
    <w:rsid w:val="60416BA0"/>
    <w:rsid w:val="60514A9F"/>
    <w:rsid w:val="6052134B"/>
    <w:rsid w:val="606B7084"/>
    <w:rsid w:val="606E3563"/>
    <w:rsid w:val="60792FA8"/>
    <w:rsid w:val="608F5287"/>
    <w:rsid w:val="609D5BF6"/>
    <w:rsid w:val="60AC408B"/>
    <w:rsid w:val="60B116A2"/>
    <w:rsid w:val="60C018E5"/>
    <w:rsid w:val="60C90799"/>
    <w:rsid w:val="60CA62C0"/>
    <w:rsid w:val="60DD5FF3"/>
    <w:rsid w:val="60F15F42"/>
    <w:rsid w:val="60F46F48"/>
    <w:rsid w:val="610A1E24"/>
    <w:rsid w:val="613A012A"/>
    <w:rsid w:val="616109D2"/>
    <w:rsid w:val="61695AD8"/>
    <w:rsid w:val="616D55C9"/>
    <w:rsid w:val="61891CD7"/>
    <w:rsid w:val="61970C45"/>
    <w:rsid w:val="61C20C5E"/>
    <w:rsid w:val="61D07906"/>
    <w:rsid w:val="61E3588B"/>
    <w:rsid w:val="61F335F4"/>
    <w:rsid w:val="62044215"/>
    <w:rsid w:val="620749D5"/>
    <w:rsid w:val="620C3034"/>
    <w:rsid w:val="62214B27"/>
    <w:rsid w:val="62412BF7"/>
    <w:rsid w:val="624E291A"/>
    <w:rsid w:val="624F1A9C"/>
    <w:rsid w:val="625075D7"/>
    <w:rsid w:val="626859C7"/>
    <w:rsid w:val="628C7CD0"/>
    <w:rsid w:val="628F5A13"/>
    <w:rsid w:val="62943029"/>
    <w:rsid w:val="62AA0157"/>
    <w:rsid w:val="62D13935"/>
    <w:rsid w:val="62D17DD9"/>
    <w:rsid w:val="62DD22DA"/>
    <w:rsid w:val="62E56A99"/>
    <w:rsid w:val="62E93375"/>
    <w:rsid w:val="62FB09B2"/>
    <w:rsid w:val="62FC54E5"/>
    <w:rsid w:val="630B32EB"/>
    <w:rsid w:val="631877B6"/>
    <w:rsid w:val="63212B0F"/>
    <w:rsid w:val="63260125"/>
    <w:rsid w:val="632C3261"/>
    <w:rsid w:val="632D4659"/>
    <w:rsid w:val="63310878"/>
    <w:rsid w:val="63344891"/>
    <w:rsid w:val="63365E8E"/>
    <w:rsid w:val="6337070E"/>
    <w:rsid w:val="633D721D"/>
    <w:rsid w:val="63620A31"/>
    <w:rsid w:val="636660A1"/>
    <w:rsid w:val="63AB23D8"/>
    <w:rsid w:val="63BA6ABF"/>
    <w:rsid w:val="63C27722"/>
    <w:rsid w:val="63C4349A"/>
    <w:rsid w:val="63D25BB7"/>
    <w:rsid w:val="63F0428F"/>
    <w:rsid w:val="63FC2C34"/>
    <w:rsid w:val="640E000F"/>
    <w:rsid w:val="646749E8"/>
    <w:rsid w:val="646B1B68"/>
    <w:rsid w:val="646F5052"/>
    <w:rsid w:val="64772749"/>
    <w:rsid w:val="647C3D75"/>
    <w:rsid w:val="64801AB7"/>
    <w:rsid w:val="6481138B"/>
    <w:rsid w:val="648B17B6"/>
    <w:rsid w:val="64AF414A"/>
    <w:rsid w:val="64BB6D2A"/>
    <w:rsid w:val="64CE13FE"/>
    <w:rsid w:val="64DD0CB7"/>
    <w:rsid w:val="64E2007C"/>
    <w:rsid w:val="64F733FB"/>
    <w:rsid w:val="65111676"/>
    <w:rsid w:val="656767D3"/>
    <w:rsid w:val="656E7B61"/>
    <w:rsid w:val="6570487F"/>
    <w:rsid w:val="657D5FF6"/>
    <w:rsid w:val="659A2704"/>
    <w:rsid w:val="65AE7F5E"/>
    <w:rsid w:val="65B5189C"/>
    <w:rsid w:val="65C92FEA"/>
    <w:rsid w:val="65D35C16"/>
    <w:rsid w:val="65F242EE"/>
    <w:rsid w:val="660202AA"/>
    <w:rsid w:val="660B715E"/>
    <w:rsid w:val="666A0329"/>
    <w:rsid w:val="667271DD"/>
    <w:rsid w:val="669F406B"/>
    <w:rsid w:val="66AE3090"/>
    <w:rsid w:val="66E83943"/>
    <w:rsid w:val="66EE2624"/>
    <w:rsid w:val="66F129A0"/>
    <w:rsid w:val="66F5302E"/>
    <w:rsid w:val="6704220A"/>
    <w:rsid w:val="670F2C7E"/>
    <w:rsid w:val="67202D1E"/>
    <w:rsid w:val="672901E4"/>
    <w:rsid w:val="675039C2"/>
    <w:rsid w:val="67612E8D"/>
    <w:rsid w:val="67876CB8"/>
    <w:rsid w:val="67892A30"/>
    <w:rsid w:val="678A0557"/>
    <w:rsid w:val="678E45EA"/>
    <w:rsid w:val="67C63C85"/>
    <w:rsid w:val="67C82623"/>
    <w:rsid w:val="682A7CEC"/>
    <w:rsid w:val="682D3D04"/>
    <w:rsid w:val="68336E40"/>
    <w:rsid w:val="6838203F"/>
    <w:rsid w:val="686D4100"/>
    <w:rsid w:val="687E00BB"/>
    <w:rsid w:val="689E1F58"/>
    <w:rsid w:val="68AB231B"/>
    <w:rsid w:val="68CF0917"/>
    <w:rsid w:val="690C4517"/>
    <w:rsid w:val="690F401E"/>
    <w:rsid w:val="69432E24"/>
    <w:rsid w:val="694A61EF"/>
    <w:rsid w:val="695452C0"/>
    <w:rsid w:val="69565FE2"/>
    <w:rsid w:val="698E2580"/>
    <w:rsid w:val="69C266CE"/>
    <w:rsid w:val="69E623BC"/>
    <w:rsid w:val="69EC54F9"/>
    <w:rsid w:val="69FC1BE0"/>
    <w:rsid w:val="69FF522C"/>
    <w:rsid w:val="6A1A2066"/>
    <w:rsid w:val="6A29138C"/>
    <w:rsid w:val="6A2C3B47"/>
    <w:rsid w:val="6A316A72"/>
    <w:rsid w:val="6A3C13E7"/>
    <w:rsid w:val="6A413A96"/>
    <w:rsid w:val="6A4B66C3"/>
    <w:rsid w:val="6A503CD9"/>
    <w:rsid w:val="6A507835"/>
    <w:rsid w:val="6A5512F0"/>
    <w:rsid w:val="6A5C442C"/>
    <w:rsid w:val="6A616582"/>
    <w:rsid w:val="6A9260A0"/>
    <w:rsid w:val="6AAD4C88"/>
    <w:rsid w:val="6AC45C2D"/>
    <w:rsid w:val="6ACF4DB3"/>
    <w:rsid w:val="6AD20B92"/>
    <w:rsid w:val="6AD755DA"/>
    <w:rsid w:val="6AE34B4E"/>
    <w:rsid w:val="6B0A3BAD"/>
    <w:rsid w:val="6B321631"/>
    <w:rsid w:val="6B3C7946"/>
    <w:rsid w:val="6B47294E"/>
    <w:rsid w:val="6B625A72"/>
    <w:rsid w:val="6B7917F7"/>
    <w:rsid w:val="6B88057B"/>
    <w:rsid w:val="6B9145AA"/>
    <w:rsid w:val="6BA20565"/>
    <w:rsid w:val="6BA73DCD"/>
    <w:rsid w:val="6BAA11C7"/>
    <w:rsid w:val="6BF608B1"/>
    <w:rsid w:val="6C0905E4"/>
    <w:rsid w:val="6C0B610A"/>
    <w:rsid w:val="6C141EFD"/>
    <w:rsid w:val="6C427652"/>
    <w:rsid w:val="6C5A7A8C"/>
    <w:rsid w:val="6C5E257D"/>
    <w:rsid w:val="6C5F0204"/>
    <w:rsid w:val="6C6E48EB"/>
    <w:rsid w:val="6C7A6DEC"/>
    <w:rsid w:val="6C9C1458"/>
    <w:rsid w:val="6CA125CA"/>
    <w:rsid w:val="6CAE5D81"/>
    <w:rsid w:val="6CB26586"/>
    <w:rsid w:val="6CC63812"/>
    <w:rsid w:val="6CD429A0"/>
    <w:rsid w:val="6CE07FA9"/>
    <w:rsid w:val="6CFF105E"/>
    <w:rsid w:val="6D3C0545"/>
    <w:rsid w:val="6D404677"/>
    <w:rsid w:val="6D4D4500"/>
    <w:rsid w:val="6D667370"/>
    <w:rsid w:val="6D765805"/>
    <w:rsid w:val="6D940381"/>
    <w:rsid w:val="6D9C0D39"/>
    <w:rsid w:val="6D9C0FE4"/>
    <w:rsid w:val="6DCF13B9"/>
    <w:rsid w:val="6DD4077E"/>
    <w:rsid w:val="6E231572"/>
    <w:rsid w:val="6E3D4575"/>
    <w:rsid w:val="6E405E13"/>
    <w:rsid w:val="6E4870B7"/>
    <w:rsid w:val="6E573888"/>
    <w:rsid w:val="6E9144C3"/>
    <w:rsid w:val="6EAE1443"/>
    <w:rsid w:val="6EB23273"/>
    <w:rsid w:val="6EC16F54"/>
    <w:rsid w:val="6EC922AC"/>
    <w:rsid w:val="6EDA6267"/>
    <w:rsid w:val="6F2B0871"/>
    <w:rsid w:val="6F3048EC"/>
    <w:rsid w:val="6F305E87"/>
    <w:rsid w:val="6F307C36"/>
    <w:rsid w:val="6F5167D3"/>
    <w:rsid w:val="6F6859A2"/>
    <w:rsid w:val="6F946416"/>
    <w:rsid w:val="6FAD2EAE"/>
    <w:rsid w:val="6FD131C7"/>
    <w:rsid w:val="700A66D9"/>
    <w:rsid w:val="700B13E5"/>
    <w:rsid w:val="702754DC"/>
    <w:rsid w:val="702F4391"/>
    <w:rsid w:val="7036571F"/>
    <w:rsid w:val="70495453"/>
    <w:rsid w:val="70741DA4"/>
    <w:rsid w:val="70761FC0"/>
    <w:rsid w:val="707B75D6"/>
    <w:rsid w:val="707F70C6"/>
    <w:rsid w:val="708727AC"/>
    <w:rsid w:val="708E2E66"/>
    <w:rsid w:val="708F6BDE"/>
    <w:rsid w:val="709A3F00"/>
    <w:rsid w:val="70E60EF4"/>
    <w:rsid w:val="70F829D5"/>
    <w:rsid w:val="70FF1FB5"/>
    <w:rsid w:val="710870BC"/>
    <w:rsid w:val="71193077"/>
    <w:rsid w:val="712565D7"/>
    <w:rsid w:val="712B31E0"/>
    <w:rsid w:val="713A123F"/>
    <w:rsid w:val="71511290"/>
    <w:rsid w:val="7157594D"/>
    <w:rsid w:val="7161307A"/>
    <w:rsid w:val="716167CC"/>
    <w:rsid w:val="716F713B"/>
    <w:rsid w:val="71724535"/>
    <w:rsid w:val="71797903"/>
    <w:rsid w:val="718524BB"/>
    <w:rsid w:val="71995F66"/>
    <w:rsid w:val="71A656EE"/>
    <w:rsid w:val="71AB5C99"/>
    <w:rsid w:val="71B132B0"/>
    <w:rsid w:val="71BB2380"/>
    <w:rsid w:val="71BE3C1E"/>
    <w:rsid w:val="722A12B4"/>
    <w:rsid w:val="724265FE"/>
    <w:rsid w:val="724E4FA2"/>
    <w:rsid w:val="726F7E37"/>
    <w:rsid w:val="72712A3F"/>
    <w:rsid w:val="72800ED4"/>
    <w:rsid w:val="728704B4"/>
    <w:rsid w:val="7289422C"/>
    <w:rsid w:val="728A3B01"/>
    <w:rsid w:val="728F12F7"/>
    <w:rsid w:val="72A93F87"/>
    <w:rsid w:val="72BF37AA"/>
    <w:rsid w:val="72C15774"/>
    <w:rsid w:val="72D80D10"/>
    <w:rsid w:val="72D964AF"/>
    <w:rsid w:val="72DD00D4"/>
    <w:rsid w:val="72DD1E82"/>
    <w:rsid w:val="72EE5E3E"/>
    <w:rsid w:val="7315786E"/>
    <w:rsid w:val="731C5655"/>
    <w:rsid w:val="73351024"/>
    <w:rsid w:val="73357F10"/>
    <w:rsid w:val="7338319D"/>
    <w:rsid w:val="73410663"/>
    <w:rsid w:val="734939BC"/>
    <w:rsid w:val="736B56E0"/>
    <w:rsid w:val="736F3422"/>
    <w:rsid w:val="738E11E6"/>
    <w:rsid w:val="739B3916"/>
    <w:rsid w:val="73A100AF"/>
    <w:rsid w:val="73AD7AA7"/>
    <w:rsid w:val="73B250BD"/>
    <w:rsid w:val="73C459E5"/>
    <w:rsid w:val="73FF3C0E"/>
    <w:rsid w:val="740D49E9"/>
    <w:rsid w:val="742E4CEE"/>
    <w:rsid w:val="7440091B"/>
    <w:rsid w:val="745B39A7"/>
    <w:rsid w:val="74604095"/>
    <w:rsid w:val="747814CB"/>
    <w:rsid w:val="74792018"/>
    <w:rsid w:val="74815520"/>
    <w:rsid w:val="749E43E7"/>
    <w:rsid w:val="74A52E74"/>
    <w:rsid w:val="74C72DEA"/>
    <w:rsid w:val="74CA6436"/>
    <w:rsid w:val="74D33D47"/>
    <w:rsid w:val="74DF6386"/>
    <w:rsid w:val="75014A00"/>
    <w:rsid w:val="7521074C"/>
    <w:rsid w:val="7535244A"/>
    <w:rsid w:val="753C7334"/>
    <w:rsid w:val="755B0018"/>
    <w:rsid w:val="75814EB7"/>
    <w:rsid w:val="75856698"/>
    <w:rsid w:val="75BA294F"/>
    <w:rsid w:val="75BB4292"/>
    <w:rsid w:val="75C95155"/>
    <w:rsid w:val="75E9202D"/>
    <w:rsid w:val="76053BCA"/>
    <w:rsid w:val="760B6D06"/>
    <w:rsid w:val="761A7523"/>
    <w:rsid w:val="76296200"/>
    <w:rsid w:val="76524935"/>
    <w:rsid w:val="76634D94"/>
    <w:rsid w:val="767243C4"/>
    <w:rsid w:val="76772E0A"/>
    <w:rsid w:val="767B20DE"/>
    <w:rsid w:val="767D5E56"/>
    <w:rsid w:val="768F16E6"/>
    <w:rsid w:val="768F7938"/>
    <w:rsid w:val="7693567A"/>
    <w:rsid w:val="76943163"/>
    <w:rsid w:val="769767EC"/>
    <w:rsid w:val="769F7497"/>
    <w:rsid w:val="76B13D52"/>
    <w:rsid w:val="76C06B0A"/>
    <w:rsid w:val="76C27D0D"/>
    <w:rsid w:val="76CA6BC2"/>
    <w:rsid w:val="76D10AB1"/>
    <w:rsid w:val="76F123A0"/>
    <w:rsid w:val="76FF2D0F"/>
    <w:rsid w:val="772269FE"/>
    <w:rsid w:val="773615C6"/>
    <w:rsid w:val="773D2B41"/>
    <w:rsid w:val="774921DC"/>
    <w:rsid w:val="774A3324"/>
    <w:rsid w:val="77505319"/>
    <w:rsid w:val="776928DD"/>
    <w:rsid w:val="77707769"/>
    <w:rsid w:val="777271A3"/>
    <w:rsid w:val="77752FD1"/>
    <w:rsid w:val="77813724"/>
    <w:rsid w:val="77894387"/>
    <w:rsid w:val="77897DAF"/>
    <w:rsid w:val="77AE3DED"/>
    <w:rsid w:val="77D31AA6"/>
    <w:rsid w:val="77F263D0"/>
    <w:rsid w:val="7807775C"/>
    <w:rsid w:val="780B56E4"/>
    <w:rsid w:val="781400F4"/>
    <w:rsid w:val="782347DB"/>
    <w:rsid w:val="78252301"/>
    <w:rsid w:val="782F13D2"/>
    <w:rsid w:val="784309DA"/>
    <w:rsid w:val="7847671C"/>
    <w:rsid w:val="788A03B6"/>
    <w:rsid w:val="78AF69D1"/>
    <w:rsid w:val="78D930EC"/>
    <w:rsid w:val="78E80676"/>
    <w:rsid w:val="790E548B"/>
    <w:rsid w:val="792211B1"/>
    <w:rsid w:val="792B7DEB"/>
    <w:rsid w:val="792D7857"/>
    <w:rsid w:val="794E7636"/>
    <w:rsid w:val="795D5ACB"/>
    <w:rsid w:val="79690914"/>
    <w:rsid w:val="79752E15"/>
    <w:rsid w:val="79927E6B"/>
    <w:rsid w:val="79975481"/>
    <w:rsid w:val="799A0876"/>
    <w:rsid w:val="799C1113"/>
    <w:rsid w:val="79C142AC"/>
    <w:rsid w:val="7A1C7734"/>
    <w:rsid w:val="7A393AB3"/>
    <w:rsid w:val="7A3971DA"/>
    <w:rsid w:val="7A541090"/>
    <w:rsid w:val="7A5B64AE"/>
    <w:rsid w:val="7A6D7F90"/>
    <w:rsid w:val="7A7438E4"/>
    <w:rsid w:val="7A794B87"/>
    <w:rsid w:val="7AF10BC1"/>
    <w:rsid w:val="7B0E1773"/>
    <w:rsid w:val="7B22117E"/>
    <w:rsid w:val="7B384096"/>
    <w:rsid w:val="7B566C76"/>
    <w:rsid w:val="7B7610C6"/>
    <w:rsid w:val="7BB57E40"/>
    <w:rsid w:val="7BC652F2"/>
    <w:rsid w:val="7BD1454E"/>
    <w:rsid w:val="7C044924"/>
    <w:rsid w:val="7C0D1A2A"/>
    <w:rsid w:val="7C217284"/>
    <w:rsid w:val="7C266648"/>
    <w:rsid w:val="7C280AA5"/>
    <w:rsid w:val="7C2823C0"/>
    <w:rsid w:val="7C2E5E52"/>
    <w:rsid w:val="7C39281F"/>
    <w:rsid w:val="7C75316F"/>
    <w:rsid w:val="7C790E6E"/>
    <w:rsid w:val="7C8D4919"/>
    <w:rsid w:val="7CA64A0C"/>
    <w:rsid w:val="7CAB2FF1"/>
    <w:rsid w:val="7CB55E4C"/>
    <w:rsid w:val="7CCD11BA"/>
    <w:rsid w:val="7CCF0A8E"/>
    <w:rsid w:val="7CD95DB0"/>
    <w:rsid w:val="7CE318A1"/>
    <w:rsid w:val="7CE7227B"/>
    <w:rsid w:val="7CED21F4"/>
    <w:rsid w:val="7D0270B5"/>
    <w:rsid w:val="7D2B7277"/>
    <w:rsid w:val="7D2C7C8E"/>
    <w:rsid w:val="7D4551F4"/>
    <w:rsid w:val="7D5C3AF1"/>
    <w:rsid w:val="7D626289"/>
    <w:rsid w:val="7D713228"/>
    <w:rsid w:val="7D7635FF"/>
    <w:rsid w:val="7DAC7021"/>
    <w:rsid w:val="7DCC7FF1"/>
    <w:rsid w:val="7DDA1DE0"/>
    <w:rsid w:val="7DE85681"/>
    <w:rsid w:val="7DF2712A"/>
    <w:rsid w:val="7DFD787D"/>
    <w:rsid w:val="7E2D1F10"/>
    <w:rsid w:val="7E3A132F"/>
    <w:rsid w:val="7E53162F"/>
    <w:rsid w:val="7E5971A9"/>
    <w:rsid w:val="7E6671D0"/>
    <w:rsid w:val="7E6D4A02"/>
    <w:rsid w:val="7E7B227F"/>
    <w:rsid w:val="7E7C2E97"/>
    <w:rsid w:val="7E8966CA"/>
    <w:rsid w:val="7E9669E4"/>
    <w:rsid w:val="7EA41B0D"/>
    <w:rsid w:val="7EA47201"/>
    <w:rsid w:val="7EB20667"/>
    <w:rsid w:val="7EB75C7D"/>
    <w:rsid w:val="7EC116E2"/>
    <w:rsid w:val="7EC637CE"/>
    <w:rsid w:val="7ED5614E"/>
    <w:rsid w:val="7F052E8D"/>
    <w:rsid w:val="7F385010"/>
    <w:rsid w:val="7F6C4CBA"/>
    <w:rsid w:val="7F6D458E"/>
    <w:rsid w:val="7F995383"/>
    <w:rsid w:val="7FBE4DEA"/>
    <w:rsid w:val="7FD76C08"/>
    <w:rsid w:val="7FD85EAB"/>
    <w:rsid w:val="7FE74340"/>
    <w:rsid w:val="7FF32CE5"/>
    <w:rsid w:val="7FF645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868F059"/>
  <w15:docId w15:val="{893A10D6-4A7C-4C13-8793-74D144C05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4" w:qFormat="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annotation text" w:qFormat="1"/>
    <w:lsdException w:name="header" w:uiPriority="99"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Body Text" w:uiPriority="1" w:qFormat="1"/>
    <w:lsdException w:name="Subtitle" w:qFormat="1"/>
    <w:lsdException w:name="Body Text First Indent" w:qFormat="1"/>
    <w:lsdException w:name="Body Text Indent 2" w:qFormat="1"/>
    <w:lsdException w:name="Hyperlink" w:uiPriority="99" w:unhideWhenUsed="1"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pPr>
      <w:widowControl w:val="0"/>
      <w:jc w:val="both"/>
    </w:pPr>
    <w:rPr>
      <w:rFonts w:ascii="Calibri" w:hAnsi="Calibri" w:cs="宋体"/>
      <w:kern w:val="2"/>
      <w:sz w:val="21"/>
      <w:szCs w:val="24"/>
    </w:rPr>
  </w:style>
  <w:style w:type="paragraph" w:styleId="1">
    <w:name w:val="heading 1"/>
    <w:basedOn w:val="a2"/>
    <w:next w:val="a2"/>
    <w:link w:val="10"/>
    <w:uiPriority w:val="9"/>
    <w:qFormat/>
    <w:pPr>
      <w:spacing w:beforeAutospacing="1" w:afterAutospacing="1"/>
      <w:jc w:val="left"/>
      <w:outlineLvl w:val="0"/>
    </w:pPr>
    <w:rPr>
      <w:rFonts w:ascii="宋体" w:hAnsi="宋体" w:cs="Times New Roman" w:hint="eastAsia"/>
      <w:b/>
      <w:bCs/>
      <w:kern w:val="44"/>
      <w:sz w:val="48"/>
      <w:szCs w:val="48"/>
    </w:rPr>
  </w:style>
  <w:style w:type="paragraph" w:styleId="2">
    <w:name w:val="heading 2"/>
    <w:basedOn w:val="a3"/>
    <w:next w:val="a2"/>
    <w:link w:val="20"/>
    <w:uiPriority w:val="9"/>
    <w:qFormat/>
    <w:pPr>
      <w:keepNext/>
      <w:keepLines/>
      <w:spacing w:line="360" w:lineRule="auto"/>
      <w:jc w:val="left"/>
      <w:outlineLvl w:val="1"/>
    </w:pPr>
    <w:rPr>
      <w:rFonts w:ascii="Arial" w:eastAsia="楷体" w:hAnsi="Arial" w:cs="Arial"/>
      <w:b/>
      <w:bCs/>
      <w:sz w:val="32"/>
      <w:szCs w:val="32"/>
    </w:rPr>
  </w:style>
  <w:style w:type="paragraph" w:styleId="3">
    <w:name w:val="heading 3"/>
    <w:basedOn w:val="a2"/>
    <w:next w:val="a2"/>
    <w:link w:val="30"/>
    <w:uiPriority w:val="9"/>
    <w:unhideWhenUsed/>
    <w:qFormat/>
    <w:pPr>
      <w:keepNext/>
      <w:keepLines/>
      <w:spacing w:before="260" w:after="260" w:line="416" w:lineRule="auto"/>
      <w:outlineLvl w:val="2"/>
    </w:pPr>
    <w:rPr>
      <w:b/>
      <w:bCs/>
      <w:sz w:val="32"/>
      <w:szCs w:val="32"/>
    </w:rPr>
  </w:style>
  <w:style w:type="paragraph" w:styleId="4">
    <w:name w:val="heading 4"/>
    <w:basedOn w:val="a2"/>
    <w:next w:val="a2"/>
    <w:link w:val="40"/>
    <w:uiPriority w:val="9"/>
    <w:unhideWhenUsed/>
    <w:qFormat/>
    <w:pPr>
      <w:keepNext/>
      <w:keepLines/>
      <w:spacing w:line="560" w:lineRule="exact"/>
      <w:ind w:firstLineChars="200" w:firstLine="880"/>
      <w:outlineLvl w:val="3"/>
    </w:pPr>
    <w:rPr>
      <w:rFonts w:ascii="Times New Roman" w:eastAsia="仿宋_GB2312" w:hAnsi="Times New Roman" w:cstheme="majorBidi"/>
      <w:bCs/>
      <w:sz w:val="32"/>
      <w:szCs w:val="28"/>
    </w:rPr>
  </w:style>
  <w:style w:type="paragraph" w:styleId="5">
    <w:name w:val="heading 5"/>
    <w:basedOn w:val="a2"/>
    <w:next w:val="a2"/>
    <w:semiHidden/>
    <w:unhideWhenUsed/>
    <w:qFormat/>
    <w:pPr>
      <w:keepNext/>
      <w:keepLines/>
      <w:spacing w:before="280" w:after="290" w:line="372" w:lineRule="auto"/>
      <w:outlineLvl w:val="4"/>
    </w:pPr>
    <w:rPr>
      <w:b/>
      <w:sz w:val="2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3">
    <w:name w:val="Body Text First Indent"/>
    <w:basedOn w:val="a7"/>
    <w:autoRedefine/>
    <w:qFormat/>
    <w:pPr>
      <w:ind w:firstLineChars="100" w:firstLine="420"/>
    </w:pPr>
  </w:style>
  <w:style w:type="paragraph" w:styleId="a7">
    <w:name w:val="Body Text"/>
    <w:basedOn w:val="a2"/>
    <w:link w:val="a8"/>
    <w:autoRedefine/>
    <w:uiPriority w:val="1"/>
    <w:qFormat/>
    <w:pPr>
      <w:spacing w:after="120"/>
    </w:pPr>
  </w:style>
  <w:style w:type="paragraph" w:styleId="7">
    <w:name w:val="toc 7"/>
    <w:basedOn w:val="a2"/>
    <w:next w:val="a2"/>
    <w:autoRedefine/>
    <w:uiPriority w:val="39"/>
    <w:unhideWhenUsed/>
    <w:qFormat/>
    <w:pPr>
      <w:ind w:leftChars="1200" w:left="2520"/>
    </w:pPr>
    <w:rPr>
      <w:rFonts w:asciiTheme="minorHAnsi" w:eastAsiaTheme="minorEastAsia" w:hAnsiTheme="minorHAnsi" w:cstheme="minorBidi"/>
      <w:szCs w:val="22"/>
    </w:rPr>
  </w:style>
  <w:style w:type="paragraph" w:styleId="a9">
    <w:name w:val="annotation text"/>
    <w:basedOn w:val="a2"/>
    <w:link w:val="aa"/>
    <w:autoRedefine/>
    <w:qFormat/>
    <w:pPr>
      <w:jc w:val="left"/>
    </w:pPr>
  </w:style>
  <w:style w:type="paragraph" w:styleId="41">
    <w:name w:val="index 4"/>
    <w:basedOn w:val="a2"/>
    <w:next w:val="a2"/>
    <w:autoRedefine/>
    <w:qFormat/>
    <w:pPr>
      <w:spacing w:before="100"/>
      <w:ind w:left="960" w:hanging="240"/>
      <w:jc w:val="center"/>
    </w:pPr>
    <w:rPr>
      <w:rFonts w:ascii="仿宋_GB2312" w:eastAsia="仿宋_GB2312" w:cs="Mangal"/>
      <w:color w:val="000000"/>
      <w:kern w:val="0"/>
      <w:sz w:val="28"/>
      <w:szCs w:val="28"/>
    </w:rPr>
  </w:style>
  <w:style w:type="paragraph" w:styleId="50">
    <w:name w:val="toc 5"/>
    <w:basedOn w:val="a2"/>
    <w:next w:val="a2"/>
    <w:autoRedefine/>
    <w:uiPriority w:val="39"/>
    <w:unhideWhenUsed/>
    <w:qFormat/>
    <w:pPr>
      <w:ind w:leftChars="800" w:left="1680"/>
    </w:pPr>
    <w:rPr>
      <w:rFonts w:asciiTheme="minorHAnsi" w:eastAsiaTheme="minorEastAsia" w:hAnsiTheme="minorHAnsi" w:cstheme="minorBidi"/>
      <w:szCs w:val="22"/>
    </w:rPr>
  </w:style>
  <w:style w:type="paragraph" w:styleId="31">
    <w:name w:val="toc 3"/>
    <w:basedOn w:val="a2"/>
    <w:next w:val="a2"/>
    <w:autoRedefine/>
    <w:uiPriority w:val="39"/>
    <w:unhideWhenUsed/>
    <w:qFormat/>
    <w:pPr>
      <w:spacing w:line="360" w:lineRule="auto"/>
      <w:ind w:leftChars="400" w:left="840" w:firstLineChars="200" w:firstLine="200"/>
    </w:pPr>
    <w:rPr>
      <w:rFonts w:asciiTheme="minorHAnsi" w:eastAsia="仿宋_GB2312" w:hAnsiTheme="minorHAnsi" w:cstheme="minorBidi"/>
      <w:sz w:val="28"/>
      <w:szCs w:val="22"/>
    </w:rPr>
  </w:style>
  <w:style w:type="paragraph" w:styleId="8">
    <w:name w:val="toc 8"/>
    <w:basedOn w:val="a2"/>
    <w:next w:val="a2"/>
    <w:autoRedefine/>
    <w:uiPriority w:val="39"/>
    <w:unhideWhenUsed/>
    <w:qFormat/>
    <w:pPr>
      <w:ind w:leftChars="1400" w:left="2940"/>
    </w:pPr>
    <w:rPr>
      <w:rFonts w:asciiTheme="minorHAnsi" w:eastAsiaTheme="minorEastAsia" w:hAnsiTheme="minorHAnsi" w:cstheme="minorBidi"/>
      <w:szCs w:val="22"/>
    </w:rPr>
  </w:style>
  <w:style w:type="paragraph" w:styleId="21">
    <w:name w:val="Body Text Indent 2"/>
    <w:basedOn w:val="a2"/>
    <w:autoRedefine/>
    <w:qFormat/>
    <w:pPr>
      <w:spacing w:line="480" w:lineRule="auto"/>
      <w:ind w:leftChars="200" w:left="420"/>
    </w:pPr>
    <w:rPr>
      <w:rFonts w:ascii="Times New Roman" w:hAnsi="Times New Roman" w:cs="Times New Roman"/>
    </w:rPr>
  </w:style>
  <w:style w:type="paragraph" w:styleId="ab">
    <w:name w:val="Balloon Text"/>
    <w:basedOn w:val="a2"/>
    <w:link w:val="ac"/>
    <w:autoRedefine/>
    <w:uiPriority w:val="99"/>
    <w:qFormat/>
    <w:rPr>
      <w:rFonts w:ascii="Microsoft YaHei UI" w:eastAsia="Microsoft YaHei UI"/>
      <w:sz w:val="18"/>
      <w:szCs w:val="18"/>
    </w:rPr>
  </w:style>
  <w:style w:type="paragraph" w:styleId="ad">
    <w:name w:val="footer"/>
    <w:basedOn w:val="a2"/>
    <w:link w:val="ae"/>
    <w:uiPriority w:val="99"/>
    <w:qFormat/>
    <w:pPr>
      <w:tabs>
        <w:tab w:val="center" w:pos="4153"/>
        <w:tab w:val="right" w:pos="8306"/>
      </w:tabs>
      <w:snapToGrid w:val="0"/>
      <w:jc w:val="left"/>
    </w:pPr>
    <w:rPr>
      <w:sz w:val="18"/>
      <w:szCs w:val="18"/>
    </w:rPr>
  </w:style>
  <w:style w:type="paragraph" w:styleId="af">
    <w:name w:val="header"/>
    <w:basedOn w:val="a2"/>
    <w:link w:val="af0"/>
    <w:autoRedefine/>
    <w:uiPriority w:val="99"/>
    <w:qFormat/>
    <w:pPr>
      <w:tabs>
        <w:tab w:val="center" w:pos="4153"/>
        <w:tab w:val="right" w:pos="8306"/>
      </w:tabs>
      <w:snapToGrid w:val="0"/>
      <w:jc w:val="center"/>
    </w:pPr>
    <w:rPr>
      <w:sz w:val="18"/>
      <w:szCs w:val="18"/>
    </w:rPr>
  </w:style>
  <w:style w:type="paragraph" w:styleId="11">
    <w:name w:val="toc 1"/>
    <w:basedOn w:val="a2"/>
    <w:next w:val="a2"/>
    <w:autoRedefine/>
    <w:uiPriority w:val="39"/>
    <w:unhideWhenUsed/>
    <w:qFormat/>
    <w:pPr>
      <w:spacing w:line="360" w:lineRule="auto"/>
      <w:ind w:firstLineChars="200" w:firstLine="200"/>
    </w:pPr>
    <w:rPr>
      <w:rFonts w:asciiTheme="minorHAnsi" w:eastAsia="仿宋_GB2312" w:hAnsiTheme="minorHAnsi" w:cstheme="minorBidi"/>
      <w:sz w:val="28"/>
      <w:szCs w:val="22"/>
    </w:rPr>
  </w:style>
  <w:style w:type="paragraph" w:styleId="42">
    <w:name w:val="toc 4"/>
    <w:basedOn w:val="a2"/>
    <w:next w:val="a2"/>
    <w:autoRedefine/>
    <w:uiPriority w:val="39"/>
    <w:unhideWhenUsed/>
    <w:qFormat/>
    <w:pPr>
      <w:ind w:leftChars="600" w:left="1260"/>
    </w:pPr>
    <w:rPr>
      <w:rFonts w:asciiTheme="minorHAnsi" w:eastAsiaTheme="minorEastAsia" w:hAnsiTheme="minorHAnsi" w:cstheme="minorBidi"/>
      <w:szCs w:val="22"/>
    </w:rPr>
  </w:style>
  <w:style w:type="paragraph" w:styleId="6">
    <w:name w:val="toc 6"/>
    <w:basedOn w:val="a2"/>
    <w:next w:val="a2"/>
    <w:uiPriority w:val="39"/>
    <w:unhideWhenUsed/>
    <w:qFormat/>
    <w:pPr>
      <w:ind w:leftChars="1000" w:left="2100"/>
    </w:pPr>
    <w:rPr>
      <w:rFonts w:asciiTheme="minorHAnsi" w:eastAsiaTheme="minorEastAsia" w:hAnsiTheme="minorHAnsi" w:cstheme="minorBidi"/>
      <w:szCs w:val="22"/>
    </w:rPr>
  </w:style>
  <w:style w:type="paragraph" w:styleId="22">
    <w:name w:val="toc 2"/>
    <w:basedOn w:val="a2"/>
    <w:next w:val="a2"/>
    <w:autoRedefine/>
    <w:uiPriority w:val="39"/>
    <w:unhideWhenUsed/>
    <w:qFormat/>
    <w:pPr>
      <w:spacing w:line="360" w:lineRule="auto"/>
      <w:ind w:leftChars="200" w:left="420" w:firstLineChars="200" w:firstLine="200"/>
    </w:pPr>
    <w:rPr>
      <w:rFonts w:asciiTheme="minorHAnsi" w:eastAsia="仿宋_GB2312" w:hAnsiTheme="minorHAnsi" w:cstheme="minorBidi"/>
      <w:sz w:val="28"/>
      <w:szCs w:val="22"/>
    </w:rPr>
  </w:style>
  <w:style w:type="paragraph" w:styleId="9">
    <w:name w:val="toc 9"/>
    <w:basedOn w:val="a2"/>
    <w:next w:val="a2"/>
    <w:autoRedefine/>
    <w:uiPriority w:val="39"/>
    <w:unhideWhenUsed/>
    <w:qFormat/>
    <w:pPr>
      <w:ind w:leftChars="1600" w:left="3360"/>
    </w:pPr>
    <w:rPr>
      <w:rFonts w:asciiTheme="minorHAnsi" w:eastAsiaTheme="minorEastAsia" w:hAnsiTheme="minorHAnsi" w:cstheme="minorBidi"/>
      <w:szCs w:val="22"/>
    </w:rPr>
  </w:style>
  <w:style w:type="paragraph" w:styleId="af1">
    <w:name w:val="Normal (Web)"/>
    <w:basedOn w:val="a2"/>
    <w:autoRedefine/>
    <w:uiPriority w:val="99"/>
    <w:qFormat/>
    <w:pPr>
      <w:spacing w:beforeAutospacing="1" w:afterAutospacing="1"/>
      <w:jc w:val="left"/>
    </w:pPr>
    <w:rPr>
      <w:rFonts w:cs="Times New Roman"/>
      <w:kern w:val="0"/>
      <w:sz w:val="24"/>
    </w:rPr>
  </w:style>
  <w:style w:type="paragraph" w:styleId="af2">
    <w:name w:val="annotation subject"/>
    <w:basedOn w:val="a9"/>
    <w:next w:val="a9"/>
    <w:link w:val="af3"/>
    <w:autoRedefine/>
    <w:qFormat/>
    <w:rPr>
      <w:b/>
      <w:bCs/>
    </w:rPr>
  </w:style>
  <w:style w:type="table" w:styleId="af4">
    <w:name w:val="Table Grid"/>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Emphasis"/>
    <w:basedOn w:val="a4"/>
    <w:autoRedefine/>
    <w:uiPriority w:val="20"/>
    <w:qFormat/>
    <w:rPr>
      <w:i/>
      <w:iCs/>
    </w:rPr>
  </w:style>
  <w:style w:type="character" w:styleId="af6">
    <w:name w:val="Hyperlink"/>
    <w:basedOn w:val="a4"/>
    <w:autoRedefine/>
    <w:uiPriority w:val="99"/>
    <w:unhideWhenUsed/>
    <w:qFormat/>
    <w:rPr>
      <w:color w:val="0000FF" w:themeColor="hyperlink"/>
      <w:u w:val="single"/>
    </w:rPr>
  </w:style>
  <w:style w:type="character" w:styleId="af7">
    <w:name w:val="annotation reference"/>
    <w:basedOn w:val="a4"/>
    <w:qFormat/>
    <w:rPr>
      <w:sz w:val="21"/>
      <w:szCs w:val="21"/>
    </w:rPr>
  </w:style>
  <w:style w:type="paragraph" w:customStyle="1" w:styleId="p0">
    <w:name w:val="p0"/>
    <w:basedOn w:val="a2"/>
    <w:autoRedefine/>
    <w:qFormat/>
    <w:pPr>
      <w:widowControl/>
      <w:spacing w:before="100" w:beforeAutospacing="1" w:after="100" w:afterAutospacing="1"/>
      <w:jc w:val="left"/>
    </w:pPr>
    <w:rPr>
      <w:rFonts w:ascii="宋体" w:hAnsi="宋体"/>
      <w:kern w:val="0"/>
      <w:sz w:val="24"/>
    </w:rPr>
  </w:style>
  <w:style w:type="character" w:customStyle="1" w:styleId="af0">
    <w:name w:val="页眉 字符"/>
    <w:basedOn w:val="a4"/>
    <w:link w:val="af"/>
    <w:autoRedefine/>
    <w:uiPriority w:val="99"/>
    <w:qFormat/>
    <w:rPr>
      <w:rFonts w:ascii="Calibri" w:eastAsia="宋体" w:hAnsi="Calibri" w:cs="宋体"/>
      <w:kern w:val="2"/>
      <w:sz w:val="18"/>
      <w:szCs w:val="18"/>
    </w:rPr>
  </w:style>
  <w:style w:type="character" w:customStyle="1" w:styleId="ae">
    <w:name w:val="页脚 字符"/>
    <w:basedOn w:val="a4"/>
    <w:link w:val="ad"/>
    <w:uiPriority w:val="99"/>
    <w:qFormat/>
    <w:rPr>
      <w:rFonts w:ascii="Calibri" w:eastAsia="宋体" w:hAnsi="Calibri" w:cs="宋体"/>
      <w:kern w:val="2"/>
      <w:sz w:val="18"/>
      <w:szCs w:val="18"/>
    </w:rPr>
  </w:style>
  <w:style w:type="paragraph" w:customStyle="1" w:styleId="12">
    <w:name w:val="修订1"/>
    <w:autoRedefine/>
    <w:uiPriority w:val="99"/>
    <w:qFormat/>
    <w:rPr>
      <w:rFonts w:ascii="Calibri" w:hAnsi="Calibri" w:cs="宋体"/>
      <w:kern w:val="2"/>
      <w:sz w:val="21"/>
      <w:szCs w:val="24"/>
    </w:rPr>
  </w:style>
  <w:style w:type="character" w:customStyle="1" w:styleId="aa">
    <w:name w:val="批注文字 字符"/>
    <w:basedOn w:val="a4"/>
    <w:link w:val="a9"/>
    <w:autoRedefine/>
    <w:qFormat/>
    <w:rPr>
      <w:rFonts w:ascii="Calibri" w:eastAsia="宋体" w:hAnsi="Calibri" w:cs="宋体"/>
      <w:kern w:val="2"/>
      <w:sz w:val="21"/>
      <w:szCs w:val="24"/>
    </w:rPr>
  </w:style>
  <w:style w:type="character" w:customStyle="1" w:styleId="af3">
    <w:name w:val="批注主题 字符"/>
    <w:basedOn w:val="aa"/>
    <w:link w:val="af2"/>
    <w:autoRedefine/>
    <w:qFormat/>
    <w:rPr>
      <w:rFonts w:ascii="Calibri" w:eastAsia="宋体" w:hAnsi="Calibri" w:cs="宋体"/>
      <w:b/>
      <w:bCs/>
      <w:kern w:val="2"/>
      <w:sz w:val="21"/>
      <w:szCs w:val="24"/>
    </w:rPr>
  </w:style>
  <w:style w:type="paragraph" w:customStyle="1" w:styleId="13">
    <w:name w:val="列出段落1"/>
    <w:basedOn w:val="a2"/>
    <w:autoRedefine/>
    <w:uiPriority w:val="99"/>
    <w:qFormat/>
    <w:pPr>
      <w:snapToGrid w:val="0"/>
      <w:spacing w:after="15" w:line="600" w:lineRule="exact"/>
      <w:ind w:firstLineChars="200" w:firstLine="420"/>
    </w:pPr>
    <w:rPr>
      <w:szCs w:val="22"/>
    </w:rPr>
  </w:style>
  <w:style w:type="paragraph" w:customStyle="1" w:styleId="23">
    <w:name w:val="列出段落2"/>
    <w:basedOn w:val="a2"/>
    <w:autoRedefine/>
    <w:uiPriority w:val="34"/>
    <w:qFormat/>
    <w:pPr>
      <w:ind w:firstLine="420"/>
    </w:pPr>
  </w:style>
  <w:style w:type="character" w:customStyle="1" w:styleId="ac">
    <w:name w:val="批注框文本 字符"/>
    <w:basedOn w:val="a4"/>
    <w:link w:val="ab"/>
    <w:autoRedefine/>
    <w:uiPriority w:val="99"/>
    <w:qFormat/>
    <w:rPr>
      <w:rFonts w:ascii="Microsoft YaHei UI" w:eastAsia="Microsoft YaHei UI" w:hAnsi="Calibri" w:cs="宋体"/>
      <w:kern w:val="2"/>
      <w:sz w:val="18"/>
      <w:szCs w:val="18"/>
    </w:rPr>
  </w:style>
  <w:style w:type="paragraph" w:customStyle="1" w:styleId="24">
    <w:name w:val="修订2"/>
    <w:autoRedefine/>
    <w:hidden/>
    <w:uiPriority w:val="99"/>
    <w:semiHidden/>
    <w:qFormat/>
    <w:rPr>
      <w:rFonts w:ascii="Calibri" w:hAnsi="Calibri" w:cs="宋体"/>
      <w:kern w:val="2"/>
      <w:sz w:val="21"/>
      <w:szCs w:val="24"/>
    </w:rPr>
  </w:style>
  <w:style w:type="paragraph" w:styleId="a1">
    <w:name w:val="List Paragraph"/>
    <w:basedOn w:val="a2"/>
    <w:autoRedefine/>
    <w:uiPriority w:val="34"/>
    <w:qFormat/>
    <w:pPr>
      <w:numPr>
        <w:numId w:val="1"/>
      </w:numPr>
      <w:adjustRightInd w:val="0"/>
      <w:snapToGrid w:val="0"/>
      <w:spacing w:line="560" w:lineRule="exact"/>
    </w:pPr>
  </w:style>
  <w:style w:type="character" w:customStyle="1" w:styleId="20">
    <w:name w:val="标题 2 字符"/>
    <w:basedOn w:val="a4"/>
    <w:link w:val="2"/>
    <w:autoRedefine/>
    <w:uiPriority w:val="9"/>
    <w:qFormat/>
    <w:rPr>
      <w:rFonts w:ascii="Arial" w:eastAsia="楷体" w:hAnsi="Arial" w:cs="Arial"/>
      <w:b/>
      <w:bCs/>
      <w:kern w:val="2"/>
      <w:sz w:val="32"/>
      <w:szCs w:val="32"/>
    </w:rPr>
  </w:style>
  <w:style w:type="paragraph" w:customStyle="1" w:styleId="aa0">
    <w:name w:val="aa正文"/>
    <w:basedOn w:val="a2"/>
    <w:autoRedefine/>
    <w:qFormat/>
    <w:pPr>
      <w:snapToGrid w:val="0"/>
      <w:spacing w:after="15" w:line="440" w:lineRule="exact"/>
      <w:ind w:firstLineChars="200" w:firstLine="480"/>
    </w:pPr>
    <w:rPr>
      <w:rFonts w:ascii="Times New Roman" w:hAnsi="Times New Roman" w:cs="Times New Roman"/>
      <w:sz w:val="24"/>
      <w:szCs w:val="22"/>
    </w:rPr>
  </w:style>
  <w:style w:type="character" w:customStyle="1" w:styleId="fontstyle01">
    <w:name w:val="fontstyle01"/>
    <w:basedOn w:val="a4"/>
    <w:autoRedefine/>
    <w:qFormat/>
    <w:rPr>
      <w:rFonts w:ascii="宋体" w:eastAsia="宋体" w:hAnsi="宋体" w:hint="eastAsia"/>
      <w:color w:val="000000"/>
      <w:sz w:val="24"/>
      <w:szCs w:val="24"/>
    </w:rPr>
  </w:style>
  <w:style w:type="paragraph" w:customStyle="1" w:styleId="aa1">
    <w:name w:val="aa单行标题"/>
    <w:basedOn w:val="13"/>
    <w:autoRedefine/>
    <w:qFormat/>
    <w:pPr>
      <w:spacing w:line="360" w:lineRule="auto"/>
      <w:ind w:firstLineChars="0" w:firstLine="640"/>
      <w:jc w:val="center"/>
    </w:pPr>
    <w:rPr>
      <w:rFonts w:ascii="Times New Roman" w:hAnsi="Times New Roman" w:cs="Times New Roman"/>
      <w:sz w:val="32"/>
      <w:szCs w:val="32"/>
    </w:rPr>
  </w:style>
  <w:style w:type="character" w:customStyle="1" w:styleId="30">
    <w:name w:val="标题 3 字符"/>
    <w:basedOn w:val="a4"/>
    <w:link w:val="3"/>
    <w:autoRedefine/>
    <w:uiPriority w:val="9"/>
    <w:qFormat/>
    <w:rPr>
      <w:rFonts w:ascii="Calibri" w:hAnsi="Calibri" w:cs="宋体"/>
      <w:b/>
      <w:bCs/>
      <w:kern w:val="2"/>
      <w:sz w:val="32"/>
      <w:szCs w:val="32"/>
    </w:rPr>
  </w:style>
  <w:style w:type="character" w:customStyle="1" w:styleId="40">
    <w:name w:val="标题 4 字符"/>
    <w:basedOn w:val="a4"/>
    <w:link w:val="4"/>
    <w:autoRedefine/>
    <w:uiPriority w:val="9"/>
    <w:qFormat/>
    <w:rPr>
      <w:rFonts w:ascii="Times New Roman" w:eastAsia="仿宋_GB2312" w:hAnsi="Times New Roman" w:cstheme="majorBidi"/>
      <w:bCs/>
      <w:kern w:val="2"/>
      <w:sz w:val="32"/>
      <w:szCs w:val="28"/>
    </w:rPr>
  </w:style>
  <w:style w:type="character" w:customStyle="1" w:styleId="10">
    <w:name w:val="标题 1 字符"/>
    <w:basedOn w:val="a4"/>
    <w:link w:val="1"/>
    <w:autoRedefine/>
    <w:uiPriority w:val="9"/>
    <w:qFormat/>
    <w:rPr>
      <w:rFonts w:ascii="宋体" w:hAnsi="宋体"/>
      <w:b/>
      <w:bCs/>
      <w:kern w:val="44"/>
      <w:sz w:val="48"/>
      <w:szCs w:val="48"/>
    </w:rPr>
  </w:style>
  <w:style w:type="character" w:customStyle="1" w:styleId="a8">
    <w:name w:val="正文文本 字符"/>
    <w:basedOn w:val="a4"/>
    <w:link w:val="a7"/>
    <w:autoRedefine/>
    <w:uiPriority w:val="1"/>
    <w:qFormat/>
    <w:rPr>
      <w:rFonts w:ascii="Calibri" w:hAnsi="Calibri" w:cs="宋体"/>
      <w:kern w:val="2"/>
      <w:sz w:val="21"/>
      <w:szCs w:val="24"/>
    </w:rPr>
  </w:style>
  <w:style w:type="paragraph" w:customStyle="1" w:styleId="25">
    <w:name w:val="列表段落2"/>
    <w:basedOn w:val="a2"/>
    <w:qFormat/>
    <w:pPr>
      <w:spacing w:line="360" w:lineRule="auto"/>
      <w:ind w:firstLineChars="200" w:firstLine="420"/>
      <w:jc w:val="left"/>
    </w:pPr>
    <w:rPr>
      <w:rFonts w:cs="Times New Roman"/>
      <w:sz w:val="24"/>
    </w:rPr>
  </w:style>
  <w:style w:type="paragraph" w:customStyle="1" w:styleId="32">
    <w:name w:val="修订3"/>
    <w:autoRedefine/>
    <w:hidden/>
    <w:uiPriority w:val="99"/>
    <w:unhideWhenUsed/>
    <w:qFormat/>
    <w:rPr>
      <w:rFonts w:asciiTheme="minorHAnsi" w:eastAsiaTheme="minorEastAsia" w:hAnsiTheme="minorHAnsi" w:cstheme="minorBidi"/>
      <w:kern w:val="2"/>
      <w:sz w:val="21"/>
      <w:szCs w:val="22"/>
    </w:rPr>
  </w:style>
  <w:style w:type="character" w:customStyle="1" w:styleId="14">
    <w:name w:val="页眉 字符1"/>
    <w:basedOn w:val="a4"/>
    <w:autoRedefine/>
    <w:uiPriority w:val="99"/>
    <w:qFormat/>
    <w:rPr>
      <w:sz w:val="18"/>
      <w:szCs w:val="18"/>
    </w:rPr>
  </w:style>
  <w:style w:type="character" w:customStyle="1" w:styleId="15">
    <w:name w:val="页脚 字符1"/>
    <w:basedOn w:val="a4"/>
    <w:autoRedefine/>
    <w:uiPriority w:val="99"/>
    <w:qFormat/>
    <w:rPr>
      <w:sz w:val="18"/>
      <w:szCs w:val="18"/>
    </w:rPr>
  </w:style>
  <w:style w:type="character" w:customStyle="1" w:styleId="16">
    <w:name w:val="正文文本 字符1"/>
    <w:basedOn w:val="a4"/>
    <w:autoRedefine/>
    <w:uiPriority w:val="1"/>
    <w:qFormat/>
    <w:rPr>
      <w:rFonts w:ascii="宋体" w:eastAsia="宋体" w:hAnsi="宋体" w:cs="宋体"/>
      <w:kern w:val="0"/>
      <w:sz w:val="22"/>
      <w:lang w:val="zh-CN" w:bidi="zh-CN"/>
    </w:rPr>
  </w:style>
  <w:style w:type="character" w:customStyle="1" w:styleId="17">
    <w:name w:val="批注框文本 字符1"/>
    <w:basedOn w:val="a4"/>
    <w:autoRedefine/>
    <w:uiPriority w:val="99"/>
    <w:semiHidden/>
    <w:qFormat/>
    <w:rPr>
      <w:rFonts w:asciiTheme="minorHAnsi" w:eastAsiaTheme="minorEastAsia" w:hAnsiTheme="minorHAnsi" w:cstheme="minorBidi"/>
      <w:kern w:val="2"/>
      <w:sz w:val="18"/>
      <w:szCs w:val="18"/>
    </w:rPr>
  </w:style>
  <w:style w:type="character" w:customStyle="1" w:styleId="110">
    <w:name w:val="标题 1 字符1"/>
    <w:basedOn w:val="a4"/>
    <w:autoRedefine/>
    <w:uiPriority w:val="9"/>
    <w:qFormat/>
    <w:rPr>
      <w:rFonts w:asciiTheme="minorHAnsi" w:eastAsia="方正小标宋简体" w:hAnsiTheme="minorHAnsi" w:cstheme="minorBidi"/>
      <w:b/>
      <w:bCs/>
      <w:kern w:val="44"/>
      <w:sz w:val="36"/>
      <w:szCs w:val="44"/>
    </w:rPr>
  </w:style>
  <w:style w:type="character" w:customStyle="1" w:styleId="210">
    <w:name w:val="标题 2 字符1"/>
    <w:basedOn w:val="a4"/>
    <w:autoRedefine/>
    <w:uiPriority w:val="9"/>
    <w:qFormat/>
    <w:rPr>
      <w:rFonts w:asciiTheme="majorHAnsi" w:eastAsia="黑体" w:hAnsiTheme="majorHAnsi" w:cstheme="majorBidi"/>
      <w:b/>
      <w:bCs/>
      <w:kern w:val="2"/>
      <w:sz w:val="30"/>
      <w:szCs w:val="32"/>
    </w:rPr>
  </w:style>
  <w:style w:type="character" w:customStyle="1" w:styleId="310">
    <w:name w:val="标题 3 字符1"/>
    <w:basedOn w:val="a4"/>
    <w:autoRedefine/>
    <w:uiPriority w:val="9"/>
    <w:qFormat/>
    <w:rPr>
      <w:rFonts w:asciiTheme="minorHAnsi" w:eastAsia="仿宋_GB2312" w:hAnsiTheme="minorHAnsi" w:cstheme="minorBidi"/>
      <w:b/>
      <w:bCs/>
      <w:kern w:val="2"/>
      <w:sz w:val="28"/>
      <w:szCs w:val="32"/>
    </w:rPr>
  </w:style>
  <w:style w:type="paragraph" w:customStyle="1" w:styleId="TOC1">
    <w:name w:val="TOC 标题1"/>
    <w:basedOn w:val="1"/>
    <w:next w:val="a2"/>
    <w:autoRedefine/>
    <w:uiPriority w:val="39"/>
    <w:unhideWhenUsed/>
    <w:qFormat/>
    <w:pPr>
      <w:keepNext/>
      <w:keepLines/>
      <w:widowControl/>
      <w:spacing w:before="240" w:beforeAutospacing="0" w:afterAutospacing="0" w:line="259" w:lineRule="auto"/>
      <w:outlineLvl w:val="9"/>
    </w:pPr>
    <w:rPr>
      <w:rFonts w:asciiTheme="majorHAnsi" w:eastAsiaTheme="majorEastAsia" w:hAnsiTheme="majorHAnsi" w:cstheme="majorBidi" w:hint="default"/>
      <w:b w:val="0"/>
      <w:bCs w:val="0"/>
      <w:color w:val="365F91" w:themeColor="accent1" w:themeShade="BF"/>
      <w:kern w:val="0"/>
      <w:sz w:val="32"/>
      <w:szCs w:val="32"/>
    </w:rPr>
  </w:style>
  <w:style w:type="character" w:customStyle="1" w:styleId="410">
    <w:name w:val="标题 4 字符1"/>
    <w:basedOn w:val="a4"/>
    <w:autoRedefine/>
    <w:uiPriority w:val="9"/>
    <w:qFormat/>
    <w:rPr>
      <w:rFonts w:asciiTheme="majorHAnsi" w:eastAsia="仿宋_GB2312" w:hAnsiTheme="majorHAnsi" w:cstheme="majorBidi"/>
      <w:b/>
      <w:bCs/>
      <w:kern w:val="2"/>
      <w:sz w:val="28"/>
      <w:szCs w:val="28"/>
    </w:rPr>
  </w:style>
  <w:style w:type="paragraph" w:customStyle="1" w:styleId="af8">
    <w:name w:val="中文正文"/>
    <w:basedOn w:val="a2"/>
    <w:autoRedefine/>
    <w:qFormat/>
    <w:pPr>
      <w:spacing w:line="288" w:lineRule="auto"/>
      <w:ind w:firstLineChars="200" w:firstLine="200"/>
    </w:pPr>
    <w:rPr>
      <w:rFonts w:ascii="Times New Roman" w:hAnsi="Times New Roman" w:cs="Times New Roman"/>
      <w:sz w:val="24"/>
    </w:rPr>
  </w:style>
  <w:style w:type="character" w:customStyle="1" w:styleId="26">
    <w:name w:val="页眉 字符2"/>
    <w:basedOn w:val="a4"/>
    <w:autoRedefine/>
    <w:uiPriority w:val="99"/>
    <w:qFormat/>
    <w:rPr>
      <w:sz w:val="18"/>
      <w:szCs w:val="18"/>
    </w:rPr>
  </w:style>
  <w:style w:type="character" w:customStyle="1" w:styleId="27">
    <w:name w:val="页脚 字符2"/>
    <w:basedOn w:val="a4"/>
    <w:autoRedefine/>
    <w:uiPriority w:val="99"/>
    <w:qFormat/>
    <w:rPr>
      <w:sz w:val="18"/>
      <w:szCs w:val="18"/>
    </w:rPr>
  </w:style>
  <w:style w:type="character" w:customStyle="1" w:styleId="28">
    <w:name w:val="正文文本 字符2"/>
    <w:basedOn w:val="a4"/>
    <w:autoRedefine/>
    <w:uiPriority w:val="1"/>
    <w:qFormat/>
    <w:rPr>
      <w:rFonts w:ascii="宋体" w:eastAsia="宋体" w:hAnsi="宋体" w:cs="宋体"/>
      <w:kern w:val="0"/>
      <w:sz w:val="22"/>
      <w:lang w:val="zh-CN" w:bidi="zh-CN"/>
    </w:rPr>
  </w:style>
  <w:style w:type="paragraph" w:customStyle="1" w:styleId="211">
    <w:name w:val="列表段落21"/>
    <w:basedOn w:val="a2"/>
    <w:autoRedefine/>
    <w:qFormat/>
    <w:pPr>
      <w:spacing w:line="360" w:lineRule="auto"/>
      <w:ind w:firstLineChars="200" w:firstLine="420"/>
      <w:jc w:val="left"/>
    </w:pPr>
    <w:rPr>
      <w:rFonts w:cs="Times New Roman"/>
      <w:sz w:val="24"/>
    </w:rPr>
  </w:style>
  <w:style w:type="character" w:customStyle="1" w:styleId="29">
    <w:name w:val="批注框文本 字符2"/>
    <w:basedOn w:val="a4"/>
    <w:autoRedefine/>
    <w:uiPriority w:val="99"/>
    <w:semiHidden/>
    <w:qFormat/>
    <w:rPr>
      <w:rFonts w:ascii="Microsoft YaHei UI" w:eastAsia="Microsoft YaHei UI"/>
      <w:kern w:val="2"/>
      <w:sz w:val="18"/>
      <w:szCs w:val="18"/>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1">
    <w:name w:val="列出段落11"/>
    <w:basedOn w:val="a2"/>
    <w:autoRedefine/>
    <w:uiPriority w:val="34"/>
    <w:qFormat/>
    <w:pPr>
      <w:snapToGrid w:val="0"/>
      <w:spacing w:after="15" w:line="600" w:lineRule="exact"/>
      <w:ind w:firstLineChars="200" w:firstLine="420"/>
    </w:pPr>
    <w:rPr>
      <w:szCs w:val="22"/>
    </w:rPr>
  </w:style>
  <w:style w:type="paragraph" w:customStyle="1" w:styleId="112">
    <w:name w:val="1图标标题1行"/>
    <w:basedOn w:val="af9"/>
    <w:autoRedefine/>
    <w:qFormat/>
    <w:pPr>
      <w:adjustRightInd w:val="0"/>
      <w:snapToGrid w:val="0"/>
    </w:pPr>
    <w:rPr>
      <w:rFonts w:ascii="仿宋" w:eastAsia="仿宋" w:hAnsi="仿宋" w:cs="仿宋"/>
      <w:bCs w:val="0"/>
      <w:kern w:val="0"/>
      <w:sz w:val="24"/>
    </w:rPr>
  </w:style>
  <w:style w:type="paragraph" w:customStyle="1" w:styleId="af9">
    <w:name w:val="图片标题"/>
    <w:basedOn w:val="a2"/>
    <w:autoRedefine/>
    <w:qFormat/>
    <w:pPr>
      <w:jc w:val="center"/>
    </w:pPr>
    <w:rPr>
      <w:rFonts w:eastAsia="黑体"/>
      <w:bCs/>
    </w:rPr>
  </w:style>
  <w:style w:type="paragraph" w:customStyle="1" w:styleId="18">
    <w:name w:val="列表段落1"/>
    <w:basedOn w:val="a2"/>
    <w:autoRedefine/>
    <w:uiPriority w:val="99"/>
    <w:unhideWhenUsed/>
    <w:qFormat/>
    <w:pPr>
      <w:ind w:firstLineChars="200" w:firstLine="420"/>
    </w:pPr>
  </w:style>
  <w:style w:type="paragraph" w:customStyle="1" w:styleId="43">
    <w:name w:val="修订4"/>
    <w:hidden/>
    <w:uiPriority w:val="99"/>
    <w:unhideWhenUsed/>
    <w:qFormat/>
    <w:rPr>
      <w:rFonts w:ascii="Calibri" w:hAnsi="Calibri" w:cs="宋体"/>
      <w:kern w:val="2"/>
      <w:sz w:val="21"/>
      <w:szCs w:val="24"/>
    </w:rPr>
  </w:style>
  <w:style w:type="paragraph" w:customStyle="1" w:styleId="afa">
    <w:name w:val="表"/>
    <w:basedOn w:val="a7"/>
    <w:next w:val="a7"/>
    <w:qFormat/>
  </w:style>
  <w:style w:type="paragraph" w:customStyle="1" w:styleId="51">
    <w:name w:val="修订5"/>
    <w:hidden/>
    <w:uiPriority w:val="99"/>
    <w:unhideWhenUsed/>
    <w:qFormat/>
    <w:rPr>
      <w:rFonts w:ascii="Calibri" w:hAnsi="Calibri" w:cs="宋体"/>
      <w:kern w:val="2"/>
      <w:sz w:val="21"/>
      <w:szCs w:val="24"/>
    </w:rPr>
  </w:style>
  <w:style w:type="paragraph" w:customStyle="1" w:styleId="60">
    <w:name w:val="修订6"/>
    <w:hidden/>
    <w:uiPriority w:val="99"/>
    <w:unhideWhenUsed/>
    <w:qFormat/>
    <w:rPr>
      <w:rFonts w:ascii="Calibri" w:hAnsi="Calibri" w:cs="宋体"/>
      <w:kern w:val="2"/>
      <w:sz w:val="21"/>
      <w:szCs w:val="24"/>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paragraph" w:customStyle="1" w:styleId="afb">
    <w:name w:val="标准文件_字母编号列项（一级）"/>
    <w:qFormat/>
    <w:pPr>
      <w:tabs>
        <w:tab w:val="left" w:pos="851"/>
      </w:tabs>
      <w:jc w:val="both"/>
    </w:pPr>
    <w:rPr>
      <w:rFonts w:ascii="宋体"/>
      <w:sz w:val="21"/>
    </w:rPr>
  </w:style>
  <w:style w:type="paragraph" w:customStyle="1" w:styleId="a0">
    <w:name w:val="标准文件_三级条标题"/>
    <w:basedOn w:val="a"/>
    <w:next w:val="afc"/>
    <w:qFormat/>
    <w:pPr>
      <w:widowControl/>
      <w:numPr>
        <w:ilvl w:val="4"/>
      </w:numPr>
      <w:outlineLvl w:val="3"/>
    </w:pPr>
  </w:style>
  <w:style w:type="paragraph" w:customStyle="1" w:styleId="a">
    <w:name w:val="标准文件_二级条标题"/>
    <w:next w:val="afc"/>
    <w:qFormat/>
    <w:pPr>
      <w:widowControl w:val="0"/>
      <w:numPr>
        <w:ilvl w:val="3"/>
        <w:numId w:val="2"/>
      </w:numPr>
      <w:spacing w:beforeLines="50" w:before="50" w:afterLines="50" w:after="50"/>
      <w:jc w:val="both"/>
      <w:outlineLvl w:val="2"/>
    </w:pPr>
    <w:rPr>
      <w:rFonts w:ascii="黑体" w:eastAsia="黑体"/>
      <w:sz w:val="21"/>
    </w:rPr>
  </w:style>
  <w:style w:type="paragraph" w:customStyle="1" w:styleId="afc">
    <w:name w:val="标准文件_段"/>
    <w:qFormat/>
    <w:pPr>
      <w:autoSpaceDE w:val="0"/>
      <w:autoSpaceDN w:val="0"/>
      <w:ind w:firstLineChars="200" w:firstLine="200"/>
      <w:jc w:val="both"/>
    </w:pPr>
    <w:rPr>
      <w:rFonts w:ascii="宋体"/>
      <w:sz w:val="21"/>
    </w:rPr>
  </w:style>
  <w:style w:type="paragraph" w:customStyle="1" w:styleId="70">
    <w:name w:val="修订7"/>
    <w:hidden/>
    <w:uiPriority w:val="99"/>
    <w:unhideWhenUsed/>
    <w:qFormat/>
    <w:rPr>
      <w:rFonts w:ascii="Calibri" w:hAnsi="Calibri" w:cs="宋体"/>
      <w:kern w:val="2"/>
      <w:sz w:val="21"/>
      <w:szCs w:val="24"/>
    </w:rPr>
  </w:style>
  <w:style w:type="character" w:customStyle="1" w:styleId="font31">
    <w:name w:val="font31"/>
    <w:basedOn w:val="a4"/>
    <w:qFormat/>
    <w:rPr>
      <w:rFonts w:ascii="宋体" w:eastAsia="宋体" w:hAnsi="宋体" w:cs="宋体" w:hint="eastAsia"/>
      <w:color w:val="FF0000"/>
      <w:sz w:val="24"/>
      <w:szCs w:val="24"/>
      <w:u w:val="none"/>
    </w:rPr>
  </w:style>
  <w:style w:type="character" w:customStyle="1" w:styleId="font21">
    <w:name w:val="font21"/>
    <w:basedOn w:val="a4"/>
    <w:qFormat/>
    <w:rPr>
      <w:rFonts w:ascii="宋体" w:eastAsia="宋体" w:hAnsi="宋体" w:cs="宋体" w:hint="eastAsia"/>
      <w:color w:val="000000"/>
      <w:sz w:val="24"/>
      <w:szCs w:val="24"/>
      <w:u w:val="none"/>
    </w:rPr>
  </w:style>
  <w:style w:type="paragraph" w:customStyle="1" w:styleId="80">
    <w:name w:val="修订8"/>
    <w:hidden/>
    <w:uiPriority w:val="99"/>
    <w:unhideWhenUsed/>
    <w:qFormat/>
    <w:rPr>
      <w:rFonts w:ascii="Calibri" w:hAnsi="Calibri" w:cs="宋体"/>
      <w:kern w:val="2"/>
      <w:sz w:val="21"/>
      <w:szCs w:val="24"/>
    </w:rPr>
  </w:style>
  <w:style w:type="paragraph" w:customStyle="1" w:styleId="90">
    <w:name w:val="修订9"/>
    <w:hidden/>
    <w:uiPriority w:val="99"/>
    <w:unhideWhenUsed/>
    <w:qFormat/>
    <w:rPr>
      <w:rFonts w:ascii="Calibri" w:hAnsi="Calibri" w:cs="宋体"/>
      <w:kern w:val="2"/>
      <w:sz w:val="21"/>
      <w:szCs w:val="24"/>
    </w:rPr>
  </w:style>
  <w:style w:type="paragraph" w:customStyle="1" w:styleId="100">
    <w:name w:val="修订10"/>
    <w:hidden/>
    <w:uiPriority w:val="99"/>
    <w:unhideWhenUsed/>
    <w:qFormat/>
    <w:rPr>
      <w:rFonts w:ascii="Calibri" w:hAnsi="Calibri" w:cs="宋体"/>
      <w:kern w:val="2"/>
      <w:sz w:val="21"/>
      <w:szCs w:val="24"/>
    </w:rPr>
  </w:style>
  <w:style w:type="paragraph" w:customStyle="1" w:styleId="113">
    <w:name w:val="修订11"/>
    <w:hidden/>
    <w:uiPriority w:val="99"/>
    <w:unhideWhenUsed/>
    <w:qFormat/>
    <w:rPr>
      <w:rFonts w:ascii="Calibri" w:hAnsi="Calibri" w:cs="宋体"/>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65</Pages>
  <Words>5002</Words>
  <Characters>28518</Characters>
  <Application>Microsoft Office Word</Application>
  <DocSecurity>0</DocSecurity>
  <Lines>237</Lines>
  <Paragraphs>66</Paragraphs>
  <ScaleCrop>false</ScaleCrop>
  <Company/>
  <LinksUpToDate>false</LinksUpToDate>
  <CharactersWithSpaces>33454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庞瑞卿</cp:lastModifiedBy>
  <cp:revision>22</cp:revision>
  <cp:lastPrinted>2024-09-24T08:19:00Z</cp:lastPrinted>
  <dcterms:created xsi:type="dcterms:W3CDTF">2024-10-09T06:49:00Z</dcterms:created>
  <dcterms:modified xsi:type="dcterms:W3CDTF">2024-12-27T11:00:00Z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FC1B27E92B42464DA89DF1A286378425_13</vt:lpwstr>
  </property>
</Properties>
</file>