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0"/>
          <w:szCs w:val="40"/>
          <w:highlight w:val="none"/>
          <w:lang w:val="en-US" w:eastAsia="zh-CN"/>
        </w:rPr>
      </w:pPr>
      <w:r>
        <w:rPr>
          <w:rFonts w:hint="eastAsia" w:ascii="方正小标宋简体" w:hAnsi="方正小标宋简体" w:eastAsia="方正小标宋简体" w:cs="方正小标宋简体"/>
          <w:sz w:val="40"/>
          <w:szCs w:val="40"/>
          <w:highlight w:val="none"/>
          <w:lang w:val="en-US" w:eastAsia="zh-CN"/>
        </w:rPr>
        <w:t>冠脉球囊集采接续采购续签新增中选无增量资格产品信息申报表</w:t>
      </w:r>
    </w:p>
    <w:tbl>
      <w:tblPr>
        <w:tblStyle w:val="3"/>
        <w:tblpPr w:leftFromText="180" w:rightFromText="180" w:vertAnchor="page" w:horzAnchor="page" w:tblpXSpec="center" w:tblpY="2713"/>
        <w:tblOverlap w:val="never"/>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720"/>
        <w:gridCol w:w="1630"/>
        <w:gridCol w:w="1586"/>
        <w:gridCol w:w="1238"/>
        <w:gridCol w:w="1209"/>
        <w:gridCol w:w="1236"/>
        <w:gridCol w:w="1223"/>
        <w:gridCol w:w="1733"/>
        <w:gridCol w:w="1283"/>
        <w:gridCol w:w="78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37" w:type="dxa"/>
            <w:noWrap w:val="0"/>
            <w:vAlign w:val="center"/>
          </w:tcPr>
          <w:p>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序号</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类别</w:t>
            </w:r>
          </w:p>
        </w:tc>
        <w:tc>
          <w:tcPr>
            <w:tcW w:w="1630" w:type="dxa"/>
            <w:noWrap w:val="0"/>
            <w:vAlign w:val="center"/>
          </w:tcPr>
          <w:p>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类别名称</w:t>
            </w:r>
          </w:p>
        </w:tc>
        <w:tc>
          <w:tcPr>
            <w:tcW w:w="1586" w:type="dxa"/>
            <w:noWrap w:val="0"/>
            <w:vAlign w:val="center"/>
          </w:tcPr>
          <w:p>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注册备案号</w:t>
            </w:r>
          </w:p>
        </w:tc>
        <w:tc>
          <w:tcPr>
            <w:tcW w:w="1238" w:type="dxa"/>
            <w:noWrap w:val="0"/>
            <w:vAlign w:val="center"/>
          </w:tcPr>
          <w:p>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注册证名称</w:t>
            </w:r>
          </w:p>
        </w:tc>
        <w:tc>
          <w:tcPr>
            <w:tcW w:w="1209"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规格型号</w:t>
            </w:r>
          </w:p>
        </w:tc>
        <w:tc>
          <w:tcPr>
            <w:tcW w:w="1236" w:type="dxa"/>
            <w:noWrap w:val="0"/>
            <w:vAlign w:val="center"/>
          </w:tcPr>
          <w:p>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申报企业</w:t>
            </w:r>
          </w:p>
        </w:tc>
        <w:tc>
          <w:tcPr>
            <w:tcW w:w="1223" w:type="dxa"/>
            <w:noWrap w:val="0"/>
            <w:vAlign w:val="center"/>
          </w:tcPr>
          <w:p>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生产企业</w:t>
            </w:r>
          </w:p>
        </w:tc>
        <w:tc>
          <w:tcPr>
            <w:tcW w:w="1733" w:type="dxa"/>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申报价格</w:t>
            </w:r>
          </w:p>
          <w:p>
            <w:pPr>
              <w:keepNext w:val="0"/>
              <w:keepLines w:val="0"/>
              <w:widowControl/>
              <w:suppressLineNumbers w:val="0"/>
              <w:jc w:val="center"/>
              <w:textAlignment w:val="center"/>
              <w:rPr>
                <w:rFonts w:hint="default" w:ascii="宋体" w:hAnsi="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（元/个）</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带量采购最低价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（元/个）</w:t>
            </w: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价格来源省份</w:t>
            </w:r>
          </w:p>
        </w:tc>
        <w:tc>
          <w:tcPr>
            <w:tcW w:w="161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37"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第1类</w:t>
            </w:r>
          </w:p>
        </w:tc>
        <w:tc>
          <w:tcPr>
            <w:tcW w:w="1630"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半顺应性冠脉扩</w:t>
            </w:r>
          </w:p>
          <w:p>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张球囊（预扩）</w:t>
            </w:r>
          </w:p>
        </w:tc>
        <w:tc>
          <w:tcPr>
            <w:tcW w:w="1586"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国械注进20193※※※339</w:t>
            </w:r>
          </w:p>
        </w:tc>
        <w:tc>
          <w:tcPr>
            <w:tcW w:w="1238"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PTCA球囊扩张导管</w:t>
            </w:r>
          </w:p>
        </w:tc>
        <w:tc>
          <w:tcPr>
            <w:tcW w:w="1209"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各规格型号</w:t>
            </w:r>
          </w:p>
        </w:tc>
        <w:tc>
          <w:tcPr>
            <w:tcW w:w="1236"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※※※有限公司</w:t>
            </w:r>
          </w:p>
        </w:tc>
        <w:tc>
          <w:tcPr>
            <w:tcW w:w="1223"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t>
            </w:r>
          </w:p>
        </w:tc>
        <w:tc>
          <w:tcPr>
            <w:tcW w:w="1733" w:type="dxa"/>
            <w:noWrap w:val="0"/>
            <w:vAlign w:val="center"/>
          </w:tcPr>
          <w:p>
            <w:pPr>
              <w:jc w:val="center"/>
              <w:rPr>
                <w:rFonts w:hint="default" w:ascii="宋体" w:hAnsi="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w:t>
            </w:r>
          </w:p>
        </w:tc>
        <w:tc>
          <w:tcPr>
            <w:tcW w:w="1283" w:type="dxa"/>
            <w:noWrap w:val="0"/>
            <w:vAlign w:val="center"/>
          </w:tcPr>
          <w:p>
            <w:pPr>
              <w:jc w:val="center"/>
              <w:rPr>
                <w:rFonts w:hint="default"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150</w:t>
            </w:r>
          </w:p>
        </w:tc>
        <w:tc>
          <w:tcPr>
            <w:tcW w:w="784"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山东</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lang w:val="en-US" w:eastAsia="zh-CN"/>
              </w:rPr>
              <w:t>举例数据，正式填写时请予以删除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37"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2</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第</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类</w:t>
            </w:r>
          </w:p>
        </w:tc>
        <w:tc>
          <w:tcPr>
            <w:tcW w:w="1630"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非顺应性冠脉扩</w:t>
            </w:r>
          </w:p>
          <w:p>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张球囊（后扩）</w:t>
            </w:r>
          </w:p>
        </w:tc>
        <w:tc>
          <w:tcPr>
            <w:tcW w:w="1586"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国械注进20193※※※339</w:t>
            </w:r>
          </w:p>
        </w:tc>
        <w:tc>
          <w:tcPr>
            <w:tcW w:w="1238"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非顺应性球囊扩张导管</w:t>
            </w:r>
          </w:p>
        </w:tc>
        <w:tc>
          <w:tcPr>
            <w:tcW w:w="1209"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各规格型号</w:t>
            </w:r>
          </w:p>
        </w:tc>
        <w:tc>
          <w:tcPr>
            <w:tcW w:w="1236"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※※※有限公司</w:t>
            </w:r>
          </w:p>
        </w:tc>
        <w:tc>
          <w:tcPr>
            <w:tcW w:w="1223"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t>
            </w:r>
          </w:p>
        </w:tc>
        <w:tc>
          <w:tcPr>
            <w:tcW w:w="1733" w:type="dxa"/>
            <w:noWrap w:val="0"/>
            <w:vAlign w:val="center"/>
          </w:tcPr>
          <w:p>
            <w:pPr>
              <w:jc w:val="center"/>
              <w:rPr>
                <w:rFonts w:hint="eastAsia" w:ascii="宋体" w:hAnsi="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w:t>
            </w:r>
          </w:p>
        </w:tc>
        <w:tc>
          <w:tcPr>
            <w:tcW w:w="1283" w:type="dxa"/>
            <w:noWrap w:val="0"/>
            <w:vAlign w:val="center"/>
          </w:tcPr>
          <w:p>
            <w:pPr>
              <w:jc w:val="center"/>
              <w:rPr>
                <w:rFonts w:hint="default"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无</w:t>
            </w:r>
          </w:p>
        </w:tc>
        <w:tc>
          <w:tcPr>
            <w:tcW w:w="784"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lang w:val="en-US" w:eastAsia="zh-CN"/>
              </w:rPr>
              <w:t>举例数据，正式填写时请予以删除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37"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3</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第</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类</w:t>
            </w:r>
          </w:p>
        </w:tc>
        <w:tc>
          <w:tcPr>
            <w:tcW w:w="1630"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冠脉药物涂层球</w:t>
            </w:r>
          </w:p>
          <w:p>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囊（药球）</w:t>
            </w:r>
          </w:p>
        </w:tc>
        <w:tc>
          <w:tcPr>
            <w:tcW w:w="1586"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国械注进20193※※※339</w:t>
            </w:r>
          </w:p>
        </w:tc>
        <w:tc>
          <w:tcPr>
            <w:tcW w:w="1238"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紫</w:t>
            </w:r>
            <w:r>
              <w:rPr>
                <w:rFonts w:hint="eastAsia" w:ascii="宋体" w:hAnsi="宋体" w:eastAsia="宋体" w:cs="宋体"/>
                <w:sz w:val="18"/>
                <w:szCs w:val="18"/>
                <w:highlight w:val="none"/>
                <w:vertAlign w:val="baseline"/>
                <w:lang w:val="en-US" w:eastAsia="zh-CN"/>
              </w:rPr>
              <w:t>杉醇释放冠脉球囊导管</w:t>
            </w:r>
          </w:p>
        </w:tc>
        <w:tc>
          <w:tcPr>
            <w:tcW w:w="1209"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各规格型号</w:t>
            </w:r>
          </w:p>
        </w:tc>
        <w:tc>
          <w:tcPr>
            <w:tcW w:w="1236"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※※※有限公司</w:t>
            </w:r>
          </w:p>
        </w:tc>
        <w:tc>
          <w:tcPr>
            <w:tcW w:w="1223"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t>
            </w:r>
          </w:p>
        </w:tc>
        <w:tc>
          <w:tcPr>
            <w:tcW w:w="1733" w:type="dxa"/>
            <w:noWrap w:val="0"/>
            <w:vAlign w:val="center"/>
          </w:tcPr>
          <w:p>
            <w:pPr>
              <w:jc w:val="center"/>
              <w:rPr>
                <w:rFonts w:hint="eastAsia" w:ascii="宋体" w:hAnsi="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w:t>
            </w:r>
          </w:p>
        </w:tc>
        <w:tc>
          <w:tcPr>
            <w:tcW w:w="1283" w:type="dxa"/>
            <w:noWrap w:val="0"/>
            <w:vAlign w:val="center"/>
          </w:tcPr>
          <w:p>
            <w:pPr>
              <w:jc w:val="center"/>
              <w:rPr>
                <w:rFonts w:hint="default"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300</w:t>
            </w:r>
          </w:p>
        </w:tc>
        <w:tc>
          <w:tcPr>
            <w:tcW w:w="784"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河北</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lang w:val="en-US" w:eastAsia="zh-CN"/>
              </w:rPr>
              <w:t>举例数据，正式填写时请予以删除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37" w:type="dxa"/>
            <w:noWrap w:val="0"/>
            <w:vAlign w:val="center"/>
          </w:tcPr>
          <w:p>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86" w:type="dxa"/>
            <w:noWrap w:val="0"/>
            <w:vAlign w:val="center"/>
          </w:tcPr>
          <w:p>
            <w:pPr>
              <w:jc w:val="center"/>
              <w:rPr>
                <w:rFonts w:hint="eastAsia" w:ascii="宋体" w:hAnsi="宋体" w:eastAsia="宋体" w:cs="宋体"/>
                <w:sz w:val="18"/>
                <w:szCs w:val="18"/>
                <w:highlight w:val="none"/>
                <w:vertAlign w:val="baseline"/>
                <w:lang w:val="en-US" w:eastAsia="zh-CN"/>
              </w:rPr>
            </w:pPr>
          </w:p>
        </w:tc>
        <w:tc>
          <w:tcPr>
            <w:tcW w:w="1238" w:type="dxa"/>
            <w:noWrap w:val="0"/>
            <w:vAlign w:val="center"/>
          </w:tcPr>
          <w:p>
            <w:pPr>
              <w:jc w:val="center"/>
              <w:rPr>
                <w:rFonts w:hint="eastAsia" w:ascii="宋体" w:hAnsi="宋体" w:eastAsia="宋体" w:cs="宋体"/>
                <w:sz w:val="18"/>
                <w:szCs w:val="18"/>
                <w:highlight w:val="none"/>
                <w:vertAlign w:val="baseline"/>
                <w:lang w:val="en-US" w:eastAsia="zh-CN"/>
              </w:rPr>
            </w:pPr>
          </w:p>
        </w:tc>
        <w:tc>
          <w:tcPr>
            <w:tcW w:w="1209" w:type="dxa"/>
            <w:noWrap w:val="0"/>
            <w:vAlign w:val="center"/>
          </w:tcPr>
          <w:p>
            <w:pPr>
              <w:jc w:val="center"/>
              <w:rPr>
                <w:rFonts w:hint="eastAsia" w:ascii="宋体" w:hAnsi="宋体" w:eastAsia="宋体" w:cs="宋体"/>
                <w:sz w:val="18"/>
                <w:szCs w:val="18"/>
                <w:highlight w:val="none"/>
                <w:vertAlign w:val="baseline"/>
                <w:lang w:val="en-US" w:eastAsia="zh-CN"/>
              </w:rPr>
            </w:pPr>
          </w:p>
        </w:tc>
        <w:tc>
          <w:tcPr>
            <w:tcW w:w="1236" w:type="dxa"/>
            <w:noWrap w:val="0"/>
            <w:vAlign w:val="center"/>
          </w:tcPr>
          <w:p>
            <w:pPr>
              <w:jc w:val="center"/>
              <w:rPr>
                <w:rFonts w:hint="eastAsia" w:ascii="宋体" w:hAnsi="宋体" w:eastAsia="宋体" w:cs="宋体"/>
                <w:sz w:val="18"/>
                <w:szCs w:val="18"/>
                <w:highlight w:val="none"/>
                <w:vertAlign w:val="baseline"/>
                <w:lang w:val="en-US" w:eastAsia="zh-CN"/>
              </w:rPr>
            </w:pPr>
          </w:p>
        </w:tc>
        <w:tc>
          <w:tcPr>
            <w:tcW w:w="1223" w:type="dxa"/>
            <w:noWrap w:val="0"/>
            <w:vAlign w:val="center"/>
          </w:tcPr>
          <w:p>
            <w:pPr>
              <w:jc w:val="center"/>
              <w:rPr>
                <w:rFonts w:hint="eastAsia" w:ascii="宋体" w:hAnsi="宋体" w:eastAsia="宋体" w:cs="宋体"/>
                <w:sz w:val="18"/>
                <w:szCs w:val="18"/>
                <w:highlight w:val="none"/>
                <w:vertAlign w:val="baseline"/>
                <w:lang w:val="en-US" w:eastAsia="zh-CN"/>
              </w:rPr>
            </w:pPr>
          </w:p>
        </w:tc>
        <w:tc>
          <w:tcPr>
            <w:tcW w:w="1733" w:type="dxa"/>
            <w:noWrap w:val="0"/>
            <w:vAlign w:val="center"/>
          </w:tcPr>
          <w:p>
            <w:pPr>
              <w:jc w:val="center"/>
              <w:rPr>
                <w:rFonts w:hint="eastAsia" w:ascii="宋体" w:hAnsi="宋体" w:eastAsia="宋体" w:cs="宋体"/>
                <w:sz w:val="18"/>
                <w:szCs w:val="18"/>
                <w:highlight w:val="none"/>
                <w:vertAlign w:val="baseline"/>
                <w:lang w:val="en-US" w:eastAsia="zh-CN"/>
              </w:rPr>
            </w:pPr>
          </w:p>
        </w:tc>
        <w:tc>
          <w:tcPr>
            <w:tcW w:w="1283" w:type="dxa"/>
            <w:noWrap w:val="0"/>
            <w:vAlign w:val="center"/>
          </w:tcPr>
          <w:p>
            <w:pPr>
              <w:jc w:val="center"/>
              <w:rPr>
                <w:rFonts w:hint="eastAsia" w:ascii="宋体" w:hAnsi="宋体" w:eastAsia="宋体" w:cs="宋体"/>
                <w:sz w:val="18"/>
                <w:szCs w:val="18"/>
                <w:highlight w:val="none"/>
                <w:vertAlign w:val="baseline"/>
                <w:lang w:val="en-US" w:eastAsia="zh-CN"/>
              </w:rPr>
            </w:pPr>
          </w:p>
        </w:tc>
        <w:tc>
          <w:tcPr>
            <w:tcW w:w="784" w:type="dxa"/>
            <w:noWrap w:val="0"/>
            <w:vAlign w:val="center"/>
          </w:tcPr>
          <w:p>
            <w:pPr>
              <w:jc w:val="center"/>
              <w:rPr>
                <w:rFonts w:hint="eastAsia" w:ascii="宋体" w:hAnsi="宋体" w:eastAsia="宋体" w:cs="宋体"/>
                <w:sz w:val="18"/>
                <w:szCs w:val="18"/>
                <w:highlight w:val="none"/>
                <w:vertAlign w:val="baseline"/>
                <w:lang w:val="en-US" w:eastAsia="zh-CN"/>
              </w:rPr>
            </w:pPr>
          </w:p>
        </w:tc>
        <w:tc>
          <w:tcPr>
            <w:tcW w:w="1616" w:type="dxa"/>
            <w:noWrap w:val="0"/>
            <w:vAlign w:val="center"/>
          </w:tcPr>
          <w:p>
            <w:pPr>
              <w:jc w:val="center"/>
              <w:rPr>
                <w:rFonts w:hint="eastAsia" w:ascii="宋体" w:hAnsi="宋体" w:eastAsia="宋体" w:cs="宋体"/>
                <w:sz w:val="18"/>
                <w:szCs w:val="18"/>
                <w:highlight w:val="none"/>
                <w:vertAlign w:val="baseline"/>
                <w:lang w:val="en-US" w:eastAsia="zh-CN"/>
              </w:rPr>
            </w:pPr>
          </w:p>
        </w:tc>
      </w:tr>
    </w:tbl>
    <w:p>
      <w:pP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填表说明：</w:t>
      </w:r>
    </w:p>
    <w:p>
      <w:pP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1.企业报价按正整数申报价格，以最小使用单位（个）为计价单位，申报价货币单位为人民币（元）；</w:t>
      </w:r>
    </w:p>
    <w:p>
      <w:pPr>
        <w:numPr>
          <w:ilvl w:val="0"/>
          <w:numId w:val="0"/>
        </w:numP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2.“类别”及“类别名称”请按照《冠脉球囊类医用耗材联盟集中带量采购协议期满后采购文件》（采购文件编号：GDYJHCDLJX202301）的分类制式填写；</w:t>
      </w:r>
    </w:p>
    <w:p>
      <w:pPr>
        <w:numPr>
          <w:ilvl w:val="0"/>
          <w:numId w:val="0"/>
        </w:numP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3.“带量采购最低价”为对应产品首年签约期满前新产生的全国各省集中带量采购最低中选价格；同类别同注册证中选规格型号存在多个不同价格的，按就低原则取低值进行申报；</w:t>
      </w:r>
      <w:bookmarkStart w:id="0" w:name="_GoBack"/>
      <w:bookmarkEnd w:id="0"/>
    </w:p>
    <w:p>
      <w:pPr>
        <w:numPr>
          <w:ilvl w:val="0"/>
          <w:numId w:val="0"/>
        </w:numP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4.以上填写信息为举例数据，正式填写时请予以删除。</w:t>
      </w:r>
    </w:p>
    <w:p>
      <w:pPr>
        <w:wordWrap w:val="0"/>
        <w:spacing w:line="240" w:lineRule="auto"/>
        <w:jc w:val="center"/>
        <w:rPr>
          <w:rFonts w:ascii="仿宋_GB2312" w:eastAsia="仿宋_GB2312"/>
          <w:sz w:val="24"/>
          <w:szCs w:val="24"/>
        </w:rPr>
      </w:pPr>
      <w:r>
        <w:rPr>
          <w:rFonts w:hint="eastAsia" w:ascii="仿宋_GB2312" w:eastAsia="仿宋_GB2312"/>
          <w:sz w:val="30"/>
          <w:szCs w:val="30"/>
          <w:lang w:val="en-US" w:eastAsia="zh-CN"/>
        </w:rPr>
        <w:t xml:space="preserve">                               </w:t>
      </w:r>
      <w:r>
        <w:rPr>
          <w:rFonts w:hint="eastAsia" w:ascii="仿宋_GB2312" w:eastAsia="仿宋_GB2312"/>
          <w:sz w:val="24"/>
          <w:szCs w:val="24"/>
          <w:lang w:val="en-US" w:eastAsia="zh-CN"/>
        </w:rPr>
        <w:t xml:space="preserve">  申报</w:t>
      </w:r>
      <w:r>
        <w:rPr>
          <w:rFonts w:hint="eastAsia" w:ascii="仿宋_GB2312" w:eastAsia="仿宋_GB2312"/>
          <w:sz w:val="24"/>
          <w:szCs w:val="24"/>
        </w:rPr>
        <w:t>企业(盖章):</w:t>
      </w:r>
      <w:r>
        <w:rPr>
          <w:rFonts w:ascii="仿宋_GB2312" w:eastAsia="仿宋_GB2312"/>
          <w:sz w:val="24"/>
          <w:szCs w:val="24"/>
        </w:rPr>
        <w:t xml:space="preserve">        </w:t>
      </w:r>
    </w:p>
    <w:p>
      <w:pPr>
        <w:wordWrap w:val="0"/>
        <w:spacing w:line="240" w:lineRule="auto"/>
        <w:jc w:val="center"/>
        <w:rPr>
          <w:rFonts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法定代表人（签字）:</w:t>
      </w:r>
      <w:r>
        <w:rPr>
          <w:rFonts w:ascii="仿宋_GB2312" w:eastAsia="仿宋_GB2312"/>
          <w:sz w:val="24"/>
          <w:szCs w:val="24"/>
        </w:rPr>
        <w:t xml:space="preserve">        </w:t>
      </w:r>
    </w:p>
    <w:p>
      <w:pPr>
        <w:numPr>
          <w:ilvl w:val="0"/>
          <w:numId w:val="0"/>
        </w:numPr>
        <w:spacing w:line="240" w:lineRule="auto"/>
        <w:ind w:left="1200" w:leftChars="0"/>
        <w:jc w:val="center"/>
        <w:rPr>
          <w:rFonts w:hint="default" w:ascii="仿宋_GB2312" w:hAnsi="仿宋_GB2312" w:eastAsia="仿宋_GB2312" w:cs="仿宋_GB2312"/>
          <w:sz w:val="24"/>
          <w:szCs w:val="24"/>
          <w:highlight w:val="none"/>
          <w:lang w:val="en-US" w:eastAsia="zh-CN"/>
        </w:rPr>
      </w:pPr>
      <w:r>
        <w:rPr>
          <w:rFonts w:hint="eastAsia" w:ascii="仿宋_GB2312" w:eastAsia="仿宋_GB2312"/>
          <w:sz w:val="24"/>
          <w:szCs w:val="24"/>
          <w:lang w:val="en-US" w:eastAsia="zh-CN"/>
        </w:rPr>
        <w:t xml:space="preserve">                      </w:t>
      </w:r>
      <w:r>
        <w:rPr>
          <w:rFonts w:hint="eastAsia" w:ascii="仿宋_GB2312" w:eastAsia="仿宋_GB2312"/>
          <w:sz w:val="24"/>
          <w:szCs w:val="24"/>
        </w:rPr>
        <w:t>20</w:t>
      </w:r>
      <w:r>
        <w:rPr>
          <w:rFonts w:hint="eastAsia" w:ascii="仿宋_GB2312" w:eastAsia="仿宋_GB2312"/>
          <w:sz w:val="24"/>
          <w:szCs w:val="24"/>
          <w:lang w:val="en-US" w:eastAsia="zh-CN"/>
        </w:rPr>
        <w:t>24</w:t>
      </w:r>
      <w:r>
        <w:rPr>
          <w:rFonts w:ascii="仿宋_GB2312" w:eastAsia="仿宋_GB2312"/>
          <w:sz w:val="24"/>
          <w:szCs w:val="24"/>
        </w:rPr>
        <w:t xml:space="preserve"> </w:t>
      </w:r>
      <w:r>
        <w:rPr>
          <w:rFonts w:hint="eastAsia" w:ascii="仿宋_GB2312" w:eastAsia="仿宋_GB2312"/>
          <w:sz w:val="24"/>
          <w:szCs w:val="24"/>
        </w:rPr>
        <w:t xml:space="preserve">年 </w:t>
      </w:r>
      <w:r>
        <w:rPr>
          <w:rFonts w:ascii="仿宋_GB2312" w:eastAsia="仿宋_GB2312"/>
          <w:sz w:val="24"/>
          <w:szCs w:val="24"/>
        </w:rPr>
        <w:t xml:space="preserve"> </w:t>
      </w:r>
      <w:r>
        <w:rPr>
          <w:rFonts w:hint="eastAsia" w:ascii="仿宋_GB2312" w:eastAsia="仿宋_GB2312"/>
          <w:sz w:val="24"/>
          <w:szCs w:val="24"/>
        </w:rPr>
        <w:t xml:space="preserve">月 </w:t>
      </w:r>
      <w:r>
        <w:rPr>
          <w:rFonts w:ascii="仿宋_GB2312" w:eastAsia="仿宋_GB2312"/>
          <w:sz w:val="24"/>
          <w:szCs w:val="24"/>
        </w:rPr>
        <w:t xml:space="preserve"> </w:t>
      </w:r>
      <w:r>
        <w:rPr>
          <w:rFonts w:hint="eastAsia" w:ascii="仿宋_GB2312" w:eastAsia="仿宋_GB2312"/>
          <w:sz w:val="24"/>
          <w:szCs w:val="24"/>
        </w:rPr>
        <w:t>日</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2D93601E-1783-43A1-AD38-C7862B7F34E9}"/>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4F9412BB-6110-4C88-8C98-ED0292C8850D}"/>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WQyYWI5Y2YxNWU1NmE4NWI2ODE1MDgyNzBkYmQifQ=="/>
    <w:docVar w:name="KGWebUrl" w:val="https://oa.gdaee.com.cn/sys/attachment/sys_att_main/jg_service.jsp"/>
  </w:docVars>
  <w:rsids>
    <w:rsidRoot w:val="00000000"/>
    <w:rsid w:val="059D6765"/>
    <w:rsid w:val="095F7A2A"/>
    <w:rsid w:val="09A834E2"/>
    <w:rsid w:val="17451995"/>
    <w:rsid w:val="17A87F98"/>
    <w:rsid w:val="17C140B4"/>
    <w:rsid w:val="188C1DDE"/>
    <w:rsid w:val="190C11D8"/>
    <w:rsid w:val="22A91D2C"/>
    <w:rsid w:val="2C9917B7"/>
    <w:rsid w:val="33E300CC"/>
    <w:rsid w:val="51AA5C20"/>
    <w:rsid w:val="62353F2E"/>
    <w:rsid w:val="70E97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546</Words>
  <Characters>602</Characters>
  <Lines>0</Lines>
  <Paragraphs>0</Paragraphs>
  <TotalTime>0</TotalTime>
  <ScaleCrop>false</ScaleCrop>
  <LinksUpToDate>false</LinksUpToDate>
  <CharactersWithSpaces>714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2024-02-28T06:30:00Z</dcterms:created>
  <dc:creator>USER</dc:creator>
  <cp:lastModifiedBy>徐芳</cp:lastModifiedBy>
  <dcterms:modified xsi:type="dcterms:W3CDTF">2024-12-10T11:25:51Z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B7944BEE30BB49C7B6CB2C543F6F58DB</vt:lpwstr>
  </property>
</Properties>
</file>