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华文中宋" w:hAnsi="华文中宋" w:eastAsia="华文中宋"/>
          <w:color w:val="000000"/>
          <w:sz w:val="36"/>
          <w:szCs w:val="36"/>
        </w:rPr>
      </w:pPr>
      <w:r>
        <w:rPr>
          <w:rFonts w:hint="eastAsia" w:ascii="黑体" w:hAnsi="黑体" w:eastAsia="黑体" w:cs="黑体"/>
          <w:color w:val="000000"/>
        </w:rPr>
        <w:t>安徽省地方标准编制说明</w:t>
      </w:r>
    </w:p>
    <w:tbl>
      <w:tblPr>
        <w:tblStyle w:val="5"/>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322"/>
        <w:gridCol w:w="3501"/>
        <w:gridCol w:w="879"/>
        <w:gridCol w:w="112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7"/>
              <w:adjustRightInd w:val="0"/>
              <w:spacing w:line="360" w:lineRule="auto"/>
              <w:ind w:firstLine="0" w:firstLineChars="0"/>
              <w:contextualSpacing/>
              <w:jc w:val="center"/>
              <w:rPr>
                <w:rFonts w:hint="eastAsia" w:hAnsi="宋体"/>
                <w:szCs w:val="21"/>
              </w:rPr>
            </w:pPr>
            <w:r>
              <w:rPr>
                <w:rFonts w:hint="eastAsia" w:hAnsi="宋体"/>
                <w:szCs w:val="21"/>
              </w:rPr>
              <w:t>标准名称</w:t>
            </w:r>
          </w:p>
        </w:tc>
        <w:tc>
          <w:tcPr>
            <w:tcW w:w="7554" w:type="dxa"/>
            <w:gridSpan w:val="4"/>
            <w:vAlign w:val="center"/>
          </w:tcPr>
          <w:p>
            <w:pPr>
              <w:pStyle w:val="7"/>
              <w:adjustRightInd w:val="0"/>
              <w:spacing w:line="360" w:lineRule="auto"/>
              <w:ind w:firstLine="0" w:firstLineChars="0"/>
              <w:contextualSpacing/>
              <w:rPr>
                <w:rFonts w:hint="eastAsia" w:hAnsi="宋体"/>
                <w:szCs w:val="21"/>
              </w:rPr>
            </w:pPr>
            <w:r>
              <w:rPr>
                <w:rFonts w:hint="eastAsia"/>
              </w:rPr>
              <w:t>重点产业知识产权运营中心管理规范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7"/>
              <w:adjustRightInd w:val="0"/>
              <w:spacing w:line="360" w:lineRule="auto"/>
              <w:ind w:firstLine="0" w:firstLineChars="0"/>
              <w:contextualSpacing/>
              <w:jc w:val="center"/>
              <w:rPr>
                <w:rFonts w:hint="eastAsia" w:hAnsi="宋体"/>
                <w:szCs w:val="21"/>
              </w:rPr>
            </w:pPr>
            <w:r>
              <w:rPr>
                <w:rFonts w:hint="eastAsia" w:hAnsi="宋体"/>
                <w:szCs w:val="21"/>
              </w:rPr>
              <w:t>任务来源</w:t>
            </w:r>
          </w:p>
          <w:p>
            <w:pPr>
              <w:pStyle w:val="7"/>
              <w:adjustRightInd w:val="0"/>
              <w:spacing w:line="360" w:lineRule="auto"/>
              <w:ind w:firstLine="0" w:firstLineChars="0"/>
              <w:contextualSpacing/>
              <w:jc w:val="center"/>
              <w:rPr>
                <w:rFonts w:hint="eastAsia" w:hAnsi="宋体"/>
                <w:szCs w:val="21"/>
              </w:rPr>
            </w:pPr>
            <w:r>
              <w:rPr>
                <w:rFonts w:hint="eastAsia" w:hAnsi="宋体"/>
                <w:szCs w:val="21"/>
              </w:rPr>
              <w:t>（项目计划号）</w:t>
            </w:r>
          </w:p>
        </w:tc>
        <w:tc>
          <w:tcPr>
            <w:tcW w:w="7554" w:type="dxa"/>
            <w:gridSpan w:val="4"/>
            <w:vAlign w:val="center"/>
          </w:tcPr>
          <w:p>
            <w:pPr>
              <w:pStyle w:val="7"/>
              <w:adjustRightInd w:val="0"/>
              <w:spacing w:line="360" w:lineRule="auto"/>
              <w:ind w:firstLine="0" w:firstLineChars="0"/>
              <w:contextualSpacing/>
              <w:rPr>
                <w:rFonts w:hint="eastAsia" w:hAnsi="宋体"/>
                <w:szCs w:val="21"/>
              </w:rPr>
            </w:pPr>
            <w:r>
              <w:rPr>
                <w:rFonts w:hAnsi="宋体"/>
                <w:szCs w:val="21"/>
              </w:rPr>
              <w:t>2024-4-40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7"/>
              <w:adjustRightInd w:val="0"/>
              <w:spacing w:line="360" w:lineRule="auto"/>
              <w:ind w:firstLine="0" w:firstLineChars="0"/>
              <w:contextualSpacing/>
              <w:jc w:val="center"/>
              <w:rPr>
                <w:rFonts w:hint="eastAsia" w:hAnsi="宋体"/>
                <w:szCs w:val="21"/>
              </w:rPr>
            </w:pPr>
            <w:r>
              <w:rPr>
                <w:rFonts w:hint="eastAsia" w:hAnsi="宋体"/>
                <w:szCs w:val="21"/>
              </w:rPr>
              <w:t>第一起草单位</w:t>
            </w:r>
          </w:p>
          <w:p>
            <w:pPr>
              <w:pStyle w:val="7"/>
              <w:adjustRightInd w:val="0"/>
              <w:spacing w:line="360" w:lineRule="auto"/>
              <w:ind w:firstLine="0" w:firstLineChars="0"/>
              <w:contextualSpacing/>
              <w:jc w:val="center"/>
              <w:rPr>
                <w:rFonts w:hint="eastAsia" w:hAnsi="宋体"/>
                <w:szCs w:val="21"/>
              </w:rPr>
            </w:pPr>
            <w:r>
              <w:rPr>
                <w:rFonts w:hint="eastAsia" w:hAnsi="宋体"/>
                <w:szCs w:val="21"/>
              </w:rPr>
              <w:t>（盖章）</w:t>
            </w:r>
          </w:p>
        </w:tc>
        <w:tc>
          <w:tcPr>
            <w:tcW w:w="7554" w:type="dxa"/>
            <w:gridSpan w:val="4"/>
            <w:vAlign w:val="center"/>
          </w:tcPr>
          <w:p>
            <w:pPr>
              <w:pStyle w:val="7"/>
              <w:adjustRightInd w:val="0"/>
              <w:spacing w:line="360" w:lineRule="auto"/>
              <w:ind w:firstLine="0" w:firstLineChars="0"/>
              <w:contextualSpacing/>
              <w:rPr>
                <w:rFonts w:hint="eastAsia" w:hAnsi="宋体"/>
                <w:szCs w:val="21"/>
              </w:rPr>
            </w:pPr>
            <w:r>
              <w:rPr>
                <w:rFonts w:hint="eastAsia"/>
              </w:rPr>
              <w:t>安徽省市场监督管理局知识产权运用促进处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7"/>
              <w:adjustRightInd w:val="0"/>
              <w:spacing w:line="360" w:lineRule="auto"/>
              <w:ind w:firstLine="0" w:firstLineChars="0"/>
              <w:contextualSpacing/>
              <w:jc w:val="center"/>
              <w:rPr>
                <w:rFonts w:hint="eastAsia" w:hAnsi="宋体"/>
                <w:szCs w:val="21"/>
              </w:rPr>
            </w:pPr>
            <w:r>
              <w:rPr>
                <w:rFonts w:hint="eastAsia" w:hAnsi="宋体"/>
                <w:szCs w:val="21"/>
              </w:rPr>
              <w:t>单位地址</w:t>
            </w:r>
          </w:p>
        </w:tc>
        <w:tc>
          <w:tcPr>
            <w:tcW w:w="7554" w:type="dxa"/>
            <w:gridSpan w:val="4"/>
            <w:vAlign w:val="center"/>
          </w:tcPr>
          <w:p>
            <w:pPr>
              <w:pStyle w:val="7"/>
              <w:adjustRightInd w:val="0"/>
              <w:spacing w:line="360" w:lineRule="auto"/>
              <w:ind w:firstLine="0" w:firstLineChars="0"/>
              <w:contextualSpacing/>
              <w:rPr>
                <w:rFonts w:hint="eastAsia" w:hAnsi="宋体"/>
                <w:szCs w:val="21"/>
              </w:rPr>
            </w:pPr>
            <w:r>
              <w:rPr>
                <w:rFonts w:hint="eastAsia" w:hAnsi="宋体"/>
                <w:szCs w:val="21"/>
              </w:rPr>
              <w:t>合肥市包河区延安路13号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pPr>
              <w:pStyle w:val="7"/>
              <w:adjustRightInd w:val="0"/>
              <w:spacing w:line="360" w:lineRule="auto"/>
              <w:ind w:firstLine="0" w:firstLineChars="0"/>
              <w:contextualSpacing/>
              <w:jc w:val="center"/>
              <w:rPr>
                <w:rFonts w:hint="eastAsia" w:hAnsi="宋体"/>
                <w:szCs w:val="21"/>
              </w:rPr>
            </w:pPr>
            <w:r>
              <w:rPr>
                <w:rFonts w:hint="eastAsia" w:hAnsi="宋体"/>
                <w:szCs w:val="21"/>
              </w:rPr>
              <w:t>参与起草单位</w:t>
            </w:r>
          </w:p>
        </w:tc>
        <w:tc>
          <w:tcPr>
            <w:tcW w:w="7554" w:type="dxa"/>
            <w:gridSpan w:val="4"/>
            <w:vAlign w:val="center"/>
          </w:tcPr>
          <w:p>
            <w:pPr>
              <w:pStyle w:val="7"/>
              <w:adjustRightInd w:val="0"/>
              <w:spacing w:line="360" w:lineRule="auto"/>
              <w:ind w:firstLine="0" w:firstLineChars="0"/>
              <w:contextualSpacing/>
              <w:rPr>
                <w:rFonts w:hint="eastAsia" w:hAnsi="宋体"/>
                <w:szCs w:val="21"/>
              </w:rPr>
            </w:pPr>
            <w:r>
              <w:rPr>
                <w:rFonts w:hint="eastAsia" w:hAnsi="宋体"/>
                <w:szCs w:val="21"/>
              </w:rPr>
              <w:t>安徽省质量和标准化研究院、合肥市市场监督管理局、芜湖市市场监督管理局、合肥高新技术产业开发区管理委员会、安徽淮北高新技术产业开发区管理委员会、安徽阜阳界首高新技术产业开发区管理委员会、淮南高新技术产业开发区管理委员会、滁州经济技术开发区管理委员会、马鞍山经济技术开发区管理委员会、安徽新芜经济开发区管理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jc w:val="center"/>
              <w:rPr>
                <w:rFonts w:hint="eastAsia" w:hAnsi="宋体"/>
                <w:szCs w:val="21"/>
              </w:rPr>
            </w:pPr>
            <w:r>
              <w:rPr>
                <w:rFonts w:hint="eastAsia" w:hAnsi="宋体"/>
                <w:szCs w:val="21"/>
              </w:rPr>
              <w:t>标准起草人</w:t>
            </w:r>
          </w:p>
          <w:p>
            <w:pPr>
              <w:pStyle w:val="7"/>
              <w:adjustRightInd w:val="0"/>
              <w:spacing w:line="360" w:lineRule="auto"/>
              <w:ind w:firstLine="0" w:firstLineChars="0"/>
              <w:contextualSpacing/>
              <w:jc w:val="center"/>
              <w:rPr>
                <w:rFonts w:hint="eastAsia" w:hAnsi="宋体"/>
                <w:szCs w:val="21"/>
              </w:rPr>
            </w:pPr>
            <w:r>
              <w:rPr>
                <w:rFonts w:hint="eastAsia" w:hAnsi="宋体"/>
                <w:szCs w:val="21"/>
              </w:rPr>
              <w:t>（全部起草人，应与标准文本前言中起草人排序一致）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7"/>
              <w:adjustRightInd w:val="0"/>
              <w:spacing w:line="360" w:lineRule="auto"/>
              <w:ind w:firstLine="0" w:firstLineChars="0"/>
              <w:contextualSpacing/>
              <w:jc w:val="center"/>
              <w:rPr>
                <w:rFonts w:hint="eastAsia" w:hAnsi="宋体"/>
                <w:szCs w:val="21"/>
              </w:rPr>
            </w:pPr>
            <w:r>
              <w:rPr>
                <w:rFonts w:hint="eastAsia" w:hAnsi="宋体"/>
                <w:szCs w:val="21"/>
              </w:rPr>
              <w:t>序号</w:t>
            </w:r>
          </w:p>
        </w:tc>
        <w:tc>
          <w:tcPr>
            <w:tcW w:w="1322" w:type="dxa"/>
            <w:vAlign w:val="center"/>
          </w:tcPr>
          <w:p>
            <w:pPr>
              <w:pStyle w:val="7"/>
              <w:adjustRightInd w:val="0"/>
              <w:spacing w:line="360" w:lineRule="auto"/>
              <w:ind w:firstLine="0" w:firstLineChars="0"/>
              <w:contextualSpacing/>
              <w:jc w:val="center"/>
              <w:rPr>
                <w:rFonts w:hint="eastAsia" w:hAnsi="宋体"/>
                <w:szCs w:val="21"/>
              </w:rPr>
            </w:pPr>
            <w:r>
              <w:rPr>
                <w:rFonts w:hint="eastAsia" w:hAnsi="宋体"/>
                <w:szCs w:val="21"/>
              </w:rPr>
              <w:t>姓名</w:t>
            </w:r>
          </w:p>
        </w:tc>
        <w:tc>
          <w:tcPr>
            <w:tcW w:w="3501" w:type="dxa"/>
            <w:vAlign w:val="center"/>
          </w:tcPr>
          <w:p>
            <w:pPr>
              <w:pStyle w:val="7"/>
              <w:adjustRightInd w:val="0"/>
              <w:spacing w:line="360" w:lineRule="auto"/>
              <w:ind w:firstLine="0" w:firstLineChars="0"/>
              <w:contextualSpacing/>
              <w:jc w:val="center"/>
              <w:rPr>
                <w:rFonts w:hint="eastAsia" w:hAnsi="宋体"/>
                <w:szCs w:val="21"/>
              </w:rPr>
            </w:pPr>
            <w:r>
              <w:rPr>
                <w:rFonts w:hint="eastAsia" w:hAnsi="宋体"/>
                <w:szCs w:val="21"/>
              </w:rPr>
              <w:t>单位</w:t>
            </w:r>
          </w:p>
        </w:tc>
        <w:tc>
          <w:tcPr>
            <w:tcW w:w="879" w:type="dxa"/>
            <w:vAlign w:val="center"/>
          </w:tcPr>
          <w:p>
            <w:pPr>
              <w:pStyle w:val="7"/>
              <w:adjustRightInd w:val="0"/>
              <w:spacing w:line="360" w:lineRule="auto"/>
              <w:ind w:firstLine="0" w:firstLineChars="0"/>
              <w:contextualSpacing/>
              <w:jc w:val="center"/>
              <w:rPr>
                <w:rFonts w:hint="eastAsia" w:hAnsi="宋体"/>
                <w:szCs w:val="21"/>
              </w:rPr>
            </w:pPr>
            <w:r>
              <w:rPr>
                <w:rFonts w:hint="eastAsia" w:hAnsi="宋体"/>
                <w:szCs w:val="21"/>
              </w:rPr>
              <w:t>职务</w:t>
            </w:r>
          </w:p>
        </w:tc>
        <w:tc>
          <w:tcPr>
            <w:tcW w:w="1122" w:type="dxa"/>
            <w:vAlign w:val="center"/>
          </w:tcPr>
          <w:p>
            <w:pPr>
              <w:pStyle w:val="7"/>
              <w:adjustRightInd w:val="0"/>
              <w:spacing w:line="360" w:lineRule="auto"/>
              <w:ind w:firstLine="0" w:firstLineChars="0"/>
              <w:contextualSpacing/>
              <w:jc w:val="center"/>
              <w:rPr>
                <w:rFonts w:hint="eastAsia" w:hAnsi="宋体"/>
                <w:szCs w:val="21"/>
              </w:rPr>
            </w:pPr>
            <w:r>
              <w:rPr>
                <w:rFonts w:hint="eastAsia" w:hAnsi="宋体"/>
                <w:szCs w:val="21"/>
              </w:rPr>
              <w:t>职称</w:t>
            </w:r>
          </w:p>
        </w:tc>
        <w:tc>
          <w:tcPr>
            <w:tcW w:w="2052" w:type="dxa"/>
            <w:vAlign w:val="center"/>
          </w:tcPr>
          <w:p>
            <w:pPr>
              <w:pStyle w:val="7"/>
              <w:adjustRightInd w:val="0"/>
              <w:spacing w:line="360" w:lineRule="auto"/>
              <w:ind w:firstLine="0" w:firstLineChars="0"/>
              <w:contextualSpacing/>
              <w:jc w:val="center"/>
              <w:rPr>
                <w:rFonts w:hint="eastAsia" w:hAnsi="宋体"/>
                <w:szCs w:val="21"/>
              </w:rPr>
            </w:pPr>
            <w:r>
              <w:rPr>
                <w:rFonts w:hint="eastAsia" w:hAnsi="宋体"/>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7"/>
              <w:adjustRightInd w:val="0"/>
              <w:spacing w:line="360" w:lineRule="auto"/>
              <w:ind w:firstLine="0" w:firstLineChars="0"/>
              <w:contextualSpacing/>
              <w:rPr>
                <w:rFonts w:hint="eastAsia" w:hAnsi="宋体"/>
                <w:szCs w:val="21"/>
              </w:rPr>
            </w:pPr>
          </w:p>
        </w:tc>
        <w:tc>
          <w:tcPr>
            <w:tcW w:w="1322" w:type="dxa"/>
            <w:vAlign w:val="center"/>
          </w:tcPr>
          <w:p>
            <w:pPr>
              <w:pStyle w:val="7"/>
              <w:adjustRightInd w:val="0"/>
              <w:spacing w:line="360" w:lineRule="auto"/>
              <w:ind w:firstLine="0" w:firstLineChars="0"/>
              <w:contextualSpacing/>
              <w:rPr>
                <w:rFonts w:hint="eastAsia" w:hAnsi="宋体"/>
                <w:szCs w:val="21"/>
              </w:rPr>
            </w:pPr>
          </w:p>
        </w:tc>
        <w:tc>
          <w:tcPr>
            <w:tcW w:w="3501" w:type="dxa"/>
            <w:vAlign w:val="center"/>
          </w:tcPr>
          <w:p>
            <w:pPr>
              <w:pStyle w:val="7"/>
              <w:adjustRightInd w:val="0"/>
              <w:spacing w:line="360" w:lineRule="auto"/>
              <w:ind w:firstLine="0" w:firstLineChars="0"/>
              <w:contextualSpacing/>
              <w:rPr>
                <w:rFonts w:hint="eastAsia" w:hAnsi="宋体"/>
                <w:szCs w:val="21"/>
              </w:rPr>
            </w:pPr>
          </w:p>
        </w:tc>
        <w:tc>
          <w:tcPr>
            <w:tcW w:w="879" w:type="dxa"/>
            <w:vAlign w:val="center"/>
          </w:tcPr>
          <w:p>
            <w:pPr>
              <w:pStyle w:val="7"/>
              <w:adjustRightInd w:val="0"/>
              <w:spacing w:line="360" w:lineRule="auto"/>
              <w:ind w:firstLine="0" w:firstLineChars="0"/>
              <w:contextualSpacing/>
              <w:rPr>
                <w:rFonts w:hint="eastAsia" w:hAnsi="宋体"/>
                <w:szCs w:val="21"/>
              </w:rPr>
            </w:pPr>
          </w:p>
        </w:tc>
        <w:tc>
          <w:tcPr>
            <w:tcW w:w="1122" w:type="dxa"/>
            <w:vAlign w:val="center"/>
          </w:tcPr>
          <w:p>
            <w:pPr>
              <w:pStyle w:val="7"/>
              <w:adjustRightInd w:val="0"/>
              <w:spacing w:line="360" w:lineRule="auto"/>
              <w:ind w:firstLine="0" w:firstLineChars="0"/>
              <w:contextualSpacing/>
              <w:rPr>
                <w:rFonts w:hint="eastAsia" w:hAnsi="宋体"/>
                <w:szCs w:val="21"/>
              </w:rPr>
            </w:pPr>
          </w:p>
        </w:tc>
        <w:tc>
          <w:tcPr>
            <w:tcW w:w="2052" w:type="dxa"/>
            <w:vAlign w:val="center"/>
          </w:tcPr>
          <w:p>
            <w:pPr>
              <w:pStyle w:val="7"/>
              <w:adjustRightInd w:val="0"/>
              <w:spacing w:line="360" w:lineRule="auto"/>
              <w:ind w:firstLine="0" w:firstLineChars="0"/>
              <w:contextualSpacing/>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694" w:type="dxa"/>
            <w:vAlign w:val="center"/>
          </w:tcPr>
          <w:p>
            <w:pPr>
              <w:pStyle w:val="7"/>
              <w:adjustRightInd w:val="0"/>
              <w:spacing w:line="360" w:lineRule="auto"/>
              <w:ind w:firstLine="0" w:firstLineChars="0"/>
              <w:contextualSpacing/>
              <w:rPr>
                <w:rFonts w:hint="eastAsia" w:hAnsi="宋体"/>
                <w:szCs w:val="21"/>
              </w:rPr>
            </w:pPr>
          </w:p>
        </w:tc>
        <w:tc>
          <w:tcPr>
            <w:tcW w:w="1322" w:type="dxa"/>
            <w:vAlign w:val="center"/>
          </w:tcPr>
          <w:p>
            <w:pPr>
              <w:pStyle w:val="7"/>
              <w:adjustRightInd w:val="0"/>
              <w:spacing w:line="360" w:lineRule="auto"/>
              <w:ind w:firstLine="0" w:firstLineChars="0"/>
              <w:contextualSpacing/>
              <w:rPr>
                <w:rFonts w:hint="eastAsia" w:hAnsi="宋体"/>
                <w:szCs w:val="21"/>
              </w:rPr>
            </w:pPr>
          </w:p>
        </w:tc>
        <w:tc>
          <w:tcPr>
            <w:tcW w:w="3501" w:type="dxa"/>
            <w:vAlign w:val="center"/>
          </w:tcPr>
          <w:p>
            <w:pPr>
              <w:pStyle w:val="7"/>
              <w:adjustRightInd w:val="0"/>
              <w:spacing w:line="360" w:lineRule="auto"/>
              <w:ind w:firstLine="0" w:firstLineChars="0"/>
              <w:contextualSpacing/>
              <w:rPr>
                <w:rFonts w:hint="eastAsia" w:hAnsi="宋体"/>
                <w:szCs w:val="21"/>
              </w:rPr>
            </w:pPr>
          </w:p>
        </w:tc>
        <w:tc>
          <w:tcPr>
            <w:tcW w:w="879" w:type="dxa"/>
            <w:vAlign w:val="center"/>
          </w:tcPr>
          <w:p>
            <w:pPr>
              <w:pStyle w:val="7"/>
              <w:adjustRightInd w:val="0"/>
              <w:spacing w:line="360" w:lineRule="auto"/>
              <w:ind w:firstLine="0" w:firstLineChars="0"/>
              <w:contextualSpacing/>
              <w:rPr>
                <w:rFonts w:hint="eastAsia" w:hAnsi="宋体"/>
                <w:szCs w:val="21"/>
              </w:rPr>
            </w:pPr>
          </w:p>
        </w:tc>
        <w:tc>
          <w:tcPr>
            <w:tcW w:w="1122" w:type="dxa"/>
            <w:vAlign w:val="center"/>
          </w:tcPr>
          <w:p>
            <w:pPr>
              <w:pStyle w:val="7"/>
              <w:adjustRightInd w:val="0"/>
              <w:spacing w:line="360" w:lineRule="auto"/>
              <w:ind w:firstLine="0" w:firstLineChars="0"/>
              <w:contextualSpacing/>
              <w:rPr>
                <w:rFonts w:hint="eastAsia" w:hAnsi="宋体"/>
                <w:szCs w:val="21"/>
              </w:rPr>
            </w:pPr>
          </w:p>
        </w:tc>
        <w:tc>
          <w:tcPr>
            <w:tcW w:w="2052" w:type="dxa"/>
            <w:vAlign w:val="center"/>
          </w:tcPr>
          <w:p>
            <w:pPr>
              <w:pStyle w:val="7"/>
              <w:adjustRightInd w:val="0"/>
              <w:spacing w:line="360" w:lineRule="auto"/>
              <w:ind w:firstLine="0" w:firstLineChars="0"/>
              <w:contextualSpacing/>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7"/>
              <w:adjustRightInd w:val="0"/>
              <w:spacing w:line="360" w:lineRule="auto"/>
              <w:ind w:firstLine="0" w:firstLineChars="0"/>
              <w:contextualSpacing/>
              <w:rPr>
                <w:rFonts w:hint="eastAsia" w:hAnsi="宋体"/>
                <w:szCs w:val="21"/>
              </w:rPr>
            </w:pPr>
          </w:p>
        </w:tc>
        <w:tc>
          <w:tcPr>
            <w:tcW w:w="1322" w:type="dxa"/>
            <w:vAlign w:val="center"/>
          </w:tcPr>
          <w:p>
            <w:pPr>
              <w:pStyle w:val="7"/>
              <w:adjustRightInd w:val="0"/>
              <w:spacing w:line="360" w:lineRule="auto"/>
              <w:ind w:firstLine="0" w:firstLineChars="0"/>
              <w:contextualSpacing/>
              <w:rPr>
                <w:rFonts w:hint="eastAsia" w:hAnsi="宋体"/>
                <w:szCs w:val="21"/>
              </w:rPr>
            </w:pPr>
          </w:p>
        </w:tc>
        <w:tc>
          <w:tcPr>
            <w:tcW w:w="3501" w:type="dxa"/>
            <w:vAlign w:val="center"/>
          </w:tcPr>
          <w:p>
            <w:pPr>
              <w:pStyle w:val="7"/>
              <w:adjustRightInd w:val="0"/>
              <w:spacing w:line="360" w:lineRule="auto"/>
              <w:ind w:firstLine="0" w:firstLineChars="0"/>
              <w:contextualSpacing/>
              <w:rPr>
                <w:rFonts w:hint="eastAsia" w:hAnsi="宋体"/>
                <w:szCs w:val="21"/>
              </w:rPr>
            </w:pPr>
          </w:p>
        </w:tc>
        <w:tc>
          <w:tcPr>
            <w:tcW w:w="879" w:type="dxa"/>
            <w:vAlign w:val="center"/>
          </w:tcPr>
          <w:p>
            <w:pPr>
              <w:pStyle w:val="7"/>
              <w:adjustRightInd w:val="0"/>
              <w:spacing w:line="360" w:lineRule="auto"/>
              <w:ind w:firstLine="0" w:firstLineChars="0"/>
              <w:contextualSpacing/>
              <w:rPr>
                <w:rFonts w:hint="eastAsia" w:hAnsi="宋体"/>
                <w:szCs w:val="21"/>
              </w:rPr>
            </w:pPr>
          </w:p>
        </w:tc>
        <w:tc>
          <w:tcPr>
            <w:tcW w:w="1122" w:type="dxa"/>
            <w:vAlign w:val="center"/>
          </w:tcPr>
          <w:p>
            <w:pPr>
              <w:pStyle w:val="7"/>
              <w:adjustRightInd w:val="0"/>
              <w:spacing w:line="360" w:lineRule="auto"/>
              <w:ind w:firstLine="0" w:firstLineChars="0"/>
              <w:contextualSpacing/>
              <w:rPr>
                <w:rFonts w:hint="eastAsia" w:hAnsi="宋体"/>
                <w:szCs w:val="21"/>
              </w:rPr>
            </w:pPr>
          </w:p>
        </w:tc>
        <w:tc>
          <w:tcPr>
            <w:tcW w:w="2052" w:type="dxa"/>
            <w:vAlign w:val="center"/>
          </w:tcPr>
          <w:p>
            <w:pPr>
              <w:pStyle w:val="7"/>
              <w:adjustRightInd w:val="0"/>
              <w:spacing w:line="360" w:lineRule="auto"/>
              <w:ind w:firstLine="0" w:firstLineChars="0"/>
              <w:contextualSpacing/>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7"/>
              <w:adjustRightInd w:val="0"/>
              <w:spacing w:line="360" w:lineRule="auto"/>
              <w:ind w:firstLine="0" w:firstLineChars="0"/>
              <w:contextualSpacing/>
              <w:rPr>
                <w:rFonts w:hint="eastAsia" w:hAnsi="宋体"/>
                <w:szCs w:val="21"/>
              </w:rPr>
            </w:pPr>
          </w:p>
        </w:tc>
        <w:tc>
          <w:tcPr>
            <w:tcW w:w="1322" w:type="dxa"/>
            <w:vAlign w:val="center"/>
          </w:tcPr>
          <w:p>
            <w:pPr>
              <w:pStyle w:val="7"/>
              <w:adjustRightInd w:val="0"/>
              <w:spacing w:line="360" w:lineRule="auto"/>
              <w:ind w:firstLine="0" w:firstLineChars="0"/>
              <w:contextualSpacing/>
              <w:rPr>
                <w:rFonts w:hint="eastAsia" w:hAnsi="宋体"/>
                <w:szCs w:val="21"/>
              </w:rPr>
            </w:pPr>
          </w:p>
        </w:tc>
        <w:tc>
          <w:tcPr>
            <w:tcW w:w="3501" w:type="dxa"/>
            <w:vAlign w:val="center"/>
          </w:tcPr>
          <w:p>
            <w:pPr>
              <w:pStyle w:val="7"/>
              <w:adjustRightInd w:val="0"/>
              <w:spacing w:line="360" w:lineRule="auto"/>
              <w:ind w:firstLine="0" w:firstLineChars="0"/>
              <w:contextualSpacing/>
              <w:rPr>
                <w:rFonts w:hint="eastAsia" w:hAnsi="宋体"/>
                <w:szCs w:val="21"/>
              </w:rPr>
            </w:pPr>
          </w:p>
        </w:tc>
        <w:tc>
          <w:tcPr>
            <w:tcW w:w="879" w:type="dxa"/>
            <w:vAlign w:val="center"/>
          </w:tcPr>
          <w:p>
            <w:pPr>
              <w:pStyle w:val="7"/>
              <w:adjustRightInd w:val="0"/>
              <w:spacing w:line="360" w:lineRule="auto"/>
              <w:ind w:firstLine="0" w:firstLineChars="0"/>
              <w:contextualSpacing/>
              <w:rPr>
                <w:rFonts w:hint="eastAsia" w:hAnsi="宋体"/>
                <w:szCs w:val="21"/>
              </w:rPr>
            </w:pPr>
          </w:p>
        </w:tc>
        <w:tc>
          <w:tcPr>
            <w:tcW w:w="1122" w:type="dxa"/>
            <w:vAlign w:val="center"/>
          </w:tcPr>
          <w:p>
            <w:pPr>
              <w:pStyle w:val="7"/>
              <w:adjustRightInd w:val="0"/>
              <w:spacing w:line="360" w:lineRule="auto"/>
              <w:ind w:firstLine="0" w:firstLineChars="0"/>
              <w:contextualSpacing/>
              <w:rPr>
                <w:rFonts w:hint="eastAsia" w:hAnsi="宋体"/>
                <w:szCs w:val="21"/>
              </w:rPr>
            </w:pPr>
          </w:p>
        </w:tc>
        <w:tc>
          <w:tcPr>
            <w:tcW w:w="2052" w:type="dxa"/>
            <w:vAlign w:val="center"/>
          </w:tcPr>
          <w:p>
            <w:pPr>
              <w:pStyle w:val="7"/>
              <w:adjustRightInd w:val="0"/>
              <w:spacing w:line="360" w:lineRule="auto"/>
              <w:ind w:firstLine="0" w:firstLineChars="0"/>
              <w:contextualSpacing/>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7"/>
              <w:adjustRightInd w:val="0"/>
              <w:spacing w:line="360" w:lineRule="auto"/>
              <w:ind w:firstLine="0" w:firstLineChars="0"/>
              <w:contextualSpacing/>
              <w:rPr>
                <w:rFonts w:hint="eastAsia" w:hAnsi="宋体"/>
                <w:szCs w:val="21"/>
              </w:rPr>
            </w:pPr>
          </w:p>
        </w:tc>
        <w:tc>
          <w:tcPr>
            <w:tcW w:w="1322" w:type="dxa"/>
            <w:vAlign w:val="center"/>
          </w:tcPr>
          <w:p>
            <w:pPr>
              <w:pStyle w:val="7"/>
              <w:adjustRightInd w:val="0"/>
              <w:spacing w:line="360" w:lineRule="auto"/>
              <w:ind w:firstLine="0" w:firstLineChars="0"/>
              <w:contextualSpacing/>
              <w:rPr>
                <w:rFonts w:hint="eastAsia" w:hAnsi="宋体"/>
                <w:szCs w:val="21"/>
              </w:rPr>
            </w:pPr>
          </w:p>
        </w:tc>
        <w:tc>
          <w:tcPr>
            <w:tcW w:w="3501" w:type="dxa"/>
            <w:vAlign w:val="center"/>
          </w:tcPr>
          <w:p>
            <w:pPr>
              <w:pStyle w:val="7"/>
              <w:adjustRightInd w:val="0"/>
              <w:spacing w:line="360" w:lineRule="auto"/>
              <w:ind w:firstLine="0" w:firstLineChars="0"/>
              <w:contextualSpacing/>
              <w:rPr>
                <w:rFonts w:hint="eastAsia" w:hAnsi="宋体"/>
                <w:szCs w:val="21"/>
              </w:rPr>
            </w:pPr>
          </w:p>
        </w:tc>
        <w:tc>
          <w:tcPr>
            <w:tcW w:w="879" w:type="dxa"/>
            <w:vAlign w:val="center"/>
          </w:tcPr>
          <w:p>
            <w:pPr>
              <w:pStyle w:val="7"/>
              <w:adjustRightInd w:val="0"/>
              <w:spacing w:line="360" w:lineRule="auto"/>
              <w:ind w:firstLine="0" w:firstLineChars="0"/>
              <w:contextualSpacing/>
              <w:rPr>
                <w:rFonts w:hint="eastAsia" w:hAnsi="宋体"/>
                <w:szCs w:val="21"/>
              </w:rPr>
            </w:pPr>
          </w:p>
        </w:tc>
        <w:tc>
          <w:tcPr>
            <w:tcW w:w="1122" w:type="dxa"/>
            <w:vAlign w:val="center"/>
          </w:tcPr>
          <w:p>
            <w:pPr>
              <w:pStyle w:val="7"/>
              <w:adjustRightInd w:val="0"/>
              <w:spacing w:line="360" w:lineRule="auto"/>
              <w:ind w:firstLine="0" w:firstLineChars="0"/>
              <w:contextualSpacing/>
              <w:rPr>
                <w:rFonts w:hint="eastAsia" w:hAnsi="宋体"/>
                <w:szCs w:val="21"/>
              </w:rPr>
            </w:pPr>
          </w:p>
        </w:tc>
        <w:tc>
          <w:tcPr>
            <w:tcW w:w="2052" w:type="dxa"/>
            <w:vAlign w:val="center"/>
          </w:tcPr>
          <w:p>
            <w:pPr>
              <w:pStyle w:val="7"/>
              <w:adjustRightInd w:val="0"/>
              <w:spacing w:line="360" w:lineRule="auto"/>
              <w:ind w:firstLine="0" w:firstLineChars="0"/>
              <w:contextualSpacing/>
              <w:rPr>
                <w:rFonts w:hint="eastAsia"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570" w:type="dxa"/>
            <w:gridSpan w:val="6"/>
            <w:vAlign w:val="center"/>
          </w:tcPr>
          <w:p>
            <w:pPr>
              <w:pStyle w:val="7"/>
              <w:adjustRightInd w:val="0"/>
              <w:spacing w:line="360" w:lineRule="auto"/>
              <w:ind w:firstLine="0" w:firstLineChars="0"/>
              <w:contextualSpacing/>
              <w:jc w:val="center"/>
              <w:rPr>
                <w:rFonts w:hint="eastAsia" w:hAnsi="宋体"/>
                <w:szCs w:val="21"/>
              </w:rPr>
            </w:pPr>
            <w:r>
              <w:rPr>
                <w:rFonts w:hint="eastAsia" w:hAnsi="宋体"/>
                <w:szCs w:val="21"/>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int="eastAsia" w:hAnsi="宋体"/>
                <w:szCs w:val="21"/>
              </w:rPr>
            </w:pPr>
            <w:r>
              <w:rPr>
                <w:rFonts w:hint="eastAsia" w:hAnsi="宋体"/>
                <w:szCs w:val="21"/>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2024年3月，在安徽省市场监督管理局的指导下，项目成立了前期项目组，项目组主要由安徽省市场监督管理局知识产权运用促进处、安徽省质量和标准化研究院相关人员组成，项目初步确定了参与研究单位：</w:t>
            </w:r>
            <w:r>
              <w:rPr>
                <w:rFonts w:hint="eastAsia" w:hAnsi="宋体"/>
                <w:szCs w:val="21"/>
              </w:rPr>
              <w:t>安徽省质量和标准化研究院、合肥市市场监督管理局、芜湖市市场监督管理局、合肥高新技术产业开发区管理委员会、安徽淮北高新技术产业开发区管理委员会、安徽阜阳界首高新技术产业开发区管理委员会、淮南高新技术产业开发区管理委员会、滁州经济技术开发区管理委员会、马鞍山经济技术开发区管理委员会、安徽新芜经济开发区管理委员会</w:t>
            </w:r>
            <w:r>
              <w:rPr>
                <w:rFonts w:hint="eastAsia" w:hAnsi="宋体"/>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2024年4月-5月，项目组搜集了其他省份在知识产权保护、运用、管理和服务等方面的政策文件、工作指南、案例分析等资料，归纳出核心要点和关键指标。同时整理和梳理了安徽省在此方面的相关政策文件和前期工作成果。按照《安徽省地方标准管理办法》等相关文件要求，项目组编制了地方标准申报材料，包括标准草案、申报书、项目汇报材料等，联系了相关的参与单位，完成了地方标准立项申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2024年6月-9月项目组前往相关企业开展了项目调研，并召开了工作讨论会，结合安徽省知识产权强省建设纲要等相关资料完善了标准草案。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2024年10月25日，标准进行了省市场监督管理局组织的立项答辩。10月28日，标准通过答辩，在2024年第8批安徽省地方标准制修订公示计划项目名单中。</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2024年11月18日，在安徽省质量和标准化研究院召开了项目研讨会，参加会议的有合肥工业大学、合肥大学、中科大知识产权研究院、警官职业学院、省知识产权研究会等单位的专家，专家就标准的框架、主体内容、重点要求等给出了完善建议，为标准草案的科学性和可操作性奠定了基础。</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2024年12月3日，省市场监督管理局发布《关于下达2024年第四批安徽省地方标准制修订计划的通知》，标准正式立项（项目计划号：2024-4-40）。</w:t>
            </w:r>
          </w:p>
          <w:p>
            <w:pPr>
              <w:pStyle w:val="7"/>
              <w:adjustRightInd w:val="0"/>
              <w:spacing w:line="360" w:lineRule="auto"/>
              <w:contextualSpacing/>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征求意见情况：XXXX年XX月，由工作组牵头负责通过网站、会议等方式公开征求意见，共向XX个有关行业单位、科研院所、大专院校及有代表性的标准利益方发函征求意见。截止XXXX年XX月，征求意见共收到X家单位XX条意见，最终XX条采纳，XX条未采纳。…</w:t>
            </w:r>
          </w:p>
          <w:p>
            <w:pPr>
              <w:pStyle w:val="7"/>
              <w:adjustRightInd w:val="0"/>
              <w:spacing w:line="360" w:lineRule="auto"/>
              <w:contextualSpacing/>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审查情况：XXXX年XX月XX日，XXXXX在XX组织召开了《XXXXXX》地方标准审查会，来自XXXX等单位专家组成审查专家组。专家委员会认真听取了编制单位的汇报，审阅了相关材料，经质询和讨论，提出了XX条修改建议，并一致认为，XXXXXXXXXXXXXXX…,建议修改完善后报批。</w:t>
            </w:r>
          </w:p>
          <w:p>
            <w:pPr>
              <w:pStyle w:val="7"/>
              <w:adjustRightInd w:val="0"/>
              <w:spacing w:line="360" w:lineRule="auto"/>
              <w:contextualSpacing/>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报批情况：工作组根据审查意见对标准送审稿作了修改和完善，于XXXX年XX月形成标准报批稿、编制说明及其它相关文件，报至XXXXXXXX。</w:t>
            </w:r>
          </w:p>
          <w:p>
            <w:pPr>
              <w:pStyle w:val="7"/>
              <w:adjustRightInd w:val="0"/>
              <w:spacing w:line="360" w:lineRule="auto"/>
              <w:ind w:firstLine="0" w:firstLineChars="0"/>
              <w:contextualSpacing/>
              <w:rPr>
                <w:rFonts w:hint="eastAsia" w:hAnsi="宋体"/>
                <w:szCs w:val="21"/>
              </w:rPr>
            </w:pPr>
            <w:r>
              <w:rPr>
                <w:rFonts w:hint="eastAsia" w:ascii="宋体" w:hAnsi="宋体" w:eastAsia="宋体" w:cs="Times New Roman"/>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int="eastAsia" w:hAnsi="宋体"/>
                <w:szCs w:val="21"/>
              </w:rPr>
            </w:pPr>
            <w:r>
              <w:rPr>
                <w:rFonts w:hint="eastAsia" w:hAnsi="宋体"/>
                <w:szCs w:val="21"/>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hAnsi="宋体"/>
                <w:szCs w:val="21"/>
              </w:rPr>
            </w:pPr>
            <w:r>
              <w:rPr>
                <w:rFonts w:hint="eastAsia" w:hAnsi="宋体"/>
                <w:szCs w:val="21"/>
              </w:rPr>
              <w:t>必要性：</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hAnsi="宋体"/>
                <w:szCs w:val="21"/>
              </w:rPr>
            </w:pPr>
            <w:r>
              <w:rPr>
                <w:rFonts w:hint="eastAsia" w:hAnsi="宋体"/>
                <w:szCs w:val="21"/>
              </w:rPr>
              <w:t>知识产权事业是党和国家事业的有机组成部分，在新时代作为国家发展战略性资源和国际竞争力核心要素的作用更加凸显。2021年，国务院印发《知识产权强国建设纲要（2021－2035年）》，系统擘画了知识产权强国建设的宏伟蓝图。深入实施知识产权强国战略，对推进知识产权改革发展提出更高要求。知识产权运营在产业发展中发挥重要作用，着眼建立规范有序、充满活力的市场化运营机制，以市场化方式驱动产业知识产权的商品化、资本化和产业化，推动知识产权链紧密嵌入产业链、创新链、资本链和政策链，打造促进产业创新发展的强大引擎，可为知识产权强省建设提供有力支撑。</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hAnsi="宋体"/>
                <w:szCs w:val="21"/>
              </w:rPr>
            </w:pPr>
            <w:r>
              <w:rPr>
                <w:rFonts w:hint="eastAsia" w:hAnsi="宋体"/>
                <w:szCs w:val="21"/>
              </w:rPr>
              <w:t>推进重点产业知识产权运营中心建设有利于充分发挥知识产权在产业发展中的引领导向性、安全保障性以及资源战略性作用。通过建立规范有序、充满活力的市场化运营机制，以市场化方式驱动产业知识产权的商品化、资本化和产业化，推动知识产权链紧密嵌入产业链、创新链、资本链和政策链，打造促进产业创新发展的强大引擎，为知识产权强省建设提供有力支撑</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hAnsi="宋体"/>
                <w:szCs w:val="21"/>
              </w:rPr>
            </w:pPr>
            <w:r>
              <w:rPr>
                <w:rFonts w:hint="eastAsia" w:hAnsi="宋体"/>
                <w:szCs w:val="21"/>
              </w:rPr>
              <w:t>意义：</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hAnsi="宋体"/>
                <w:szCs w:val="21"/>
              </w:rPr>
            </w:pPr>
            <w:r>
              <w:rPr>
                <w:rFonts w:hint="eastAsia" w:hAnsi="宋体"/>
                <w:szCs w:val="21"/>
              </w:rPr>
              <w:t>重点产业知识产权运营中心是要建设一批产业与知识产权有机结合，打通“创造、运用、保护、管理、服务”的知识产权供给链，激活“专利信息分析-关键技术突破-产品技术标准”的知识产权创新链为路径，能够覆盖全省重点产业的知识产权运营中心，促进产业不断向高端攀升，综合实力明显增强，培育出一批行业高峰企业。重点产业知识产权运营中心建成后将承担建设市场化专利运营中心、深度挖掘企业端技术需求、开展精准化专利供需匹配、培养专业化专利运营人才、建立一站式转化服务渠道等重点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int="eastAsia" w:hAnsi="宋体"/>
                <w:szCs w:val="21"/>
              </w:rPr>
            </w:pPr>
            <w:r>
              <w:rPr>
                <w:rFonts w:hint="eastAsia" w:hAnsi="宋体"/>
                <w:szCs w:val="21"/>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570" w:type="dxa"/>
            <w:gridSpan w:val="6"/>
            <w:vAlign w:val="center"/>
          </w:tcPr>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hAnsi="宋体"/>
                <w:szCs w:val="21"/>
              </w:rPr>
            </w:pPr>
            <w:r>
              <w:rPr>
                <w:rFonts w:hint="eastAsia" w:hAnsi="宋体"/>
                <w:szCs w:val="21"/>
              </w:rPr>
              <w:t>（一）制定原则</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hAnsi="宋体"/>
                <w:szCs w:val="21"/>
              </w:rPr>
            </w:pPr>
            <w:r>
              <w:rPr>
                <w:rFonts w:hint="eastAsia" w:hAnsi="宋体"/>
                <w:szCs w:val="21"/>
              </w:rPr>
              <w:t>（1）符合相关国家法律法规和政策要求。</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hAnsi="宋体"/>
                <w:szCs w:val="21"/>
              </w:rPr>
            </w:pPr>
            <w:r>
              <w:rPr>
                <w:rFonts w:hint="eastAsia" w:hAnsi="宋体"/>
                <w:szCs w:val="21"/>
              </w:rPr>
              <w:t>（2）科学实用原则。</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hAnsi="宋体"/>
                <w:szCs w:val="21"/>
              </w:rPr>
            </w:pPr>
            <w:r>
              <w:rPr>
                <w:rFonts w:hint="eastAsia" w:hAnsi="宋体"/>
                <w:szCs w:val="21"/>
              </w:rPr>
              <w:t>在尊重科学、紧密结合实践、广泛征求意见及调查研究的基础上，紧贴安徽重点产业知识产权运营中心发展实际，具有可操作性和实用性。</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hAnsi="宋体"/>
                <w:szCs w:val="21"/>
              </w:rPr>
            </w:pPr>
            <w:r>
              <w:rPr>
                <w:rFonts w:hint="eastAsia" w:hAnsi="宋体"/>
                <w:szCs w:val="21"/>
              </w:rPr>
              <w:t>（二）依据</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hAnsi="宋体"/>
                <w:szCs w:val="21"/>
              </w:rPr>
            </w:pPr>
            <w:r>
              <w:rPr>
                <w:rFonts w:hint="eastAsia" w:hAnsi="宋体"/>
                <w:szCs w:val="21"/>
              </w:rPr>
              <w:t>（1）开展系统的标准需求调研，为确保标准内容的适应性和可操作性，标准起草工作组进行充分的标准需求调研，查阅大量的文献资料，对国内现有的产业知识产权运营中心的建设情况进行归纳研究。实地走访调研省内研发机构、高新技术企业等相关方，系统了解我省知识产权运营中心的培育的现状和实际需求。</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hAnsi="宋体"/>
                <w:szCs w:val="21"/>
              </w:rPr>
            </w:pPr>
            <w:r>
              <w:rPr>
                <w:rFonts w:hint="eastAsia" w:hAnsi="宋体"/>
                <w:szCs w:val="21"/>
              </w:rPr>
              <w:t>（2）本文件充分遵循国家相关的法律和政策要求，确定标准主要内容，确保标准具备科学性、先进行、适用性及可操作性。</w:t>
            </w:r>
          </w:p>
          <w:p>
            <w:pPr>
              <w:pStyle w:val="7"/>
              <w:keepNext w:val="0"/>
              <w:keepLines w:val="0"/>
              <w:pageBreakBefore w:val="0"/>
              <w:widowControl/>
              <w:kinsoku/>
              <w:wordWrap/>
              <w:overflowPunct/>
              <w:topLinePunct w:val="0"/>
              <w:autoSpaceDE w:val="0"/>
              <w:autoSpaceDN w:val="0"/>
              <w:bidi w:val="0"/>
              <w:adjustRightInd w:val="0"/>
              <w:snapToGrid/>
              <w:spacing w:line="360" w:lineRule="auto"/>
              <w:contextualSpacing/>
              <w:textAlignment w:val="auto"/>
              <w:rPr>
                <w:rFonts w:hint="eastAsia" w:hAnsi="宋体"/>
                <w:szCs w:val="21"/>
              </w:rPr>
            </w:pPr>
            <w:r>
              <w:rPr>
                <w:rFonts w:hint="eastAsia" w:hAnsi="宋体"/>
                <w:szCs w:val="21"/>
              </w:rPr>
              <w:t>（3）本文件制定的依据及参考标准：《专利代理管理办法》《专利代理条例》《中华人民共和国专利法》。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int="eastAsia" w:hAnsi="宋体"/>
                <w:szCs w:val="21"/>
              </w:rPr>
            </w:pPr>
            <w:r>
              <w:rPr>
                <w:rFonts w:hint="eastAsia" w:hAnsi="宋体"/>
                <w:szCs w:val="21"/>
              </w:rPr>
              <w:t>4、主要条款的说明，主要技术指标、参数、试验验证的论述（</w:t>
            </w:r>
            <w:r>
              <w:rPr>
                <w:rFonts w:hint="eastAsia" w:hAnsi="宋体"/>
                <w:b/>
                <w:szCs w:val="21"/>
              </w:rPr>
              <w:t>详细说明</w:t>
            </w:r>
            <w:r>
              <w:rPr>
                <w:rFonts w:hint="eastAsia"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keepNext w:val="0"/>
              <w:keepLines w:val="0"/>
              <w:pageBreakBefore w:val="0"/>
              <w:widowControl/>
              <w:kinsoku/>
              <w:wordWrap/>
              <w:overflowPunct/>
              <w:topLinePunct w:val="0"/>
              <w:bidi w:val="0"/>
              <w:snapToGrid/>
              <w:spacing w:line="360" w:lineRule="auto"/>
              <w:ind w:firstLine="402" w:firstLineChars="200"/>
              <w:jc w:val="left"/>
              <w:textAlignment w:val="auto"/>
              <w:rPr>
                <w:rFonts w:hint="eastAsia" w:ascii="宋体" w:hAnsi="宋体" w:cs="宋体"/>
                <w:b/>
                <w:bCs/>
                <w:color w:val="000000"/>
                <w:kern w:val="0"/>
                <w:sz w:val="20"/>
                <w:szCs w:val="20"/>
                <w:lang w:bidi="ar"/>
              </w:rPr>
            </w:pPr>
            <w:r>
              <w:rPr>
                <w:rFonts w:hint="eastAsia" w:ascii="宋体" w:hAnsi="宋体" w:cs="宋体"/>
                <w:b/>
                <w:bCs/>
                <w:color w:val="000000"/>
                <w:kern w:val="0"/>
                <w:sz w:val="20"/>
                <w:szCs w:val="20"/>
                <w:lang w:bidi="ar"/>
              </w:rPr>
              <w:t>（一）标准主要框架及适用范围：</w:t>
            </w:r>
          </w:p>
          <w:p>
            <w:pPr>
              <w:pStyle w:val="7"/>
              <w:keepNext w:val="0"/>
              <w:keepLines w:val="0"/>
              <w:pageBreakBefore w:val="0"/>
              <w:widowControl/>
              <w:kinsoku/>
              <w:wordWrap/>
              <w:overflowPunct/>
              <w:topLinePunct w:val="0"/>
              <w:bidi w:val="0"/>
              <w:snapToGrid/>
              <w:spacing w:line="360" w:lineRule="auto"/>
              <w:contextualSpacing/>
              <w:textAlignment w:val="auto"/>
              <w:rPr>
                <w:rFonts w:hint="eastAsia" w:hAnsi="宋体"/>
              </w:rPr>
            </w:pPr>
            <w:r>
              <w:rPr>
                <w:rFonts w:hint="eastAsia" w:hAnsi="宋体"/>
                <w:szCs w:val="21"/>
              </w:rPr>
              <w:t>本文件规定了</w:t>
            </w:r>
            <w:r>
              <w:rPr>
                <w:rFonts w:hint="eastAsia" w:hAnsi="宋体"/>
              </w:rPr>
              <w:t>重点产业知识产权运营中心</w:t>
            </w:r>
            <w:r>
              <w:rPr>
                <w:rFonts w:hint="eastAsia" w:hAnsi="宋体"/>
                <w:szCs w:val="21"/>
              </w:rPr>
              <w:t>的</w:t>
            </w:r>
            <w:r>
              <w:rPr>
                <w:rFonts w:hint="eastAsia" w:hAnsi="宋体"/>
              </w:rPr>
              <w:t>基本要求、组织建设、申请流程、管理运行、服务内容及要求、绩效要求、评价和改进</w:t>
            </w:r>
            <w:r>
              <w:rPr>
                <w:rFonts w:hint="eastAsia" w:hAnsi="宋体"/>
                <w:szCs w:val="21"/>
              </w:rPr>
              <w:t>。</w:t>
            </w:r>
          </w:p>
          <w:p>
            <w:pPr>
              <w:pStyle w:val="7"/>
              <w:keepNext w:val="0"/>
              <w:keepLines w:val="0"/>
              <w:pageBreakBefore w:val="0"/>
              <w:widowControl/>
              <w:kinsoku/>
              <w:wordWrap/>
              <w:overflowPunct/>
              <w:topLinePunct w:val="0"/>
              <w:bidi w:val="0"/>
              <w:snapToGrid/>
              <w:spacing w:line="360" w:lineRule="auto"/>
              <w:contextualSpacing/>
              <w:textAlignment w:val="auto"/>
              <w:rPr>
                <w:rFonts w:hint="eastAsia" w:hAnsi="宋体"/>
              </w:rPr>
            </w:pPr>
            <w:r>
              <w:rPr>
                <w:rFonts w:hint="eastAsia" w:hAnsi="宋体"/>
                <w:szCs w:val="21"/>
              </w:rPr>
              <w:t>本文件适用于</w:t>
            </w:r>
            <w:r>
              <w:rPr>
                <w:rFonts w:hint="eastAsia" w:hAnsi="宋体"/>
              </w:rPr>
              <w:t>重点产业知识产权运营中心</w:t>
            </w:r>
            <w:r>
              <w:rPr>
                <w:rFonts w:hint="eastAsia" w:hAnsi="宋体"/>
                <w:szCs w:val="21"/>
              </w:rPr>
              <w:t>的管理。</w:t>
            </w:r>
          </w:p>
          <w:p>
            <w:pPr>
              <w:pStyle w:val="7"/>
              <w:keepNext w:val="0"/>
              <w:keepLines w:val="0"/>
              <w:pageBreakBefore w:val="0"/>
              <w:widowControl/>
              <w:numPr>
                <w:ilvl w:val="0"/>
                <w:numId w:val="2"/>
              </w:numPr>
              <w:kinsoku/>
              <w:wordWrap/>
              <w:overflowPunct/>
              <w:topLinePunct w:val="0"/>
              <w:bidi w:val="0"/>
              <w:adjustRightInd w:val="0"/>
              <w:snapToGrid/>
              <w:spacing w:line="360" w:lineRule="auto"/>
              <w:ind w:firstLine="402"/>
              <w:contextualSpacing/>
              <w:textAlignment w:val="auto"/>
              <w:rPr>
                <w:rFonts w:eastAsia="等线" w:cs="等线"/>
                <w:color w:val="000000"/>
                <w:szCs w:val="21"/>
              </w:rPr>
            </w:pPr>
            <w:r>
              <w:rPr>
                <w:rFonts w:hint="eastAsia" w:hAnsi="宋体" w:cs="宋体"/>
                <w:b/>
                <w:bCs/>
                <w:color w:val="000000"/>
                <w:sz w:val="20"/>
                <w:lang w:bidi="ar"/>
              </w:rPr>
              <w:t>术语和定义：</w:t>
            </w:r>
          </w:p>
          <w:p>
            <w:pPr>
              <w:pStyle w:val="7"/>
              <w:keepNext w:val="0"/>
              <w:keepLines w:val="0"/>
              <w:pageBreakBefore w:val="0"/>
              <w:widowControl/>
              <w:kinsoku/>
              <w:wordWrap/>
              <w:overflowPunct/>
              <w:topLinePunct w:val="0"/>
              <w:bidi w:val="0"/>
              <w:snapToGrid/>
              <w:spacing w:line="360" w:lineRule="auto"/>
              <w:contextualSpacing/>
              <w:textAlignment w:val="auto"/>
              <w:rPr>
                <w:rFonts w:hint="eastAsia" w:hAnsi="宋体"/>
              </w:rPr>
            </w:pPr>
            <w:r>
              <w:rPr>
                <w:rFonts w:hint="eastAsia" w:hAnsi="宋体"/>
                <w:szCs w:val="21"/>
              </w:rPr>
              <w:t>根据内容要求，通过参照相关政策文件，综合行内专家建议整理归纳后，对本标准涉及专项名词的内涵及意义进行了规范和解释，明确了“</w:t>
            </w:r>
            <w:r>
              <w:rPr>
                <w:rFonts w:hint="eastAsia" w:hAnsi="宋体"/>
              </w:rPr>
              <w:t>重点产业知识产权运营中心</w:t>
            </w:r>
            <w:r>
              <w:rPr>
                <w:rFonts w:hint="eastAsia" w:hAnsi="宋体"/>
                <w:szCs w:val="21"/>
              </w:rPr>
              <w:t>”“专利导航”的术语和定义。</w:t>
            </w:r>
          </w:p>
          <w:p>
            <w:pPr>
              <w:pStyle w:val="7"/>
              <w:keepNext w:val="0"/>
              <w:keepLines w:val="0"/>
              <w:pageBreakBefore w:val="0"/>
              <w:widowControl/>
              <w:numPr>
                <w:ilvl w:val="0"/>
                <w:numId w:val="2"/>
              </w:numPr>
              <w:kinsoku/>
              <w:wordWrap/>
              <w:overflowPunct/>
              <w:topLinePunct w:val="0"/>
              <w:bidi w:val="0"/>
              <w:adjustRightInd w:val="0"/>
              <w:snapToGrid/>
              <w:spacing w:line="360" w:lineRule="auto"/>
              <w:ind w:firstLine="402"/>
              <w:contextualSpacing/>
              <w:textAlignment w:val="auto"/>
            </w:pPr>
            <w:r>
              <w:rPr>
                <w:rFonts w:hint="eastAsia" w:hAnsi="宋体" w:cs="宋体"/>
                <w:b/>
                <w:bCs/>
                <w:color w:val="000000"/>
                <w:sz w:val="20"/>
                <w:lang w:bidi="ar"/>
              </w:rPr>
              <w:t>主要技术内容：</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hAnsi="宋体"/>
                <w:szCs w:val="21"/>
              </w:rPr>
            </w:pPr>
            <w:r>
              <w:rPr>
                <w:rFonts w:hint="eastAsia" w:hAnsi="宋体"/>
                <w:szCs w:val="21"/>
              </w:rPr>
              <w:t>安徽省地方标准《重点产业知识产权运营中心管理规范》主要技术内容主要对重点产业知识产权运营中心的管理工作进行了要求。</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hAnsi="宋体"/>
                <w:szCs w:val="21"/>
              </w:rPr>
            </w:pPr>
            <w:r>
              <w:rPr>
                <w:rFonts w:hint="eastAsia" w:hAnsi="宋体"/>
                <w:szCs w:val="21"/>
              </w:rPr>
              <w:t>1.依据我省重点产业和知识产权运营中心发展实际情况，对申报重点产业知识产权运营中心的产业及建设主体进行了规定，并提出建设原则。</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hAnsi="宋体"/>
                <w:szCs w:val="21"/>
              </w:rPr>
            </w:pPr>
            <w:r>
              <w:rPr>
                <w:rFonts w:hint="eastAsia" w:hAnsi="宋体"/>
                <w:szCs w:val="21"/>
              </w:rPr>
              <w:t>2.根据我省相关政策文件，对重点产业知识产权运营中心的场地条件、机构设置、设施设备等组织建设情况进行了详细规定。</w:t>
            </w:r>
            <w:bookmarkStart w:id="30" w:name="_GoBack"/>
            <w:bookmarkEnd w:id="30"/>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hAnsi="宋体"/>
                <w:szCs w:val="21"/>
              </w:rPr>
            </w:pPr>
            <w:r>
              <w:rPr>
                <w:rFonts w:hint="eastAsia" w:hAnsi="宋体"/>
                <w:szCs w:val="21"/>
              </w:rPr>
              <w:t>3.规定了重点产业知识产权运营中心的申请流程。</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hAnsi="宋体"/>
                <w:szCs w:val="21"/>
              </w:rPr>
            </w:pPr>
            <w:r>
              <w:rPr>
                <w:rFonts w:hint="eastAsia" w:hAnsi="宋体"/>
                <w:szCs w:val="21"/>
              </w:rPr>
              <w:t>4，提出工作人员要求、服务机构入驻要求、服务内容等管理要求。</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hAnsi="宋体"/>
                <w:szCs w:val="21"/>
              </w:rPr>
            </w:pPr>
            <w:r>
              <w:rPr>
                <w:rFonts w:hint="eastAsia" w:hAnsi="宋体"/>
                <w:szCs w:val="21"/>
              </w:rPr>
              <w:t>5.对重点产业知识产权运营中心的绩效考核要求及评价程序等进行了规定。</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eastAsia" w:hAnsi="宋体"/>
                <w:szCs w:val="21"/>
                <w:lang w:val="en-US" w:eastAsia="zh-CN"/>
              </w:rPr>
            </w:pPr>
            <w:r>
              <w:rPr>
                <w:rFonts w:hint="eastAsia" w:hAnsi="宋体"/>
                <w:szCs w:val="21"/>
                <w:lang w:val="en-US" w:eastAsia="zh-CN"/>
              </w:rPr>
              <w:t>主要包括：</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default" w:hAnsi="宋体"/>
                <w:szCs w:val="21"/>
                <w:lang w:val="en-US" w:eastAsia="zh-CN"/>
              </w:rPr>
            </w:pPr>
            <w:r>
              <w:rPr>
                <w:rFonts w:hint="default" w:hAnsi="宋体"/>
                <w:szCs w:val="21"/>
                <w:lang w:val="en-US" w:eastAsia="zh-CN"/>
              </w:rPr>
              <w:t>基本要求：明确了产业选择需围绕安徽省战略性新兴产业等，遵循战略性、高端性、引领性、集群性、规模性和创新性原则。</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default" w:hAnsi="宋体"/>
                <w:szCs w:val="21"/>
                <w:lang w:val="en-US" w:eastAsia="zh-CN"/>
              </w:rPr>
            </w:pPr>
            <w:r>
              <w:rPr>
                <w:rFonts w:hint="default" w:hAnsi="宋体"/>
                <w:szCs w:val="21"/>
                <w:lang w:val="en-US" w:eastAsia="zh-CN"/>
              </w:rPr>
              <w:t>主体要求：建设主体应是与重点产业相关的企业、知识产权服务机构或产学研结合紧密的单位，且近三年内无知识产权违法行为和不良记录。</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default" w:hAnsi="宋体"/>
                <w:szCs w:val="21"/>
                <w:lang w:val="en-US" w:eastAsia="zh-CN"/>
              </w:rPr>
            </w:pPr>
            <w:r>
              <w:rPr>
                <w:rFonts w:hint="default" w:hAnsi="宋体"/>
                <w:szCs w:val="21"/>
                <w:lang w:val="en-US" w:eastAsia="zh-CN"/>
              </w:rPr>
              <w:t>建设原则：强调系统性、协同性、持续性和创新性，确保运营中心能够持续有效地运行。</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default" w:hAnsi="宋体"/>
                <w:szCs w:val="21"/>
                <w:lang w:val="en-US" w:eastAsia="zh-CN"/>
              </w:rPr>
            </w:pPr>
            <w:r>
              <w:rPr>
                <w:rFonts w:hint="default" w:hAnsi="宋体"/>
                <w:szCs w:val="21"/>
                <w:lang w:val="en-US" w:eastAsia="zh-CN"/>
              </w:rPr>
              <w:t>组织建设：要求设置独立办公场所，配备必要的职能部门和设施设备，并加强信息化建设。</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default" w:hAnsi="宋体"/>
                <w:szCs w:val="21"/>
                <w:lang w:val="en-US" w:eastAsia="zh-CN"/>
              </w:rPr>
            </w:pPr>
            <w:r>
              <w:rPr>
                <w:rFonts w:hint="default" w:hAnsi="宋体"/>
                <w:szCs w:val="21"/>
                <w:lang w:val="en-US" w:eastAsia="zh-CN"/>
              </w:rPr>
              <w:t>申请流程：详细描述了从制定实施方案到省级行政主管部门评估检查的整个申请流程。</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default" w:hAnsi="宋体"/>
                <w:szCs w:val="21"/>
                <w:lang w:val="en-US" w:eastAsia="zh-CN"/>
              </w:rPr>
            </w:pPr>
            <w:r>
              <w:rPr>
                <w:rFonts w:hint="default" w:hAnsi="宋体"/>
                <w:szCs w:val="21"/>
                <w:lang w:val="en-US" w:eastAsia="zh-CN"/>
              </w:rPr>
              <w:t>管理运行：规定了工作人员要求、服务机构入驻条件和管理机制，以确保运营中心的专业化和规范化运行。</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default" w:hAnsi="宋体"/>
                <w:szCs w:val="21"/>
                <w:lang w:val="en-US" w:eastAsia="zh-CN"/>
              </w:rPr>
            </w:pPr>
            <w:r>
              <w:rPr>
                <w:rFonts w:hint="default" w:hAnsi="宋体"/>
                <w:szCs w:val="21"/>
                <w:lang w:val="en-US" w:eastAsia="zh-CN"/>
              </w:rPr>
              <w:t>服务内容及要求：涵盖了产业专利导航服务、产业知识产权托管、产业知识产权金融服务、产业知识产权投资运营、产业知识产权人才培训以及其他服务等多个方面。</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default" w:hAnsi="宋体"/>
                <w:szCs w:val="21"/>
                <w:lang w:val="en-US" w:eastAsia="zh-CN"/>
              </w:rPr>
            </w:pPr>
            <w:r>
              <w:rPr>
                <w:rFonts w:hint="default" w:hAnsi="宋体"/>
                <w:szCs w:val="21"/>
                <w:lang w:val="en-US" w:eastAsia="zh-CN"/>
              </w:rPr>
              <w:t>绩效要求：设定了具体的绩效目标，如收集专利技术供给信息、开展专利供需对接活动、发布高质量专利导航报告等。</w:t>
            </w:r>
          </w:p>
          <w:p>
            <w:pPr>
              <w:pStyle w:val="7"/>
              <w:keepNext w:val="0"/>
              <w:keepLines w:val="0"/>
              <w:pageBreakBefore w:val="0"/>
              <w:widowControl/>
              <w:kinsoku/>
              <w:wordWrap/>
              <w:overflowPunct/>
              <w:topLinePunct w:val="0"/>
              <w:bidi w:val="0"/>
              <w:adjustRightInd w:val="0"/>
              <w:snapToGrid/>
              <w:spacing w:line="360" w:lineRule="auto"/>
              <w:contextualSpacing/>
              <w:textAlignment w:val="auto"/>
              <w:rPr>
                <w:rFonts w:hint="default" w:hAnsi="宋体"/>
                <w:szCs w:val="21"/>
                <w:lang w:val="en-US" w:eastAsia="zh-CN"/>
              </w:rPr>
            </w:pPr>
            <w:r>
              <w:rPr>
                <w:rFonts w:hint="default" w:hAnsi="宋体"/>
                <w:szCs w:val="21"/>
                <w:lang w:val="en-US" w:eastAsia="zh-CN"/>
              </w:rPr>
              <w:t>评价与改进：建立了评价专家组进行现场评价的机制，并根据评价结果保留或摘牌省级运营中心资格，同时鼓励运营中心根据专家组意见进行改进。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int="eastAsia" w:hAnsi="宋体"/>
                <w:szCs w:val="21"/>
              </w:rPr>
            </w:pPr>
            <w:bookmarkStart w:id="0" w:name="_Toc464905809"/>
            <w:bookmarkStart w:id="1" w:name="_Toc464905557"/>
            <w:bookmarkStart w:id="2" w:name="_Toc464902852"/>
            <w:bookmarkStart w:id="3" w:name="_Toc465074266"/>
            <w:bookmarkStart w:id="4" w:name="_Toc464905613"/>
            <w:r>
              <w:rPr>
                <w:rFonts w:hint="eastAsia" w:hAnsi="宋体"/>
                <w:szCs w:val="21"/>
              </w:rPr>
              <w:t>5、标准中如果涉及专利，应有明确的知识产权说明</w:t>
            </w:r>
            <w:bookmarkEnd w:id="0"/>
            <w:bookmarkEnd w:id="1"/>
            <w:bookmarkEnd w:id="2"/>
            <w:bookmarkEnd w:id="3"/>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int="eastAsia" w:hAnsi="宋体"/>
                <w:szCs w:val="21"/>
              </w:rPr>
            </w:pPr>
            <w:r>
              <w:rPr>
                <w:rFonts w:hint="eastAsia" w:hAnsi="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int="eastAsia" w:hAnsi="宋体"/>
                <w:szCs w:val="21"/>
              </w:rPr>
            </w:pPr>
            <w:bookmarkStart w:id="5" w:name="_Toc464902853"/>
            <w:bookmarkStart w:id="6" w:name="_Toc464905558"/>
            <w:bookmarkStart w:id="7" w:name="_Toc464905614"/>
            <w:bookmarkStart w:id="8" w:name="_Toc464905810"/>
            <w:bookmarkStart w:id="9" w:name="_Toc465074267"/>
            <w:r>
              <w:rPr>
                <w:rFonts w:hint="eastAsia" w:hAnsi="宋体"/>
                <w:szCs w:val="21"/>
              </w:rPr>
              <w:t>6、采用国际标准或国外先进标准的，说明采标程度，以及国内外同类标准水平的对比情况</w:t>
            </w:r>
            <w:bookmarkEnd w:id="5"/>
            <w:bookmarkEnd w:id="6"/>
            <w:bookmarkEnd w:id="7"/>
            <w:bookmarkEnd w:id="8"/>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int="eastAsia" w:hAnsi="宋体"/>
                <w:szCs w:val="21"/>
              </w:rPr>
            </w:pPr>
            <w:r>
              <w:rPr>
                <w:rFonts w:hint="eastAsia" w:hAnsi="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int="eastAsia" w:hAnsi="宋体"/>
                <w:szCs w:val="21"/>
              </w:rPr>
            </w:pPr>
            <w:bookmarkStart w:id="10" w:name="_Toc464905559"/>
            <w:bookmarkStart w:id="11" w:name="_Toc464905615"/>
            <w:bookmarkStart w:id="12" w:name="_Toc465074268"/>
            <w:bookmarkStart w:id="13" w:name="_Toc464902854"/>
            <w:bookmarkStart w:id="14" w:name="_Toc464905811"/>
            <w:r>
              <w:rPr>
                <w:rFonts w:hint="eastAsia" w:hAnsi="宋体"/>
                <w:szCs w:val="21"/>
              </w:rPr>
              <w:t>7、重大分歧意见的处理经过和依据</w:t>
            </w:r>
            <w:bookmarkEnd w:id="10"/>
            <w:bookmarkEnd w:id="11"/>
            <w:bookmarkEnd w:id="12"/>
            <w:bookmarkEnd w:id="13"/>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int="eastAsia" w:hAnsi="宋体"/>
                <w:szCs w:val="21"/>
              </w:rPr>
            </w:pPr>
            <w:r>
              <w:rPr>
                <w:rFonts w:hint="eastAsia" w:hAnsi="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int="eastAsia" w:hAnsi="宋体"/>
                <w:szCs w:val="21"/>
              </w:rPr>
            </w:pPr>
            <w:bookmarkStart w:id="15" w:name="_Toc464905812"/>
            <w:bookmarkStart w:id="16" w:name="_Toc465074269"/>
            <w:bookmarkStart w:id="17" w:name="_Toc464905560"/>
            <w:bookmarkStart w:id="18" w:name="_Toc464905616"/>
            <w:bookmarkStart w:id="19" w:name="_Toc464902855"/>
            <w:r>
              <w:rPr>
                <w:rFonts w:hint="eastAsia" w:hAnsi="宋体"/>
                <w:szCs w:val="21"/>
              </w:rPr>
              <w:t>8、贯彻标准的要求和措施建议（包括组织措施、技术措施、过渡办法、实施日期等）</w:t>
            </w:r>
            <w:bookmarkEnd w:id="15"/>
            <w:bookmarkEnd w:id="16"/>
            <w:bookmarkEnd w:id="17"/>
            <w:bookmarkEnd w:id="18"/>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keepNext w:val="0"/>
              <w:keepLines w:val="0"/>
              <w:pageBreakBefore w:val="0"/>
              <w:widowControl/>
              <w:kinsoku/>
              <w:wordWrap/>
              <w:overflowPunct/>
              <w:topLinePunct w:val="0"/>
              <w:autoSpaceDE w:val="0"/>
              <w:autoSpaceDN w:val="0"/>
              <w:bidi w:val="0"/>
              <w:adjustRightInd w:val="0"/>
              <w:snapToGrid/>
              <w:spacing w:line="360" w:lineRule="auto"/>
              <w:ind w:firstLine="420" w:firstLineChars="200"/>
              <w:contextualSpacing/>
              <w:textAlignment w:val="auto"/>
              <w:rPr>
                <w:rFonts w:hint="eastAsia" w:hAnsi="宋体"/>
                <w:szCs w:val="21"/>
              </w:rPr>
            </w:pPr>
            <w:r>
              <w:rPr>
                <w:rFonts w:hint="default" w:ascii="宋体" w:hAnsi="宋体" w:eastAsia="宋体" w:cs="Times New Roman"/>
                <w:szCs w:val="21"/>
                <w:lang w:val="en-US" w:eastAsia="zh-CN"/>
              </w:rPr>
              <w:t>该标准发布实施后，建议</w:t>
            </w:r>
            <w:r>
              <w:rPr>
                <w:rFonts w:hint="eastAsia" w:ascii="宋体" w:hAnsi="宋体" w:eastAsia="宋体" w:cs="Times New Roman"/>
                <w:szCs w:val="21"/>
                <w:lang w:val="en-US" w:eastAsia="zh-CN"/>
              </w:rPr>
              <w:t>知识产权相关主管</w:t>
            </w:r>
            <w:r>
              <w:rPr>
                <w:rFonts w:hint="default" w:ascii="宋体" w:hAnsi="宋体" w:eastAsia="宋体" w:cs="Times New Roman"/>
                <w:szCs w:val="21"/>
                <w:lang w:val="en-US" w:eastAsia="zh-CN"/>
              </w:rPr>
              <w:t>部门</w:t>
            </w:r>
            <w:r>
              <w:rPr>
                <w:rFonts w:hint="eastAsia" w:ascii="宋体" w:hAnsi="宋体" w:eastAsia="宋体" w:cs="Times New Roman"/>
                <w:szCs w:val="21"/>
                <w:lang w:val="en-US" w:eastAsia="zh-CN"/>
              </w:rPr>
              <w:t>、</w:t>
            </w:r>
            <w:r>
              <w:rPr>
                <w:rFonts w:hint="eastAsia"/>
              </w:rPr>
              <w:t>我省与重点产业相关的企业（知识产权服务机构）或产学研结合紧密的开发区管委会、高校</w:t>
            </w:r>
            <w:r>
              <w:rPr>
                <w:rFonts w:hint="eastAsia" w:hAnsi="宋体"/>
                <w:szCs w:val="21"/>
              </w:rPr>
              <w:t>等</w:t>
            </w:r>
            <w:r>
              <w:rPr>
                <w:rFonts w:hint="eastAsia"/>
              </w:rPr>
              <w:t>机构或组织</w:t>
            </w:r>
            <w:r>
              <w:rPr>
                <w:rFonts w:hint="default" w:ascii="宋体" w:hAnsi="宋体" w:eastAsia="宋体" w:cs="Times New Roman"/>
                <w:szCs w:val="21"/>
                <w:lang w:val="en-US" w:eastAsia="zh-CN"/>
              </w:rPr>
              <w:t>认真组织学习，就标准相关内容进行解读，使从业人员了解标准、熟悉标准。建议</w:t>
            </w:r>
            <w:r>
              <w:rPr>
                <w:rFonts w:hint="eastAsia"/>
              </w:rPr>
              <w:t>重点产业相关的企业（知识产权服务机构）或产学研结合紧密的开发区管委会、高校</w:t>
            </w:r>
            <w:r>
              <w:rPr>
                <w:rFonts w:hint="eastAsia" w:hAnsi="宋体"/>
                <w:szCs w:val="21"/>
              </w:rPr>
              <w:t>等</w:t>
            </w:r>
            <w:r>
              <w:rPr>
                <w:rFonts w:hint="eastAsia"/>
              </w:rPr>
              <w:t>机构或组织</w:t>
            </w:r>
            <w:r>
              <w:rPr>
                <w:rFonts w:hint="default" w:ascii="宋体" w:hAnsi="宋体" w:eastAsia="宋体" w:cs="Times New Roman"/>
                <w:szCs w:val="21"/>
                <w:lang w:val="en-US" w:eastAsia="zh-CN"/>
              </w:rPr>
              <w:t>依据标准，改进完善自身生产条件、结合日常工作，</w:t>
            </w:r>
            <w:r>
              <w:rPr>
                <w:rFonts w:hint="eastAsia" w:hAnsi="宋体"/>
                <w:szCs w:val="21"/>
              </w:rPr>
              <w:t>深度挖掘企业端技术需求、开展精准化专利供需匹配、培养专业化专利运营人才、建立一站式转化服务渠道等重点任务</w:t>
            </w:r>
            <w:r>
              <w:rPr>
                <w:rFonts w:hint="default" w:ascii="宋体" w:hAnsi="宋体" w:eastAsia="宋体" w:cs="Times New Roman"/>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int="eastAsia" w:hAnsi="宋体"/>
                <w:szCs w:val="21"/>
              </w:rPr>
            </w:pPr>
            <w:bookmarkStart w:id="20" w:name="_Toc464905813"/>
            <w:bookmarkStart w:id="21" w:name="_Toc464902856"/>
            <w:bookmarkStart w:id="22" w:name="_Toc464905617"/>
            <w:bookmarkStart w:id="23" w:name="_Toc465074270"/>
            <w:bookmarkStart w:id="24" w:name="_Toc464905561"/>
            <w:r>
              <w:rPr>
                <w:rFonts w:hint="eastAsia" w:hAnsi="宋体"/>
                <w:szCs w:val="21"/>
              </w:rPr>
              <w:t>9、废止现行相关标准的建议</w:t>
            </w:r>
            <w:bookmarkEnd w:id="20"/>
            <w:bookmarkEnd w:id="21"/>
            <w:bookmarkEnd w:id="22"/>
            <w:bookmarkEnd w:id="23"/>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int="eastAsia" w:hAnsi="宋体"/>
                <w:szCs w:val="21"/>
              </w:rPr>
            </w:pPr>
            <w:r>
              <w:rPr>
                <w:rFonts w:hint="eastAsia" w:hAnsi="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int="eastAsia" w:hAnsi="宋体"/>
                <w:szCs w:val="21"/>
              </w:rPr>
            </w:pPr>
            <w:bookmarkStart w:id="25" w:name="_Toc464905814"/>
            <w:bookmarkStart w:id="26" w:name="_Toc464905562"/>
            <w:bookmarkStart w:id="27" w:name="_Toc464905618"/>
            <w:bookmarkStart w:id="28" w:name="_Toc465074271"/>
            <w:bookmarkStart w:id="29" w:name="_Toc464902857"/>
            <w:r>
              <w:rPr>
                <w:rFonts w:hint="eastAsia" w:hAnsi="宋体"/>
                <w:szCs w:val="21"/>
              </w:rPr>
              <w:t>10、其它应予说明的事项</w:t>
            </w:r>
            <w:bookmarkEnd w:id="25"/>
            <w:bookmarkEnd w:id="26"/>
            <w:bookmarkEnd w:id="27"/>
            <w:bookmarkEnd w:id="28"/>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adjustRightInd w:val="0"/>
              <w:spacing w:line="360" w:lineRule="auto"/>
              <w:ind w:firstLine="0" w:firstLineChars="0"/>
              <w:contextualSpacing/>
              <w:rPr>
                <w:rFonts w:hint="eastAsia" w:hAnsi="宋体"/>
                <w:szCs w:val="21"/>
              </w:rPr>
            </w:pPr>
            <w:r>
              <w:rPr>
                <w:rFonts w:hint="eastAsia" w:hAnsi="宋体"/>
                <w:szCs w:val="21"/>
              </w:rPr>
              <w:t>无</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altName w:val="微软雅黑"/>
    <w:panose1 w:val="00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PingFang SC-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8A7362"/>
    <w:multiLevelType w:val="singleLevel"/>
    <w:tmpl w:val="B78A7362"/>
    <w:lvl w:ilvl="0" w:tentative="0">
      <w:start w:val="2"/>
      <w:numFmt w:val="chineseCounting"/>
      <w:suff w:val="nothing"/>
      <w:lvlText w:val="（%1）"/>
      <w:lvlJc w:val="left"/>
      <w:rPr>
        <w:rFonts w:hint="eastAsia"/>
      </w:rPr>
    </w:lvl>
  </w:abstractNum>
  <w:abstractNum w:abstractNumId="1">
    <w:nsid w:val="6DBF04F4"/>
    <w:multiLevelType w:val="multilevel"/>
    <w:tmpl w:val="6DBF04F4"/>
    <w:lvl w:ilvl="0" w:tentative="0">
      <w:start w:val="1"/>
      <w:numFmt w:val="none"/>
      <w:pStyle w:val="8"/>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03D"/>
    <w:rsid w:val="00037FE1"/>
    <w:rsid w:val="001F029C"/>
    <w:rsid w:val="00200ABA"/>
    <w:rsid w:val="00394B0D"/>
    <w:rsid w:val="00880BD9"/>
    <w:rsid w:val="009E103D"/>
    <w:rsid w:val="00A71AA7"/>
    <w:rsid w:val="00B94E6C"/>
    <w:rsid w:val="00D52C74"/>
    <w:rsid w:val="00DE2573"/>
    <w:rsid w:val="030E04AB"/>
    <w:rsid w:val="08AB5216"/>
    <w:rsid w:val="0A435460"/>
    <w:rsid w:val="0CD965D6"/>
    <w:rsid w:val="0EAD3FAA"/>
    <w:rsid w:val="24E76918"/>
    <w:rsid w:val="27AC73A1"/>
    <w:rsid w:val="2CF719E3"/>
    <w:rsid w:val="2DDF4704"/>
    <w:rsid w:val="2DED2B23"/>
    <w:rsid w:val="2FB23B46"/>
    <w:rsid w:val="30B15D48"/>
    <w:rsid w:val="35C520C4"/>
    <w:rsid w:val="36E60DA7"/>
    <w:rsid w:val="3E5F118E"/>
    <w:rsid w:val="3E793BA2"/>
    <w:rsid w:val="40CF25AE"/>
    <w:rsid w:val="49184972"/>
    <w:rsid w:val="50696CF8"/>
    <w:rsid w:val="60A251A4"/>
    <w:rsid w:val="65305589"/>
    <w:rsid w:val="74A56579"/>
    <w:rsid w:val="758C00FA"/>
    <w:rsid w:val="797950FF"/>
    <w:rsid w:val="7E4D5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10"/>
    <w:qFormat/>
    <w:uiPriority w:val="0"/>
    <w:pPr>
      <w:adjustRightInd/>
      <w:spacing w:line="590" w:lineRule="exact"/>
      <w:ind w:firstLine="880" w:firstLineChars="200"/>
    </w:pPr>
    <w:rPr>
      <w:rFonts w:eastAsia="方正仿宋_GBK"/>
    </w:rPr>
  </w:style>
  <w:style w:type="paragraph" w:styleId="3">
    <w:name w:val="footer"/>
    <w:basedOn w:val="1"/>
    <w:link w:val="12"/>
    <w:qFormat/>
    <w:uiPriority w:val="0"/>
    <w:pPr>
      <w:tabs>
        <w:tab w:val="center" w:pos="4153"/>
        <w:tab w:val="right" w:pos="8306"/>
      </w:tabs>
      <w:snapToGrid w:val="0"/>
      <w:spacing w:line="240" w:lineRule="atLeast"/>
      <w:jc w:val="left"/>
    </w:pPr>
    <w:rPr>
      <w:sz w:val="18"/>
      <w:szCs w:val="18"/>
    </w:rPr>
  </w:style>
  <w:style w:type="paragraph" w:styleId="4">
    <w:name w:val="header"/>
    <w:basedOn w:val="1"/>
    <w:link w:val="11"/>
    <w:qFormat/>
    <w:uiPriority w:val="0"/>
    <w:pPr>
      <w:tabs>
        <w:tab w:val="center" w:pos="4153"/>
        <w:tab w:val="right" w:pos="8306"/>
      </w:tabs>
      <w:snapToGrid w:val="0"/>
      <w:spacing w:line="240" w:lineRule="atLeast"/>
      <w:jc w:val="center"/>
    </w:pPr>
    <w:rPr>
      <w:sz w:val="18"/>
      <w:szCs w:val="18"/>
    </w:rPr>
  </w:style>
  <w:style w:type="paragraph" w:customStyle="1" w:styleId="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8">
    <w:name w:val="标准文件_注："/>
    <w:next w:val="9"/>
    <w:qFormat/>
    <w:uiPriority w:val="0"/>
    <w:pPr>
      <w:widowControl w:val="0"/>
      <w:numPr>
        <w:ilvl w:val="0"/>
        <w:numId w:val="1"/>
      </w:numPr>
      <w:autoSpaceDE w:val="0"/>
      <w:autoSpaceDN w:val="0"/>
      <w:jc w:val="both"/>
    </w:pPr>
    <w:rPr>
      <w:rFonts w:ascii="宋体" w:hAnsi="Times New Roman" w:eastAsia="宋体" w:cs="Times New Roman"/>
      <w:sz w:val="18"/>
      <w:szCs w:val="18"/>
      <w:lang w:val="en-US" w:eastAsia="zh-CN" w:bidi="ar-SA"/>
    </w:rPr>
  </w:style>
  <w:style w:type="paragraph" w:customStyle="1" w:styleId="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0">
    <w:name w:val="正文文本缩进 2 字符"/>
    <w:basedOn w:val="6"/>
    <w:link w:val="2"/>
    <w:qFormat/>
    <w:uiPriority w:val="0"/>
    <w:rPr>
      <w:rFonts w:ascii="Calibri" w:hAnsi="Calibri" w:eastAsia="方正仿宋_GBK"/>
      <w:kern w:val="2"/>
      <w:sz w:val="21"/>
      <w:szCs w:val="21"/>
    </w:rPr>
  </w:style>
  <w:style w:type="character" w:customStyle="1" w:styleId="11">
    <w:name w:val="页眉 字符"/>
    <w:basedOn w:val="6"/>
    <w:link w:val="4"/>
    <w:uiPriority w:val="0"/>
    <w:rPr>
      <w:rFonts w:ascii="Calibri" w:hAnsi="Calibri"/>
      <w:kern w:val="2"/>
      <w:sz w:val="18"/>
      <w:szCs w:val="18"/>
    </w:rPr>
  </w:style>
  <w:style w:type="character" w:customStyle="1" w:styleId="12">
    <w:name w:val="页脚 字符"/>
    <w:basedOn w:val="6"/>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416</Words>
  <Characters>2377</Characters>
  <Lines>19</Lines>
  <Paragraphs>5</Paragraphs>
  <TotalTime>3</TotalTime>
  <ScaleCrop>false</ScaleCrop>
  <LinksUpToDate>false</LinksUpToDate>
  <CharactersWithSpaces>2788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2024-12-06T03:27:00Z</dcterms:created>
  <dc:creator>Lenovo</dc:creator>
  <cp:lastModifiedBy>风和日丽</cp:lastModifiedBy>
  <dcterms:modified xsi:type="dcterms:W3CDTF">2024-12-06T03:51:49Z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6AA65CECD19C4213A423CCC14CBC8F5A_13</vt:lpwstr>
  </property>
</Properties>
</file>