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华文中宋" w:hAnsi="华文中宋" w:eastAsia="华文中宋"/>
          <w:color w:val="000000"/>
          <w:sz w:val="36"/>
          <w:szCs w:val="36"/>
        </w:rPr>
      </w:pPr>
      <w:r>
        <w:rPr>
          <w:rFonts w:hint="eastAsia" w:ascii="黑体" w:hAnsi="黑体" w:eastAsia="黑体" w:cs="黑体"/>
          <w:color w:val="000000"/>
        </w:rPr>
        <w:t>安徽省地方标准编制说明</w:t>
      </w:r>
    </w:p>
    <w:tbl>
      <w:tblPr>
        <w:tblStyle w:val="4"/>
        <w:tblW w:w="9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1322"/>
        <w:gridCol w:w="3501"/>
        <w:gridCol w:w="879"/>
        <w:gridCol w:w="1122"/>
        <w:gridCol w:w="2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16" w:type="dxa"/>
            <w:gridSpan w:val="2"/>
            <w:vAlign w:val="center"/>
          </w:tcPr>
          <w:p>
            <w:pPr>
              <w:pStyle w:val="7"/>
              <w:adjustRightInd w:val="0"/>
              <w:spacing w:line="360" w:lineRule="auto"/>
              <w:ind w:firstLine="0" w:firstLineChars="0"/>
              <w:contextualSpacing/>
              <w:jc w:val="center"/>
              <w:rPr>
                <w:rFonts w:hAnsi="宋体"/>
                <w:szCs w:val="21"/>
              </w:rPr>
            </w:pPr>
            <w:r>
              <w:rPr>
                <w:rFonts w:hint="eastAsia" w:hAnsi="宋体"/>
                <w:szCs w:val="21"/>
              </w:rPr>
              <w:t>标准名称</w:t>
            </w:r>
          </w:p>
        </w:tc>
        <w:tc>
          <w:tcPr>
            <w:tcW w:w="7554" w:type="dxa"/>
            <w:gridSpan w:val="4"/>
            <w:vAlign w:val="center"/>
          </w:tcPr>
          <w:p>
            <w:pPr>
              <w:pStyle w:val="7"/>
              <w:adjustRightInd w:val="0"/>
              <w:spacing w:line="360" w:lineRule="auto"/>
              <w:ind w:firstLine="0" w:firstLineChars="0"/>
              <w:contextualSpacing/>
              <w:rPr>
                <w:rFonts w:hAnsi="宋体"/>
                <w:szCs w:val="21"/>
              </w:rPr>
            </w:pPr>
            <w:r>
              <w:rPr>
                <w:rFonts w:hint="eastAsia" w:ascii="宋体" w:hAnsi="Times New Roman" w:eastAsia="宋体" w:cs="Times New Roman"/>
                <w:lang w:val="en-US" w:eastAsia="zh-CN"/>
              </w:rPr>
              <w:t>高价值专利培育工作指南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16" w:type="dxa"/>
            <w:gridSpan w:val="2"/>
            <w:vAlign w:val="center"/>
          </w:tcPr>
          <w:p>
            <w:pPr>
              <w:pStyle w:val="7"/>
              <w:adjustRightInd w:val="0"/>
              <w:spacing w:line="360" w:lineRule="auto"/>
              <w:ind w:firstLine="0" w:firstLineChars="0"/>
              <w:contextualSpacing/>
              <w:jc w:val="center"/>
              <w:rPr>
                <w:rFonts w:hAnsi="宋体"/>
                <w:szCs w:val="21"/>
              </w:rPr>
            </w:pPr>
            <w:r>
              <w:rPr>
                <w:rFonts w:hint="eastAsia" w:hAnsi="宋体"/>
                <w:szCs w:val="21"/>
              </w:rPr>
              <w:t>任务来源</w:t>
            </w:r>
          </w:p>
          <w:p>
            <w:pPr>
              <w:pStyle w:val="7"/>
              <w:adjustRightInd w:val="0"/>
              <w:spacing w:line="360" w:lineRule="auto"/>
              <w:ind w:firstLine="0" w:firstLineChars="0"/>
              <w:contextualSpacing/>
              <w:jc w:val="center"/>
              <w:rPr>
                <w:rFonts w:hAnsi="宋体"/>
                <w:szCs w:val="21"/>
              </w:rPr>
            </w:pPr>
            <w:r>
              <w:rPr>
                <w:rFonts w:hint="eastAsia" w:hAnsi="宋体"/>
                <w:szCs w:val="21"/>
              </w:rPr>
              <w:t>（项目计划号）</w:t>
            </w:r>
          </w:p>
        </w:tc>
        <w:tc>
          <w:tcPr>
            <w:tcW w:w="7554" w:type="dxa"/>
            <w:gridSpan w:val="4"/>
            <w:vAlign w:val="center"/>
          </w:tcPr>
          <w:p>
            <w:pPr>
              <w:pStyle w:val="7"/>
              <w:adjustRightInd w:val="0"/>
              <w:spacing w:line="360" w:lineRule="auto"/>
              <w:ind w:firstLine="0" w:firstLineChars="0"/>
              <w:contextualSpacing/>
              <w:rPr>
                <w:rFonts w:hint="eastAsia" w:hAnsi="宋体" w:eastAsia="宋体"/>
                <w:szCs w:val="21"/>
                <w:lang w:val="en-US" w:eastAsia="zh-CN"/>
              </w:rPr>
            </w:pPr>
            <w:r>
              <w:rPr>
                <w:rFonts w:hint="eastAsia" w:hAnsi="宋体"/>
                <w:szCs w:val="21"/>
              </w:rPr>
              <w:t>2024-4-3</w:t>
            </w:r>
            <w:r>
              <w:rPr>
                <w:rFonts w:hint="eastAsia" w:hAnsi="宋体"/>
                <w:szCs w:val="21"/>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16" w:type="dxa"/>
            <w:gridSpan w:val="2"/>
            <w:vAlign w:val="center"/>
          </w:tcPr>
          <w:p>
            <w:pPr>
              <w:pStyle w:val="7"/>
              <w:adjustRightInd w:val="0"/>
              <w:spacing w:line="360" w:lineRule="auto"/>
              <w:ind w:firstLine="0" w:firstLineChars="0"/>
              <w:contextualSpacing/>
              <w:jc w:val="center"/>
              <w:rPr>
                <w:rFonts w:hAnsi="宋体"/>
                <w:szCs w:val="21"/>
              </w:rPr>
            </w:pPr>
            <w:r>
              <w:rPr>
                <w:rFonts w:hint="eastAsia" w:hAnsi="宋体"/>
                <w:szCs w:val="21"/>
              </w:rPr>
              <w:t>第一起草单位</w:t>
            </w:r>
          </w:p>
          <w:p>
            <w:pPr>
              <w:pStyle w:val="7"/>
              <w:adjustRightInd w:val="0"/>
              <w:spacing w:line="360" w:lineRule="auto"/>
              <w:ind w:firstLine="0" w:firstLineChars="0"/>
              <w:contextualSpacing/>
              <w:jc w:val="center"/>
              <w:rPr>
                <w:rFonts w:hAnsi="宋体"/>
                <w:szCs w:val="21"/>
              </w:rPr>
            </w:pPr>
            <w:r>
              <w:rPr>
                <w:rFonts w:hint="eastAsia" w:hAnsi="宋体"/>
                <w:szCs w:val="21"/>
              </w:rPr>
              <w:t>（盖章）</w:t>
            </w:r>
          </w:p>
        </w:tc>
        <w:tc>
          <w:tcPr>
            <w:tcW w:w="7554" w:type="dxa"/>
            <w:gridSpan w:val="4"/>
            <w:vAlign w:val="center"/>
          </w:tcPr>
          <w:p>
            <w:pPr>
              <w:pStyle w:val="7"/>
              <w:adjustRightInd w:val="0"/>
              <w:spacing w:line="360" w:lineRule="auto"/>
              <w:ind w:firstLine="0" w:firstLineChars="0"/>
              <w:contextualSpacing/>
              <w:rPr>
                <w:rFonts w:hAnsi="宋体"/>
                <w:szCs w:val="21"/>
              </w:rPr>
            </w:pPr>
            <w:r>
              <w:rPr>
                <w:rFonts w:hint="eastAsia"/>
              </w:rPr>
              <w:t>安徽省市场监督管理局知识产权运用促进处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16" w:type="dxa"/>
            <w:gridSpan w:val="2"/>
            <w:vAlign w:val="center"/>
          </w:tcPr>
          <w:p>
            <w:pPr>
              <w:pStyle w:val="7"/>
              <w:adjustRightInd w:val="0"/>
              <w:spacing w:line="360" w:lineRule="auto"/>
              <w:ind w:firstLine="0" w:firstLineChars="0"/>
              <w:contextualSpacing/>
              <w:jc w:val="center"/>
              <w:rPr>
                <w:rFonts w:hAnsi="宋体"/>
                <w:szCs w:val="21"/>
              </w:rPr>
            </w:pPr>
            <w:r>
              <w:rPr>
                <w:rFonts w:hint="eastAsia" w:hAnsi="宋体"/>
                <w:szCs w:val="21"/>
              </w:rPr>
              <w:t>单位地址</w:t>
            </w:r>
          </w:p>
        </w:tc>
        <w:tc>
          <w:tcPr>
            <w:tcW w:w="7554" w:type="dxa"/>
            <w:gridSpan w:val="4"/>
            <w:vAlign w:val="center"/>
          </w:tcPr>
          <w:p>
            <w:pPr>
              <w:pStyle w:val="7"/>
              <w:adjustRightInd w:val="0"/>
              <w:spacing w:line="360" w:lineRule="auto"/>
              <w:ind w:firstLine="0" w:firstLineChars="0"/>
              <w:contextualSpacing/>
              <w:rPr>
                <w:rFonts w:hAnsi="宋体"/>
                <w:szCs w:val="21"/>
              </w:rPr>
            </w:pPr>
            <w:r>
              <w:rPr>
                <w:rFonts w:hint="eastAsia" w:hAnsi="宋体"/>
                <w:szCs w:val="21"/>
              </w:rPr>
              <w:t>合肥市包河区延安路13号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16" w:type="dxa"/>
            <w:gridSpan w:val="2"/>
            <w:vAlign w:val="center"/>
          </w:tcPr>
          <w:p>
            <w:pPr>
              <w:pStyle w:val="7"/>
              <w:adjustRightInd w:val="0"/>
              <w:spacing w:line="360" w:lineRule="auto"/>
              <w:ind w:firstLine="0" w:firstLineChars="0"/>
              <w:contextualSpacing/>
              <w:jc w:val="center"/>
              <w:rPr>
                <w:rFonts w:hAnsi="宋体"/>
                <w:szCs w:val="21"/>
              </w:rPr>
            </w:pPr>
            <w:r>
              <w:rPr>
                <w:rFonts w:hint="eastAsia" w:hAnsi="宋体"/>
                <w:szCs w:val="21"/>
              </w:rPr>
              <w:t>参与起草单位</w:t>
            </w:r>
          </w:p>
        </w:tc>
        <w:tc>
          <w:tcPr>
            <w:tcW w:w="7554" w:type="dxa"/>
            <w:gridSpan w:val="4"/>
            <w:vAlign w:val="center"/>
          </w:tcPr>
          <w:p>
            <w:pPr>
              <w:pStyle w:val="7"/>
              <w:adjustRightInd w:val="0"/>
              <w:spacing w:line="360" w:lineRule="auto"/>
              <w:ind w:firstLine="0" w:firstLineChars="0"/>
              <w:contextualSpacing/>
              <w:rPr>
                <w:rFonts w:hint="eastAsia" w:hAnsi="宋体" w:eastAsia="宋体"/>
                <w:szCs w:val="21"/>
                <w:lang w:val="en-US" w:eastAsia="zh-CN"/>
              </w:rPr>
            </w:pPr>
            <w:r>
              <w:rPr>
                <w:rFonts w:hint="eastAsia" w:ascii="宋体" w:hAnsi="Times New Roman" w:eastAsia="宋体" w:cs="Times New Roman"/>
                <w:lang w:val="en-US" w:eastAsia="zh-CN"/>
              </w:rPr>
              <w:t>安徽省市场监督管理局知识产权运用促进处、安徽省知识产权事业发展中心、安徽省知识产权保护中心、安徽省质量和标准化研究院、合肥市市场监督管理局、滁州市市场监督管理局、合肥市知识产权保护中心、合肥工业大学、中建材玻璃新材料研究院集团有限公司、奇瑞汽车股份有限公司、合肥美的电冰箱有限公司、合肥国轩高科动力能源有限公司、阳光电源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7"/>
              <w:adjustRightInd w:val="0"/>
              <w:spacing w:line="360" w:lineRule="auto"/>
              <w:ind w:firstLine="0" w:firstLineChars="0"/>
              <w:contextualSpacing/>
              <w:jc w:val="center"/>
              <w:rPr>
                <w:rFonts w:hAnsi="宋体"/>
                <w:szCs w:val="21"/>
              </w:rPr>
            </w:pPr>
            <w:r>
              <w:rPr>
                <w:rFonts w:hint="eastAsia" w:hAnsi="宋体"/>
                <w:szCs w:val="21"/>
              </w:rPr>
              <w:t>标准起草人</w:t>
            </w:r>
          </w:p>
          <w:p>
            <w:pPr>
              <w:pStyle w:val="7"/>
              <w:adjustRightInd w:val="0"/>
              <w:spacing w:line="360" w:lineRule="auto"/>
              <w:ind w:firstLine="0" w:firstLineChars="0"/>
              <w:contextualSpacing/>
              <w:jc w:val="center"/>
              <w:rPr>
                <w:rFonts w:hAnsi="宋体"/>
                <w:szCs w:val="21"/>
              </w:rPr>
            </w:pPr>
            <w:r>
              <w:rPr>
                <w:rFonts w:hint="eastAsia" w:hAnsi="宋体"/>
                <w:szCs w:val="21"/>
              </w:rPr>
              <w:t>（全部起草人，应与标准文本前言中起草人排序一致）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7"/>
              <w:adjustRightInd w:val="0"/>
              <w:spacing w:line="360" w:lineRule="auto"/>
              <w:ind w:firstLine="0" w:firstLineChars="0"/>
              <w:contextualSpacing/>
              <w:jc w:val="center"/>
              <w:rPr>
                <w:rFonts w:hAnsi="宋体"/>
                <w:szCs w:val="21"/>
              </w:rPr>
            </w:pPr>
            <w:r>
              <w:rPr>
                <w:rFonts w:hint="eastAsia" w:hAnsi="宋体"/>
                <w:szCs w:val="21"/>
              </w:rPr>
              <w:t>序号</w:t>
            </w:r>
          </w:p>
        </w:tc>
        <w:tc>
          <w:tcPr>
            <w:tcW w:w="1322" w:type="dxa"/>
            <w:vAlign w:val="center"/>
          </w:tcPr>
          <w:p>
            <w:pPr>
              <w:pStyle w:val="7"/>
              <w:adjustRightInd w:val="0"/>
              <w:spacing w:line="360" w:lineRule="auto"/>
              <w:ind w:firstLine="0" w:firstLineChars="0"/>
              <w:contextualSpacing/>
              <w:jc w:val="center"/>
              <w:rPr>
                <w:rFonts w:hAnsi="宋体"/>
                <w:szCs w:val="21"/>
              </w:rPr>
            </w:pPr>
            <w:r>
              <w:rPr>
                <w:rFonts w:hint="eastAsia" w:hAnsi="宋体"/>
                <w:szCs w:val="21"/>
              </w:rPr>
              <w:t>姓名</w:t>
            </w:r>
          </w:p>
        </w:tc>
        <w:tc>
          <w:tcPr>
            <w:tcW w:w="3501" w:type="dxa"/>
            <w:vAlign w:val="center"/>
          </w:tcPr>
          <w:p>
            <w:pPr>
              <w:pStyle w:val="7"/>
              <w:adjustRightInd w:val="0"/>
              <w:spacing w:line="360" w:lineRule="auto"/>
              <w:ind w:firstLine="0" w:firstLineChars="0"/>
              <w:contextualSpacing/>
              <w:jc w:val="center"/>
              <w:rPr>
                <w:rFonts w:hAnsi="宋体"/>
                <w:szCs w:val="21"/>
              </w:rPr>
            </w:pPr>
            <w:r>
              <w:rPr>
                <w:rFonts w:hint="eastAsia" w:hAnsi="宋体"/>
                <w:szCs w:val="21"/>
              </w:rPr>
              <w:t>单位</w:t>
            </w:r>
          </w:p>
        </w:tc>
        <w:tc>
          <w:tcPr>
            <w:tcW w:w="879" w:type="dxa"/>
            <w:vAlign w:val="center"/>
          </w:tcPr>
          <w:p>
            <w:pPr>
              <w:pStyle w:val="7"/>
              <w:adjustRightInd w:val="0"/>
              <w:spacing w:line="360" w:lineRule="auto"/>
              <w:ind w:firstLine="0" w:firstLineChars="0"/>
              <w:contextualSpacing/>
              <w:jc w:val="center"/>
              <w:rPr>
                <w:rFonts w:hAnsi="宋体"/>
                <w:szCs w:val="21"/>
              </w:rPr>
            </w:pPr>
            <w:r>
              <w:rPr>
                <w:rFonts w:hint="eastAsia" w:hAnsi="宋体"/>
                <w:szCs w:val="21"/>
              </w:rPr>
              <w:t>职务</w:t>
            </w:r>
          </w:p>
        </w:tc>
        <w:tc>
          <w:tcPr>
            <w:tcW w:w="1122" w:type="dxa"/>
            <w:vAlign w:val="center"/>
          </w:tcPr>
          <w:p>
            <w:pPr>
              <w:pStyle w:val="7"/>
              <w:adjustRightInd w:val="0"/>
              <w:spacing w:line="360" w:lineRule="auto"/>
              <w:ind w:firstLine="0" w:firstLineChars="0"/>
              <w:contextualSpacing/>
              <w:jc w:val="center"/>
              <w:rPr>
                <w:rFonts w:hAnsi="宋体"/>
                <w:szCs w:val="21"/>
              </w:rPr>
            </w:pPr>
            <w:r>
              <w:rPr>
                <w:rFonts w:hint="eastAsia" w:hAnsi="宋体"/>
                <w:szCs w:val="21"/>
              </w:rPr>
              <w:t>职称</w:t>
            </w:r>
          </w:p>
        </w:tc>
        <w:tc>
          <w:tcPr>
            <w:tcW w:w="2052" w:type="dxa"/>
            <w:vAlign w:val="center"/>
          </w:tcPr>
          <w:p>
            <w:pPr>
              <w:pStyle w:val="7"/>
              <w:adjustRightInd w:val="0"/>
              <w:spacing w:line="360" w:lineRule="auto"/>
              <w:ind w:firstLine="0" w:firstLineChars="0"/>
              <w:contextualSpacing/>
              <w:jc w:val="center"/>
              <w:rPr>
                <w:rFonts w:hAnsi="宋体"/>
                <w:szCs w:val="21"/>
              </w:rPr>
            </w:pPr>
            <w:r>
              <w:rPr>
                <w:rFonts w:hint="eastAsia" w:hAnsi="宋体"/>
                <w:szCs w:val="21"/>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7"/>
              <w:adjustRightInd w:val="0"/>
              <w:spacing w:line="360" w:lineRule="auto"/>
              <w:ind w:firstLine="0" w:firstLineChars="0"/>
              <w:contextualSpacing/>
              <w:rPr>
                <w:rFonts w:hAnsi="宋体"/>
                <w:szCs w:val="21"/>
              </w:rPr>
            </w:pPr>
          </w:p>
        </w:tc>
        <w:tc>
          <w:tcPr>
            <w:tcW w:w="1322" w:type="dxa"/>
            <w:vAlign w:val="center"/>
          </w:tcPr>
          <w:p>
            <w:pPr>
              <w:pStyle w:val="7"/>
              <w:adjustRightInd w:val="0"/>
              <w:spacing w:line="360" w:lineRule="auto"/>
              <w:ind w:firstLine="0" w:firstLineChars="0"/>
              <w:contextualSpacing/>
              <w:rPr>
                <w:rFonts w:hAnsi="宋体"/>
                <w:szCs w:val="21"/>
              </w:rPr>
            </w:pPr>
          </w:p>
        </w:tc>
        <w:tc>
          <w:tcPr>
            <w:tcW w:w="3501" w:type="dxa"/>
            <w:vAlign w:val="center"/>
          </w:tcPr>
          <w:p>
            <w:pPr>
              <w:pStyle w:val="7"/>
              <w:adjustRightInd w:val="0"/>
              <w:spacing w:line="360" w:lineRule="auto"/>
              <w:ind w:firstLine="0" w:firstLineChars="0"/>
              <w:contextualSpacing/>
              <w:rPr>
                <w:rFonts w:hAnsi="宋体"/>
                <w:szCs w:val="21"/>
              </w:rPr>
            </w:pPr>
          </w:p>
        </w:tc>
        <w:tc>
          <w:tcPr>
            <w:tcW w:w="879" w:type="dxa"/>
            <w:vAlign w:val="center"/>
          </w:tcPr>
          <w:p>
            <w:pPr>
              <w:pStyle w:val="7"/>
              <w:adjustRightInd w:val="0"/>
              <w:spacing w:line="360" w:lineRule="auto"/>
              <w:ind w:firstLine="0" w:firstLineChars="0"/>
              <w:contextualSpacing/>
              <w:rPr>
                <w:rFonts w:hAnsi="宋体"/>
                <w:szCs w:val="21"/>
              </w:rPr>
            </w:pPr>
          </w:p>
        </w:tc>
        <w:tc>
          <w:tcPr>
            <w:tcW w:w="1122" w:type="dxa"/>
            <w:vAlign w:val="center"/>
          </w:tcPr>
          <w:p>
            <w:pPr>
              <w:pStyle w:val="7"/>
              <w:adjustRightInd w:val="0"/>
              <w:spacing w:line="360" w:lineRule="auto"/>
              <w:ind w:firstLine="0" w:firstLineChars="0"/>
              <w:contextualSpacing/>
              <w:rPr>
                <w:rFonts w:hAnsi="宋体"/>
                <w:szCs w:val="21"/>
              </w:rPr>
            </w:pPr>
          </w:p>
        </w:tc>
        <w:tc>
          <w:tcPr>
            <w:tcW w:w="2052" w:type="dxa"/>
            <w:vAlign w:val="center"/>
          </w:tcPr>
          <w:p>
            <w:pPr>
              <w:pStyle w:val="7"/>
              <w:adjustRightInd w:val="0"/>
              <w:spacing w:line="360" w:lineRule="auto"/>
              <w:ind w:firstLine="0" w:firstLineChars="0"/>
              <w:contextualSpacing/>
              <w:rPr>
                <w:rFonts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7"/>
              <w:adjustRightInd w:val="0"/>
              <w:spacing w:line="360" w:lineRule="auto"/>
              <w:ind w:firstLine="0" w:firstLineChars="0"/>
              <w:contextualSpacing/>
              <w:rPr>
                <w:rFonts w:hAnsi="宋体"/>
                <w:szCs w:val="21"/>
              </w:rPr>
            </w:pPr>
          </w:p>
        </w:tc>
        <w:tc>
          <w:tcPr>
            <w:tcW w:w="1322" w:type="dxa"/>
            <w:vAlign w:val="center"/>
          </w:tcPr>
          <w:p>
            <w:pPr>
              <w:pStyle w:val="7"/>
              <w:adjustRightInd w:val="0"/>
              <w:spacing w:line="360" w:lineRule="auto"/>
              <w:ind w:firstLine="0" w:firstLineChars="0"/>
              <w:contextualSpacing/>
              <w:rPr>
                <w:rFonts w:hAnsi="宋体"/>
                <w:szCs w:val="21"/>
              </w:rPr>
            </w:pPr>
          </w:p>
        </w:tc>
        <w:tc>
          <w:tcPr>
            <w:tcW w:w="3501" w:type="dxa"/>
            <w:vAlign w:val="center"/>
          </w:tcPr>
          <w:p>
            <w:pPr>
              <w:pStyle w:val="7"/>
              <w:adjustRightInd w:val="0"/>
              <w:spacing w:line="360" w:lineRule="auto"/>
              <w:ind w:firstLine="0" w:firstLineChars="0"/>
              <w:contextualSpacing/>
              <w:rPr>
                <w:rFonts w:hAnsi="宋体"/>
                <w:szCs w:val="21"/>
              </w:rPr>
            </w:pPr>
          </w:p>
        </w:tc>
        <w:tc>
          <w:tcPr>
            <w:tcW w:w="879" w:type="dxa"/>
            <w:vAlign w:val="center"/>
          </w:tcPr>
          <w:p>
            <w:pPr>
              <w:pStyle w:val="7"/>
              <w:adjustRightInd w:val="0"/>
              <w:spacing w:line="360" w:lineRule="auto"/>
              <w:ind w:firstLine="0" w:firstLineChars="0"/>
              <w:contextualSpacing/>
              <w:rPr>
                <w:rFonts w:hAnsi="宋体"/>
                <w:szCs w:val="21"/>
              </w:rPr>
            </w:pPr>
          </w:p>
        </w:tc>
        <w:tc>
          <w:tcPr>
            <w:tcW w:w="1122" w:type="dxa"/>
            <w:vAlign w:val="center"/>
          </w:tcPr>
          <w:p>
            <w:pPr>
              <w:pStyle w:val="7"/>
              <w:adjustRightInd w:val="0"/>
              <w:spacing w:line="360" w:lineRule="auto"/>
              <w:ind w:firstLine="0" w:firstLineChars="0"/>
              <w:contextualSpacing/>
              <w:rPr>
                <w:rFonts w:hAnsi="宋体"/>
                <w:szCs w:val="21"/>
              </w:rPr>
            </w:pPr>
          </w:p>
        </w:tc>
        <w:tc>
          <w:tcPr>
            <w:tcW w:w="2052" w:type="dxa"/>
            <w:vAlign w:val="center"/>
          </w:tcPr>
          <w:p>
            <w:pPr>
              <w:pStyle w:val="7"/>
              <w:adjustRightInd w:val="0"/>
              <w:spacing w:line="360" w:lineRule="auto"/>
              <w:ind w:firstLine="0" w:firstLineChars="0"/>
              <w:contextualSpacing/>
              <w:rPr>
                <w:rFonts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7"/>
              <w:adjustRightInd w:val="0"/>
              <w:spacing w:line="360" w:lineRule="auto"/>
              <w:ind w:firstLine="0" w:firstLineChars="0"/>
              <w:contextualSpacing/>
              <w:rPr>
                <w:rFonts w:hAnsi="宋体"/>
                <w:szCs w:val="21"/>
              </w:rPr>
            </w:pPr>
          </w:p>
        </w:tc>
        <w:tc>
          <w:tcPr>
            <w:tcW w:w="1322" w:type="dxa"/>
            <w:vAlign w:val="center"/>
          </w:tcPr>
          <w:p>
            <w:pPr>
              <w:pStyle w:val="7"/>
              <w:adjustRightInd w:val="0"/>
              <w:spacing w:line="360" w:lineRule="auto"/>
              <w:ind w:firstLine="0" w:firstLineChars="0"/>
              <w:contextualSpacing/>
              <w:rPr>
                <w:rFonts w:hAnsi="宋体"/>
                <w:szCs w:val="21"/>
              </w:rPr>
            </w:pPr>
          </w:p>
        </w:tc>
        <w:tc>
          <w:tcPr>
            <w:tcW w:w="3501" w:type="dxa"/>
            <w:vAlign w:val="center"/>
          </w:tcPr>
          <w:p>
            <w:pPr>
              <w:pStyle w:val="7"/>
              <w:adjustRightInd w:val="0"/>
              <w:spacing w:line="360" w:lineRule="auto"/>
              <w:ind w:firstLine="0" w:firstLineChars="0"/>
              <w:contextualSpacing/>
              <w:rPr>
                <w:rFonts w:hAnsi="宋体"/>
                <w:szCs w:val="21"/>
              </w:rPr>
            </w:pPr>
          </w:p>
        </w:tc>
        <w:tc>
          <w:tcPr>
            <w:tcW w:w="879" w:type="dxa"/>
            <w:vAlign w:val="center"/>
          </w:tcPr>
          <w:p>
            <w:pPr>
              <w:pStyle w:val="7"/>
              <w:adjustRightInd w:val="0"/>
              <w:spacing w:line="360" w:lineRule="auto"/>
              <w:ind w:firstLine="0" w:firstLineChars="0"/>
              <w:contextualSpacing/>
              <w:rPr>
                <w:rFonts w:hAnsi="宋体"/>
                <w:szCs w:val="21"/>
              </w:rPr>
            </w:pPr>
          </w:p>
        </w:tc>
        <w:tc>
          <w:tcPr>
            <w:tcW w:w="1122" w:type="dxa"/>
            <w:vAlign w:val="center"/>
          </w:tcPr>
          <w:p>
            <w:pPr>
              <w:pStyle w:val="7"/>
              <w:adjustRightInd w:val="0"/>
              <w:spacing w:line="360" w:lineRule="auto"/>
              <w:ind w:firstLine="0" w:firstLineChars="0"/>
              <w:contextualSpacing/>
              <w:rPr>
                <w:rFonts w:hAnsi="宋体"/>
                <w:szCs w:val="21"/>
              </w:rPr>
            </w:pPr>
          </w:p>
        </w:tc>
        <w:tc>
          <w:tcPr>
            <w:tcW w:w="2052" w:type="dxa"/>
            <w:vAlign w:val="center"/>
          </w:tcPr>
          <w:p>
            <w:pPr>
              <w:pStyle w:val="7"/>
              <w:adjustRightInd w:val="0"/>
              <w:spacing w:line="360" w:lineRule="auto"/>
              <w:ind w:firstLine="0" w:firstLineChars="0"/>
              <w:contextualSpacing/>
              <w:rPr>
                <w:rFonts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7"/>
              <w:adjustRightInd w:val="0"/>
              <w:spacing w:line="360" w:lineRule="auto"/>
              <w:ind w:firstLine="0" w:firstLineChars="0"/>
              <w:contextualSpacing/>
              <w:rPr>
                <w:rFonts w:hAnsi="宋体"/>
                <w:szCs w:val="21"/>
              </w:rPr>
            </w:pPr>
          </w:p>
        </w:tc>
        <w:tc>
          <w:tcPr>
            <w:tcW w:w="1322" w:type="dxa"/>
            <w:vAlign w:val="center"/>
          </w:tcPr>
          <w:p>
            <w:pPr>
              <w:pStyle w:val="7"/>
              <w:adjustRightInd w:val="0"/>
              <w:spacing w:line="360" w:lineRule="auto"/>
              <w:ind w:firstLine="0" w:firstLineChars="0"/>
              <w:contextualSpacing/>
              <w:rPr>
                <w:rFonts w:hAnsi="宋体"/>
                <w:szCs w:val="21"/>
              </w:rPr>
            </w:pPr>
          </w:p>
        </w:tc>
        <w:tc>
          <w:tcPr>
            <w:tcW w:w="3501" w:type="dxa"/>
            <w:vAlign w:val="center"/>
          </w:tcPr>
          <w:p>
            <w:pPr>
              <w:pStyle w:val="7"/>
              <w:adjustRightInd w:val="0"/>
              <w:spacing w:line="360" w:lineRule="auto"/>
              <w:ind w:firstLine="0" w:firstLineChars="0"/>
              <w:contextualSpacing/>
              <w:rPr>
                <w:rFonts w:hAnsi="宋体"/>
                <w:szCs w:val="21"/>
              </w:rPr>
            </w:pPr>
          </w:p>
        </w:tc>
        <w:tc>
          <w:tcPr>
            <w:tcW w:w="879" w:type="dxa"/>
            <w:vAlign w:val="center"/>
          </w:tcPr>
          <w:p>
            <w:pPr>
              <w:pStyle w:val="7"/>
              <w:adjustRightInd w:val="0"/>
              <w:spacing w:line="360" w:lineRule="auto"/>
              <w:ind w:firstLine="0" w:firstLineChars="0"/>
              <w:contextualSpacing/>
              <w:rPr>
                <w:rFonts w:hAnsi="宋体"/>
                <w:szCs w:val="21"/>
              </w:rPr>
            </w:pPr>
          </w:p>
        </w:tc>
        <w:tc>
          <w:tcPr>
            <w:tcW w:w="1122" w:type="dxa"/>
            <w:vAlign w:val="center"/>
          </w:tcPr>
          <w:p>
            <w:pPr>
              <w:pStyle w:val="7"/>
              <w:adjustRightInd w:val="0"/>
              <w:spacing w:line="360" w:lineRule="auto"/>
              <w:ind w:firstLine="0" w:firstLineChars="0"/>
              <w:contextualSpacing/>
              <w:rPr>
                <w:rFonts w:hAnsi="宋体"/>
                <w:szCs w:val="21"/>
              </w:rPr>
            </w:pPr>
          </w:p>
        </w:tc>
        <w:tc>
          <w:tcPr>
            <w:tcW w:w="2052" w:type="dxa"/>
            <w:vAlign w:val="center"/>
          </w:tcPr>
          <w:p>
            <w:pPr>
              <w:pStyle w:val="7"/>
              <w:adjustRightInd w:val="0"/>
              <w:spacing w:line="360" w:lineRule="auto"/>
              <w:ind w:firstLine="0" w:firstLineChars="0"/>
              <w:contextualSpacing/>
              <w:rPr>
                <w:rFonts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7"/>
              <w:adjustRightInd w:val="0"/>
              <w:spacing w:line="360" w:lineRule="auto"/>
              <w:ind w:firstLine="0" w:firstLineChars="0"/>
              <w:contextualSpacing/>
              <w:rPr>
                <w:rFonts w:hAnsi="宋体"/>
                <w:szCs w:val="21"/>
              </w:rPr>
            </w:pPr>
          </w:p>
        </w:tc>
        <w:tc>
          <w:tcPr>
            <w:tcW w:w="1322" w:type="dxa"/>
            <w:vAlign w:val="center"/>
          </w:tcPr>
          <w:p>
            <w:pPr>
              <w:pStyle w:val="7"/>
              <w:adjustRightInd w:val="0"/>
              <w:spacing w:line="360" w:lineRule="auto"/>
              <w:ind w:firstLine="0" w:firstLineChars="0"/>
              <w:contextualSpacing/>
              <w:rPr>
                <w:rFonts w:hAnsi="宋体"/>
                <w:szCs w:val="21"/>
              </w:rPr>
            </w:pPr>
          </w:p>
        </w:tc>
        <w:tc>
          <w:tcPr>
            <w:tcW w:w="3501" w:type="dxa"/>
            <w:vAlign w:val="center"/>
          </w:tcPr>
          <w:p>
            <w:pPr>
              <w:pStyle w:val="7"/>
              <w:adjustRightInd w:val="0"/>
              <w:spacing w:line="360" w:lineRule="auto"/>
              <w:ind w:firstLine="0" w:firstLineChars="0"/>
              <w:contextualSpacing/>
              <w:rPr>
                <w:rFonts w:hAnsi="宋体"/>
                <w:szCs w:val="21"/>
              </w:rPr>
            </w:pPr>
          </w:p>
        </w:tc>
        <w:tc>
          <w:tcPr>
            <w:tcW w:w="879" w:type="dxa"/>
            <w:vAlign w:val="center"/>
          </w:tcPr>
          <w:p>
            <w:pPr>
              <w:pStyle w:val="7"/>
              <w:adjustRightInd w:val="0"/>
              <w:spacing w:line="360" w:lineRule="auto"/>
              <w:ind w:firstLine="0" w:firstLineChars="0"/>
              <w:contextualSpacing/>
              <w:rPr>
                <w:rFonts w:hAnsi="宋体"/>
                <w:szCs w:val="21"/>
              </w:rPr>
            </w:pPr>
          </w:p>
        </w:tc>
        <w:tc>
          <w:tcPr>
            <w:tcW w:w="1122" w:type="dxa"/>
            <w:vAlign w:val="center"/>
          </w:tcPr>
          <w:p>
            <w:pPr>
              <w:pStyle w:val="7"/>
              <w:adjustRightInd w:val="0"/>
              <w:spacing w:line="360" w:lineRule="auto"/>
              <w:ind w:firstLine="0" w:firstLineChars="0"/>
              <w:contextualSpacing/>
              <w:rPr>
                <w:rFonts w:hAnsi="宋体"/>
                <w:szCs w:val="21"/>
              </w:rPr>
            </w:pPr>
          </w:p>
        </w:tc>
        <w:tc>
          <w:tcPr>
            <w:tcW w:w="2052" w:type="dxa"/>
            <w:vAlign w:val="center"/>
          </w:tcPr>
          <w:p>
            <w:pPr>
              <w:pStyle w:val="7"/>
              <w:adjustRightInd w:val="0"/>
              <w:spacing w:line="360" w:lineRule="auto"/>
              <w:ind w:firstLine="0" w:firstLineChars="0"/>
              <w:contextualSpacing/>
              <w:rPr>
                <w:rFonts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7"/>
              <w:adjustRightInd w:val="0"/>
              <w:spacing w:line="360" w:lineRule="auto"/>
              <w:ind w:firstLine="0" w:firstLineChars="0"/>
              <w:contextualSpacing/>
              <w:jc w:val="center"/>
              <w:rPr>
                <w:rFonts w:hAnsi="宋体"/>
                <w:szCs w:val="21"/>
              </w:rPr>
            </w:pPr>
            <w:r>
              <w:rPr>
                <w:rFonts w:hint="eastAsia" w:hAnsi="宋体"/>
                <w:szCs w:val="21"/>
              </w:rPr>
              <w:t>编制情况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7"/>
              <w:adjustRightInd w:val="0"/>
              <w:spacing w:line="360" w:lineRule="auto"/>
              <w:ind w:firstLine="0" w:firstLineChars="0"/>
              <w:contextualSpacing/>
              <w:rPr>
                <w:rFonts w:hAnsi="宋体"/>
                <w:szCs w:val="21"/>
              </w:rPr>
            </w:pPr>
            <w:r>
              <w:rPr>
                <w:rFonts w:hint="eastAsia" w:hAnsi="宋体"/>
                <w:szCs w:val="21"/>
              </w:rPr>
              <w:t>1、编制过程简介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2024年3月，在安徽省市场监督管理局的指导下，项目成立了前期项目组，项目组主要由安徽省市场监督管理局知识产权运用促进处、安徽省质量和标准化研究院相关人员组成，项目初步确定了参与研究单位：安徽省知识产权事业发展中心、安徽省知识产权保护中心、安徽省质量和标准化研究院、合肥市市场监督管理局、滁州市市场监督管理局、合肥市知识产权保护中心、合肥工业大学、中建材玻璃新材料研究院集团有限公司、奇瑞汽车股份有限公司、合肥美的电冰箱有限公司、合肥国轩高科动力能源有限公司、阳光电源股份有限公司。</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2024年4月-5月，项目组搜集了其他省份在知识产权保护、运用、管理和服务等方面的政策文件、工作指南、案例分析等资料，归纳出核心要点和关键指标。同时整理和梳理了安徽省在此方面的相关政策文件和前期工作成果。按照《安徽省地方标准管理办法》等相关文件要求，项目组编制了地方标准申报材料，包括标准草案、申报书、项目汇报材料等，联系了相关的参与单位，完成了地方标准立项申请。</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2024年6月-9月项目组前往相关企业开展了项目调研，并召开了工作讨论会，结合安徽省知识产权强省建设纲要等相关资料完善了标准草案。</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2024年10月25日，标准进行了省市场监督管理局组织的立项答辩。10月28日，标准通过答辩，在2024年第8批安徽省地方标准制修订公示计划项目名单中。</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2024年11月18日，在安徽省质量和标准化研究院召开了项目研讨会，参加会议的有合肥工业大学、合肥大学、中科大知识产权研究院、警官职业学院、省知识产权研究会等单位的专家，专家就标准的框架、主体内容、重点要求等给出了完善建议，为标准草案的科学性和可操作性奠定了基础。</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2024年12月3日，省市场监督管理局发布《关于下达2024年第四批安徽省地方标准制修订计划的通知》，标准正式立项（项目计划号：2024-4-39）。</w:t>
            </w:r>
          </w:p>
          <w:p>
            <w:pPr>
              <w:pStyle w:val="7"/>
              <w:adjustRightInd w:val="0"/>
              <w:spacing w:line="360" w:lineRule="auto"/>
              <w:contextualSpacing/>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征求意见情况：XXXX年XX月，由工作组牵头负责通过网站、会议等方式公开征求意见，共向XX个有关行业单位、科研院所、大专院校及有代表性的标准利益方发函征求意见。截止XXXX年XX月，征求意见共收到X家单位XX条意见，最终XX条采纳，XX条未采纳。…</w:t>
            </w:r>
          </w:p>
          <w:p>
            <w:pPr>
              <w:pStyle w:val="7"/>
              <w:adjustRightInd w:val="0"/>
              <w:spacing w:line="360" w:lineRule="auto"/>
              <w:contextualSpacing/>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审查情况：XXXX年XX月XX日，XXXXX在XX组织召开了《XXXXXX》地方标准审查会，来自XXXX等单位专家组成审查专家组。专家委员会认真听取了编制单位的汇报，审阅了相关材料，经质询和讨论，提出了XX条修改建议，并一致认为，XXXXXXXXXXXXXXX…,建议修改完善后报批。</w:t>
            </w:r>
          </w:p>
          <w:p>
            <w:pPr>
              <w:pStyle w:val="7"/>
              <w:adjustRightInd w:val="0"/>
              <w:spacing w:line="360" w:lineRule="auto"/>
              <w:contextualSpacing/>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报批情况：工作组根据审查意见对标准送审稿作了修改和完善，于XXXX年XX月形成标准报批稿、编制说明及其它相关文件，报至XXXXXXXX。</w:t>
            </w:r>
          </w:p>
          <w:p>
            <w:pPr>
              <w:pStyle w:val="7"/>
              <w:adjustRightInd w:val="0"/>
              <w:spacing w:line="360" w:lineRule="auto"/>
              <w:contextualSpacing/>
              <w:rPr>
                <w:rFonts w:hAnsi="宋体"/>
                <w:szCs w:val="21"/>
              </w:rPr>
            </w:pPr>
            <w:r>
              <w:rPr>
                <w:rFonts w:hint="eastAsia" w:ascii="宋体" w:hAnsi="宋体" w:eastAsia="宋体" w:cs="Times New Roman"/>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7"/>
              <w:adjustRightInd w:val="0"/>
              <w:spacing w:line="360" w:lineRule="auto"/>
              <w:ind w:firstLine="0" w:firstLineChars="0"/>
              <w:contextualSpacing/>
              <w:rPr>
                <w:rFonts w:hAnsi="宋体"/>
                <w:szCs w:val="21"/>
              </w:rPr>
            </w:pPr>
            <w:r>
              <w:rPr>
                <w:rFonts w:hint="eastAsia" w:hAnsi="宋体"/>
                <w:szCs w:val="21"/>
              </w:rPr>
              <w:t>2、制定标准的必要性和意义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spacing w:line="360" w:lineRule="auto"/>
              <w:ind w:firstLine="420" w:firstLineChars="200"/>
              <w:rPr>
                <w:rFonts w:hint="eastAsia" w:ascii="宋体" w:hAnsi="宋体" w:eastAsia="宋体" w:cs="Times New Roman"/>
                <w:kern w:val="0"/>
                <w:sz w:val="21"/>
                <w:szCs w:val="21"/>
                <w:lang w:val="en-US" w:eastAsia="zh-CN" w:bidi="ar-SA"/>
              </w:rPr>
            </w:pPr>
            <w:r>
              <w:rPr>
                <w:rFonts w:hint="eastAsia" w:ascii="宋体" w:hAnsi="宋体" w:eastAsia="宋体" w:cs="Times New Roman"/>
                <w:kern w:val="0"/>
                <w:sz w:val="21"/>
                <w:szCs w:val="21"/>
                <w:lang w:val="en-US" w:eastAsia="zh-CN" w:bidi="ar-SA"/>
              </w:rPr>
              <w:t>必要性：</w:t>
            </w:r>
          </w:p>
          <w:p>
            <w:pPr>
              <w:spacing w:line="360" w:lineRule="auto"/>
              <w:ind w:firstLine="420" w:firstLineChars="200"/>
              <w:rPr>
                <w:rFonts w:hint="eastAsia" w:ascii="宋体" w:hAnsi="宋体" w:eastAsia="宋体" w:cs="Times New Roman"/>
                <w:kern w:val="0"/>
                <w:sz w:val="21"/>
                <w:szCs w:val="21"/>
                <w:lang w:val="en-US" w:eastAsia="zh-CN" w:bidi="ar-SA"/>
              </w:rPr>
            </w:pPr>
            <w:r>
              <w:rPr>
                <w:rFonts w:hint="eastAsia" w:ascii="宋体" w:hAnsi="宋体" w:eastAsia="宋体" w:cs="Times New Roman"/>
                <w:kern w:val="0"/>
                <w:sz w:val="21"/>
                <w:szCs w:val="21"/>
                <w:lang w:val="en-US" w:eastAsia="zh-CN" w:bidi="ar-SA"/>
              </w:rPr>
              <w:t>当前我国经济已由高速增长阶段转向高质量发展阶段，推动高质量发展是保持经济持续健康发展的必然要求，知识产权作为国家发展战略性资源和国际竞争力核心要素的作用更加凸显。我国是知识产权大国，但还不是知识产权强国，主要问题在于以专</w:t>
            </w:r>
            <w:bookmarkStart w:id="30" w:name="_GoBack"/>
            <w:bookmarkEnd w:id="30"/>
            <w:r>
              <w:rPr>
                <w:rFonts w:hint="eastAsia" w:ascii="宋体" w:hAnsi="宋体" w:eastAsia="宋体" w:cs="Times New Roman"/>
                <w:kern w:val="0"/>
                <w:sz w:val="21"/>
                <w:szCs w:val="21"/>
                <w:lang w:val="en-US" w:eastAsia="zh-CN" w:bidi="ar-SA"/>
              </w:rPr>
              <w:t>利为主的知识产权质量总体不高，高价值专利还不多。因此，培育高价值专利不仅是构建知识产权运营体系、提升知识产权运用水平的现实选择，也是深入实施创新驱动发展战略和推动高质量发展的客观要求。《中华人民共和国国民经济和社会发展第十四个五年规划和2035年远景目标纲要》首次将“每万人口高价值发明专利拥有量”纳入经济社会发展主要指标，并明确到2025年达到12件的预期目标。</w:t>
            </w:r>
          </w:p>
          <w:p>
            <w:pPr>
              <w:spacing w:line="360" w:lineRule="auto"/>
              <w:ind w:firstLine="420" w:firstLineChars="200"/>
              <w:rPr>
                <w:rFonts w:hint="default" w:ascii="宋体" w:hAnsi="宋体" w:eastAsia="宋体" w:cs="Times New Roman"/>
                <w:kern w:val="0"/>
                <w:sz w:val="21"/>
                <w:szCs w:val="21"/>
                <w:lang w:val="en-US" w:eastAsia="zh-CN" w:bidi="ar-SA"/>
              </w:rPr>
            </w:pPr>
            <w:r>
              <w:rPr>
                <w:rFonts w:hint="eastAsia" w:ascii="宋体" w:hAnsi="宋体" w:eastAsia="宋体" w:cs="Times New Roman"/>
                <w:kern w:val="0"/>
                <w:sz w:val="21"/>
                <w:szCs w:val="21"/>
                <w:lang w:val="en-US" w:eastAsia="zh-CN" w:bidi="ar-SA"/>
              </w:rPr>
              <w:t>意义：</w:t>
            </w:r>
          </w:p>
          <w:p>
            <w:pPr>
              <w:spacing w:line="360" w:lineRule="auto"/>
              <w:ind w:firstLine="420" w:firstLineChars="200"/>
              <w:rPr>
                <w:rFonts w:hint="eastAsia" w:eastAsia="等线" w:cs="等线"/>
                <w:color w:val="000000"/>
                <w:sz w:val="21"/>
                <w:szCs w:val="21"/>
                <w:lang w:val="en-US" w:eastAsia="zh-CN"/>
              </w:rPr>
            </w:pPr>
            <w:r>
              <w:rPr>
                <w:rFonts w:hint="eastAsia" w:ascii="宋体" w:hAnsi="宋体" w:eastAsia="宋体" w:cs="Times New Roman"/>
                <w:kern w:val="0"/>
                <w:sz w:val="21"/>
                <w:szCs w:val="21"/>
                <w:lang w:val="en-US" w:eastAsia="zh-CN" w:bidi="ar-SA"/>
              </w:rPr>
              <w:t>高价值发明专利作为在战略性新兴产业和特色优势产业中形成的具有较强前瞻性、能够引领产业发展、有较高市场价值的高质量高水准专利或者专利组合。高价值专利的培育工作，有利于引导创新主体和市场主体更加注重专利质量和效益，聚焦核心关键技术领域，促进专利转化运用，进一步加强海外专利布局，从而提升经济竞争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7"/>
              <w:adjustRightInd w:val="0"/>
              <w:spacing w:line="360" w:lineRule="auto"/>
              <w:ind w:firstLine="0" w:firstLineChars="0"/>
              <w:contextualSpacing/>
              <w:rPr>
                <w:rFonts w:hAnsi="宋体"/>
                <w:szCs w:val="21"/>
              </w:rPr>
            </w:pPr>
            <w:r>
              <w:rPr>
                <w:rFonts w:hint="eastAsia" w:hAnsi="宋体"/>
                <w:szCs w:val="21"/>
              </w:rPr>
              <w:t>3、制定标准的原则和依据，与现行法律法规、标准的关系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7"/>
              <w:keepNext w:val="0"/>
              <w:keepLines w:val="0"/>
              <w:pageBreakBefore w:val="0"/>
              <w:widowControl/>
              <w:kinsoku/>
              <w:wordWrap/>
              <w:overflowPunct/>
              <w:topLinePunct w:val="0"/>
              <w:autoSpaceDE w:val="0"/>
              <w:autoSpaceDN w:val="0"/>
              <w:bidi w:val="0"/>
              <w:adjustRightInd w:val="0"/>
              <w:snapToGrid/>
              <w:spacing w:line="360" w:lineRule="auto"/>
              <w:contextualSpacing/>
              <w:textAlignment w:val="auto"/>
              <w:rPr>
                <w:rFonts w:hint="eastAsia" w:ascii="宋体" w:hAnsi="宋体" w:eastAsia="宋体" w:cs="Times New Roman"/>
                <w:kern w:val="0"/>
                <w:sz w:val="21"/>
                <w:szCs w:val="21"/>
                <w:lang w:val="en-US" w:eastAsia="zh-CN" w:bidi="ar-SA"/>
              </w:rPr>
            </w:pPr>
            <w:r>
              <w:rPr>
                <w:rFonts w:hint="eastAsia" w:ascii="宋体" w:hAnsi="宋体" w:eastAsia="宋体" w:cs="Times New Roman"/>
                <w:kern w:val="0"/>
                <w:sz w:val="21"/>
                <w:szCs w:val="21"/>
                <w:lang w:val="en-US" w:eastAsia="zh-CN" w:bidi="ar-SA"/>
              </w:rPr>
              <w:t>（一）制定原则</w:t>
            </w:r>
          </w:p>
          <w:p>
            <w:pPr>
              <w:pStyle w:val="7"/>
              <w:keepNext w:val="0"/>
              <w:keepLines w:val="0"/>
              <w:pageBreakBefore w:val="0"/>
              <w:widowControl/>
              <w:kinsoku/>
              <w:wordWrap/>
              <w:overflowPunct/>
              <w:topLinePunct w:val="0"/>
              <w:autoSpaceDE w:val="0"/>
              <w:autoSpaceDN w:val="0"/>
              <w:bidi w:val="0"/>
              <w:adjustRightInd w:val="0"/>
              <w:snapToGrid/>
              <w:spacing w:line="360" w:lineRule="auto"/>
              <w:contextualSpacing/>
              <w:textAlignment w:val="auto"/>
              <w:rPr>
                <w:rFonts w:hint="eastAsia" w:ascii="宋体" w:hAnsi="宋体" w:eastAsia="宋体" w:cs="Times New Roman"/>
                <w:kern w:val="0"/>
                <w:sz w:val="21"/>
                <w:szCs w:val="21"/>
                <w:lang w:val="en-US" w:eastAsia="zh-CN" w:bidi="ar-SA"/>
              </w:rPr>
            </w:pPr>
            <w:r>
              <w:rPr>
                <w:rFonts w:hint="eastAsia" w:ascii="宋体" w:hAnsi="宋体" w:eastAsia="宋体" w:cs="Times New Roman"/>
                <w:kern w:val="0"/>
                <w:sz w:val="21"/>
                <w:szCs w:val="21"/>
                <w:lang w:val="en-US" w:eastAsia="zh-CN" w:bidi="ar-SA"/>
              </w:rPr>
              <w:t>（1）符合相关国家法律法规和政策要求。</w:t>
            </w:r>
          </w:p>
          <w:p>
            <w:pPr>
              <w:pStyle w:val="7"/>
              <w:keepNext w:val="0"/>
              <w:keepLines w:val="0"/>
              <w:pageBreakBefore w:val="0"/>
              <w:widowControl/>
              <w:kinsoku/>
              <w:wordWrap/>
              <w:overflowPunct/>
              <w:topLinePunct w:val="0"/>
              <w:autoSpaceDE w:val="0"/>
              <w:autoSpaceDN w:val="0"/>
              <w:bidi w:val="0"/>
              <w:adjustRightInd w:val="0"/>
              <w:snapToGrid/>
              <w:spacing w:line="360" w:lineRule="auto"/>
              <w:contextualSpacing/>
              <w:textAlignment w:val="auto"/>
              <w:rPr>
                <w:rFonts w:hint="eastAsia" w:ascii="宋体" w:hAnsi="宋体" w:eastAsia="宋体" w:cs="Times New Roman"/>
                <w:kern w:val="0"/>
                <w:sz w:val="21"/>
                <w:szCs w:val="21"/>
                <w:lang w:val="en-US" w:eastAsia="zh-CN" w:bidi="ar-SA"/>
              </w:rPr>
            </w:pPr>
            <w:r>
              <w:rPr>
                <w:rFonts w:hint="eastAsia" w:ascii="宋体" w:hAnsi="宋体" w:eastAsia="宋体" w:cs="Times New Roman"/>
                <w:kern w:val="0"/>
                <w:sz w:val="21"/>
                <w:szCs w:val="21"/>
                <w:lang w:val="en-US" w:eastAsia="zh-CN" w:bidi="ar-SA"/>
              </w:rPr>
              <w:t>（2）科学实用原则。</w:t>
            </w:r>
          </w:p>
          <w:p>
            <w:pPr>
              <w:pStyle w:val="7"/>
              <w:keepNext w:val="0"/>
              <w:keepLines w:val="0"/>
              <w:pageBreakBefore w:val="0"/>
              <w:widowControl/>
              <w:kinsoku/>
              <w:wordWrap/>
              <w:overflowPunct/>
              <w:topLinePunct w:val="0"/>
              <w:autoSpaceDE w:val="0"/>
              <w:autoSpaceDN w:val="0"/>
              <w:bidi w:val="0"/>
              <w:adjustRightInd w:val="0"/>
              <w:snapToGrid/>
              <w:spacing w:line="360" w:lineRule="auto"/>
              <w:contextualSpacing/>
              <w:textAlignment w:val="auto"/>
              <w:rPr>
                <w:rFonts w:hint="eastAsia" w:ascii="宋体" w:hAnsi="宋体" w:eastAsia="宋体" w:cs="Times New Roman"/>
                <w:kern w:val="0"/>
                <w:sz w:val="21"/>
                <w:szCs w:val="21"/>
                <w:lang w:val="en-US" w:eastAsia="zh-CN" w:bidi="ar-SA"/>
              </w:rPr>
            </w:pPr>
            <w:r>
              <w:rPr>
                <w:rFonts w:hint="eastAsia" w:ascii="宋体" w:hAnsi="宋体" w:eastAsia="宋体" w:cs="Times New Roman"/>
                <w:kern w:val="0"/>
                <w:sz w:val="21"/>
                <w:szCs w:val="21"/>
                <w:lang w:val="en-US" w:eastAsia="zh-CN" w:bidi="ar-SA"/>
              </w:rPr>
              <w:t>在尊重科学、紧密结合实践、广泛征求意见及调查研究的基础上，紧贴安徽高价值发明专利培育中心发展实际，具有可操作性和实用性。</w:t>
            </w:r>
          </w:p>
          <w:p>
            <w:pPr>
              <w:pStyle w:val="7"/>
              <w:keepNext w:val="0"/>
              <w:keepLines w:val="0"/>
              <w:pageBreakBefore w:val="0"/>
              <w:widowControl/>
              <w:kinsoku/>
              <w:wordWrap/>
              <w:overflowPunct/>
              <w:topLinePunct w:val="0"/>
              <w:autoSpaceDE w:val="0"/>
              <w:autoSpaceDN w:val="0"/>
              <w:bidi w:val="0"/>
              <w:adjustRightInd w:val="0"/>
              <w:snapToGrid/>
              <w:spacing w:line="360" w:lineRule="auto"/>
              <w:contextualSpacing/>
              <w:textAlignment w:val="auto"/>
              <w:rPr>
                <w:rFonts w:hint="eastAsia" w:ascii="宋体" w:hAnsi="宋体" w:eastAsia="宋体" w:cs="Times New Roman"/>
                <w:kern w:val="0"/>
                <w:sz w:val="21"/>
                <w:szCs w:val="21"/>
                <w:lang w:val="en-US" w:eastAsia="zh-CN" w:bidi="ar-SA"/>
              </w:rPr>
            </w:pPr>
            <w:r>
              <w:rPr>
                <w:rFonts w:hint="eastAsia" w:ascii="宋体" w:hAnsi="宋体" w:eastAsia="宋体" w:cs="Times New Roman"/>
                <w:kern w:val="0"/>
                <w:sz w:val="21"/>
                <w:szCs w:val="21"/>
                <w:lang w:val="en-US" w:eastAsia="zh-CN" w:bidi="ar-SA"/>
              </w:rPr>
              <w:t>（二）依据</w:t>
            </w:r>
          </w:p>
          <w:p>
            <w:pPr>
              <w:pStyle w:val="7"/>
              <w:keepNext w:val="0"/>
              <w:keepLines w:val="0"/>
              <w:pageBreakBefore w:val="0"/>
              <w:widowControl/>
              <w:kinsoku/>
              <w:wordWrap/>
              <w:overflowPunct/>
              <w:topLinePunct w:val="0"/>
              <w:autoSpaceDE w:val="0"/>
              <w:autoSpaceDN w:val="0"/>
              <w:bidi w:val="0"/>
              <w:adjustRightInd w:val="0"/>
              <w:snapToGrid/>
              <w:spacing w:line="360" w:lineRule="auto"/>
              <w:contextualSpacing/>
              <w:textAlignment w:val="auto"/>
              <w:rPr>
                <w:rFonts w:hint="eastAsia" w:ascii="宋体" w:hAnsi="宋体" w:eastAsia="宋体" w:cs="Times New Roman"/>
                <w:kern w:val="0"/>
                <w:sz w:val="21"/>
                <w:szCs w:val="21"/>
                <w:lang w:val="en-US" w:eastAsia="zh-CN" w:bidi="ar-SA"/>
              </w:rPr>
            </w:pPr>
            <w:r>
              <w:rPr>
                <w:rFonts w:hint="eastAsia" w:ascii="宋体" w:hAnsi="宋体" w:eastAsia="宋体" w:cs="Times New Roman"/>
                <w:kern w:val="0"/>
                <w:sz w:val="21"/>
                <w:szCs w:val="21"/>
                <w:lang w:val="en-US" w:eastAsia="zh-CN" w:bidi="ar-SA"/>
              </w:rPr>
              <w:t>（1）开展系统的标准需求调研，为确保标准内容的适应性和可操作性，标准起草工作组进行充分的标准需求调研，查阅大量的文献资料，对国内现有的高价值专利培育情况进行归纳研究。实地走访调研省内研发机构、高新技术企业等相关方，系统了解我省高价值发明专利培育的现状和实际需求。</w:t>
            </w:r>
          </w:p>
          <w:p>
            <w:pPr>
              <w:pStyle w:val="7"/>
              <w:keepNext w:val="0"/>
              <w:keepLines w:val="0"/>
              <w:pageBreakBefore w:val="0"/>
              <w:widowControl/>
              <w:kinsoku/>
              <w:wordWrap/>
              <w:overflowPunct/>
              <w:topLinePunct w:val="0"/>
              <w:autoSpaceDE w:val="0"/>
              <w:autoSpaceDN w:val="0"/>
              <w:bidi w:val="0"/>
              <w:adjustRightInd w:val="0"/>
              <w:snapToGrid/>
              <w:spacing w:line="360" w:lineRule="auto"/>
              <w:contextualSpacing/>
              <w:textAlignment w:val="auto"/>
              <w:rPr>
                <w:rFonts w:hint="eastAsia" w:ascii="宋体" w:hAnsi="宋体" w:eastAsia="宋体" w:cs="Times New Roman"/>
                <w:kern w:val="0"/>
                <w:sz w:val="21"/>
                <w:szCs w:val="21"/>
                <w:lang w:val="en-US" w:eastAsia="zh-CN" w:bidi="ar-SA"/>
              </w:rPr>
            </w:pPr>
            <w:r>
              <w:rPr>
                <w:rFonts w:hint="eastAsia" w:ascii="宋体" w:hAnsi="宋体" w:eastAsia="宋体" w:cs="Times New Roman"/>
                <w:kern w:val="0"/>
                <w:sz w:val="21"/>
                <w:szCs w:val="21"/>
                <w:lang w:val="en-US" w:eastAsia="zh-CN" w:bidi="ar-SA"/>
              </w:rPr>
              <w:t>（2）本文件充分遵循国家相关的法律和政策要求，确定标准主要内容，确保标准具备科学性、先进行、适用性及可操作性。</w:t>
            </w:r>
          </w:p>
          <w:p>
            <w:pPr>
              <w:pStyle w:val="7"/>
              <w:keepNext w:val="0"/>
              <w:keepLines w:val="0"/>
              <w:pageBreakBefore w:val="0"/>
              <w:widowControl/>
              <w:kinsoku/>
              <w:wordWrap/>
              <w:overflowPunct/>
              <w:topLinePunct w:val="0"/>
              <w:autoSpaceDE w:val="0"/>
              <w:autoSpaceDN w:val="0"/>
              <w:bidi w:val="0"/>
              <w:adjustRightInd w:val="0"/>
              <w:snapToGrid/>
              <w:spacing w:line="360" w:lineRule="auto"/>
              <w:contextualSpacing/>
              <w:textAlignment w:val="auto"/>
              <w:rPr>
                <w:rFonts w:hAnsi="宋体"/>
                <w:szCs w:val="21"/>
              </w:rPr>
            </w:pPr>
            <w:r>
              <w:rPr>
                <w:rFonts w:hint="eastAsia" w:ascii="宋体" w:hAnsi="宋体" w:eastAsia="宋体" w:cs="Times New Roman"/>
                <w:kern w:val="0"/>
                <w:sz w:val="21"/>
                <w:szCs w:val="21"/>
                <w:lang w:val="en-US" w:eastAsia="zh-CN" w:bidi="ar-SA"/>
              </w:rPr>
              <w:t>（3）本文件制定的依据及参考标准：《专利代理管理办法》《专利代理条例》《中华人民共和国专利法》。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7"/>
              <w:adjustRightInd w:val="0"/>
              <w:spacing w:line="360" w:lineRule="auto"/>
              <w:ind w:firstLine="0" w:firstLineChars="0"/>
              <w:contextualSpacing/>
              <w:rPr>
                <w:rFonts w:hAnsi="宋体"/>
                <w:szCs w:val="21"/>
              </w:rPr>
            </w:pPr>
            <w:r>
              <w:rPr>
                <w:rFonts w:hint="eastAsia" w:hAnsi="宋体"/>
                <w:szCs w:val="21"/>
              </w:rPr>
              <w:t>4、主要条款的说明，主要技术指标、参数、试验验证的论述（</w:t>
            </w:r>
            <w:r>
              <w:rPr>
                <w:rFonts w:hint="eastAsia" w:hAnsi="宋体"/>
                <w:b/>
                <w:szCs w:val="21"/>
              </w:rPr>
              <w:t>详细说明</w:t>
            </w:r>
            <w:r>
              <w:rPr>
                <w:rFonts w:hint="eastAsia"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keepNext w:val="0"/>
              <w:keepLines w:val="0"/>
              <w:pageBreakBefore w:val="0"/>
              <w:widowControl/>
              <w:suppressLineNumbers w:val="0"/>
              <w:kinsoku/>
              <w:wordWrap/>
              <w:overflowPunct/>
              <w:topLinePunct w:val="0"/>
              <w:bidi w:val="0"/>
              <w:adjustRightInd w:val="0"/>
              <w:snapToGrid/>
              <w:spacing w:line="360" w:lineRule="auto"/>
              <w:ind w:firstLine="402" w:firstLineChars="200"/>
              <w:jc w:val="left"/>
              <w:textAlignment w:val="auto"/>
              <w:rPr>
                <w:rFonts w:hint="eastAsia" w:ascii="宋体" w:hAnsi="宋体" w:eastAsia="宋体" w:cs="宋体"/>
                <w:b/>
                <w:bCs/>
                <w:color w:val="000000"/>
                <w:kern w:val="0"/>
                <w:sz w:val="20"/>
                <w:szCs w:val="20"/>
                <w:lang w:val="en-US" w:eastAsia="zh-CN" w:bidi="ar"/>
              </w:rPr>
            </w:pPr>
            <w:r>
              <w:rPr>
                <w:rFonts w:hint="eastAsia" w:ascii="宋体" w:hAnsi="宋体" w:eastAsia="宋体" w:cs="宋体"/>
                <w:b/>
                <w:bCs/>
                <w:color w:val="000000"/>
                <w:kern w:val="0"/>
                <w:sz w:val="20"/>
                <w:szCs w:val="20"/>
                <w:lang w:val="en-US" w:eastAsia="zh-CN" w:bidi="ar"/>
              </w:rPr>
              <w:t>（一）标准主要框架及适用范围：</w:t>
            </w:r>
          </w:p>
          <w:p>
            <w:pPr>
              <w:pStyle w:val="7"/>
              <w:keepNext w:val="0"/>
              <w:keepLines w:val="0"/>
              <w:pageBreakBefore w:val="0"/>
              <w:widowControl/>
              <w:numPr>
                <w:ilvl w:val="0"/>
                <w:numId w:val="0"/>
              </w:numPr>
              <w:kinsoku/>
              <w:wordWrap/>
              <w:overflowPunct/>
              <w:topLinePunct w:val="0"/>
              <w:bidi w:val="0"/>
              <w:adjustRightInd w:val="0"/>
              <w:snapToGrid/>
              <w:spacing w:line="360" w:lineRule="auto"/>
              <w:ind w:firstLine="420" w:firstLineChars="200"/>
              <w:contextualSpacing/>
              <w:textAlignment w:val="auto"/>
              <w:rPr>
                <w:rFonts w:hint="eastAsia" w:hAnsi="宋体"/>
                <w:szCs w:val="21"/>
              </w:rPr>
            </w:pPr>
            <w:r>
              <w:rPr>
                <w:rFonts w:hint="eastAsia" w:hAnsi="宋体"/>
                <w:szCs w:val="21"/>
              </w:rPr>
              <w:t>本文件提供了高价值专利培育的原则、基础条件、流程、专利研发管理、专利挖掘、专利布局、专利组合构建、专利申请、专利管理、运用和保护以及评价和改进。</w:t>
            </w:r>
          </w:p>
          <w:p>
            <w:pPr>
              <w:pStyle w:val="7"/>
              <w:keepNext w:val="0"/>
              <w:keepLines w:val="0"/>
              <w:pageBreakBefore w:val="0"/>
              <w:widowControl/>
              <w:numPr>
                <w:ilvl w:val="0"/>
                <w:numId w:val="0"/>
              </w:numPr>
              <w:kinsoku/>
              <w:wordWrap/>
              <w:overflowPunct/>
              <w:topLinePunct w:val="0"/>
              <w:bidi w:val="0"/>
              <w:adjustRightInd w:val="0"/>
              <w:snapToGrid/>
              <w:spacing w:line="360" w:lineRule="auto"/>
              <w:ind w:firstLine="420" w:firstLineChars="200"/>
              <w:contextualSpacing/>
              <w:textAlignment w:val="auto"/>
              <w:rPr>
                <w:rFonts w:hint="eastAsia" w:hAnsi="宋体"/>
                <w:szCs w:val="21"/>
              </w:rPr>
            </w:pPr>
            <w:r>
              <w:rPr>
                <w:rFonts w:hint="eastAsia" w:hAnsi="宋体"/>
                <w:szCs w:val="21"/>
              </w:rPr>
              <w:t>本文件适用于企业、高等学校、科研组织等创新主体培育高价值专利的活动。</w:t>
            </w:r>
          </w:p>
          <w:p>
            <w:pPr>
              <w:pStyle w:val="7"/>
              <w:keepNext w:val="0"/>
              <w:keepLines w:val="0"/>
              <w:pageBreakBefore w:val="0"/>
              <w:widowControl/>
              <w:numPr>
                <w:ilvl w:val="0"/>
                <w:numId w:val="2"/>
              </w:numPr>
              <w:kinsoku/>
              <w:wordWrap/>
              <w:overflowPunct/>
              <w:topLinePunct w:val="0"/>
              <w:bidi w:val="0"/>
              <w:adjustRightInd w:val="0"/>
              <w:snapToGrid/>
              <w:spacing w:line="360" w:lineRule="auto"/>
              <w:contextualSpacing/>
              <w:textAlignment w:val="auto"/>
              <w:rPr>
                <w:rFonts w:hint="eastAsia" w:ascii="宋体" w:hAnsi="宋体" w:eastAsia="宋体" w:cs="宋体"/>
                <w:b/>
                <w:bCs/>
                <w:color w:val="000000"/>
                <w:kern w:val="0"/>
                <w:sz w:val="20"/>
                <w:szCs w:val="20"/>
                <w:lang w:val="en-US" w:eastAsia="zh-CN" w:bidi="ar"/>
              </w:rPr>
            </w:pPr>
            <w:r>
              <w:rPr>
                <w:rFonts w:hint="eastAsia" w:ascii="宋体" w:hAnsi="宋体" w:eastAsia="宋体" w:cs="宋体"/>
                <w:b/>
                <w:bCs/>
                <w:color w:val="000000"/>
                <w:kern w:val="0"/>
                <w:sz w:val="20"/>
                <w:szCs w:val="20"/>
                <w:lang w:val="en-US" w:eastAsia="zh-CN" w:bidi="ar"/>
              </w:rPr>
              <w:t>术语和定义：</w:t>
            </w:r>
          </w:p>
          <w:p>
            <w:pPr>
              <w:pStyle w:val="7"/>
              <w:keepNext w:val="0"/>
              <w:keepLines w:val="0"/>
              <w:pageBreakBefore w:val="0"/>
              <w:widowControl/>
              <w:kinsoku/>
              <w:wordWrap/>
              <w:overflowPunct/>
              <w:topLinePunct w:val="0"/>
              <w:bidi w:val="0"/>
              <w:adjustRightInd w:val="0"/>
              <w:snapToGrid/>
              <w:spacing w:line="360" w:lineRule="auto"/>
              <w:ind w:firstLine="420" w:firstLineChars="200"/>
              <w:contextualSpacing/>
              <w:textAlignment w:val="auto"/>
              <w:rPr>
                <w:rFonts w:hint="eastAsia" w:hAnsi="宋体"/>
                <w:szCs w:val="21"/>
                <w:lang w:val="en-US" w:eastAsia="zh-CN"/>
              </w:rPr>
            </w:pPr>
            <w:r>
              <w:rPr>
                <w:rFonts w:hint="eastAsia" w:hAnsi="宋体"/>
                <w:szCs w:val="21"/>
                <w:lang w:val="en-US" w:eastAsia="zh-CN"/>
              </w:rPr>
              <w:t>根据内容要求，通过参照相关政策文件，综合行内专家建议整理归纳后，对本标准涉及专项名词的内涵及意义进行了规范和解释，明确了“高价值专利”、“创新主体”、“专利导航”的术语和定义。</w:t>
            </w:r>
          </w:p>
          <w:p>
            <w:pPr>
              <w:pStyle w:val="7"/>
              <w:keepNext w:val="0"/>
              <w:keepLines w:val="0"/>
              <w:pageBreakBefore w:val="0"/>
              <w:widowControl/>
              <w:numPr>
                <w:ilvl w:val="0"/>
                <w:numId w:val="2"/>
              </w:numPr>
              <w:kinsoku/>
              <w:wordWrap/>
              <w:overflowPunct/>
              <w:topLinePunct w:val="0"/>
              <w:bidi w:val="0"/>
              <w:adjustRightInd w:val="0"/>
              <w:snapToGrid/>
              <w:spacing w:line="360" w:lineRule="auto"/>
              <w:contextualSpacing/>
              <w:textAlignment w:val="auto"/>
              <w:rPr>
                <w:rFonts w:hint="default" w:ascii="宋体" w:hAnsi="宋体" w:eastAsia="宋体" w:cs="宋体"/>
                <w:b/>
                <w:bCs/>
                <w:color w:val="000000"/>
                <w:kern w:val="0"/>
                <w:sz w:val="20"/>
                <w:szCs w:val="20"/>
                <w:lang w:val="en-US" w:eastAsia="zh-CN" w:bidi="ar"/>
              </w:rPr>
            </w:pPr>
            <w:r>
              <w:rPr>
                <w:rFonts w:hint="eastAsia" w:ascii="宋体" w:hAnsi="宋体" w:eastAsia="宋体" w:cs="宋体"/>
                <w:b/>
                <w:bCs/>
                <w:color w:val="000000"/>
                <w:kern w:val="0"/>
                <w:sz w:val="20"/>
                <w:szCs w:val="20"/>
                <w:lang w:val="en-US" w:eastAsia="zh-CN" w:bidi="ar"/>
              </w:rPr>
              <w:t>主要技术内容：</w:t>
            </w:r>
          </w:p>
          <w:p>
            <w:pPr>
              <w:pStyle w:val="7"/>
              <w:keepNext w:val="0"/>
              <w:keepLines w:val="0"/>
              <w:pageBreakBefore w:val="0"/>
              <w:widowControl/>
              <w:kinsoku/>
              <w:wordWrap/>
              <w:overflowPunct/>
              <w:topLinePunct w:val="0"/>
              <w:bidi w:val="0"/>
              <w:adjustRightInd w:val="0"/>
              <w:snapToGrid/>
              <w:spacing w:line="360" w:lineRule="auto"/>
              <w:contextualSpacing/>
              <w:textAlignment w:val="auto"/>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1、原则</w:t>
            </w:r>
            <w:r>
              <w:rPr>
                <w:rFonts w:hint="default" w:ascii="宋体" w:hAnsi="宋体" w:eastAsia="宋体" w:cs="Times New Roman"/>
                <w:szCs w:val="21"/>
                <w:lang w:val="en-US" w:eastAsia="zh-CN"/>
              </w:rPr>
              <w:t>：</w:t>
            </w:r>
          </w:p>
          <w:p>
            <w:pPr>
              <w:pStyle w:val="7"/>
              <w:keepNext w:val="0"/>
              <w:keepLines w:val="0"/>
              <w:pageBreakBefore w:val="0"/>
              <w:widowControl/>
              <w:kinsoku/>
              <w:wordWrap/>
              <w:overflowPunct/>
              <w:topLinePunct w:val="0"/>
              <w:bidi w:val="0"/>
              <w:adjustRightInd w:val="0"/>
              <w:snapToGrid/>
              <w:spacing w:line="360" w:lineRule="auto"/>
              <w:contextualSpacing/>
              <w:textAlignment w:val="auto"/>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需求导向：以市场需求、产业发展、产品迭代和技术进步的实际需求为导向。</w:t>
            </w:r>
          </w:p>
          <w:p>
            <w:pPr>
              <w:pStyle w:val="7"/>
              <w:keepNext w:val="0"/>
              <w:keepLines w:val="0"/>
              <w:pageBreakBefore w:val="0"/>
              <w:widowControl/>
              <w:kinsoku/>
              <w:wordWrap/>
              <w:overflowPunct/>
              <w:topLinePunct w:val="0"/>
              <w:bidi w:val="0"/>
              <w:adjustRightInd w:val="0"/>
              <w:snapToGrid/>
              <w:spacing w:line="360" w:lineRule="auto"/>
              <w:contextualSpacing/>
              <w:textAlignment w:val="auto"/>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质量导向：在创新研发、制定专利布局方案、撰写专利申请文件等环节实施高标准的质量管控，提高专利申请质量，确保培育目标的实现。</w:t>
            </w:r>
          </w:p>
          <w:p>
            <w:pPr>
              <w:pStyle w:val="7"/>
              <w:keepNext w:val="0"/>
              <w:keepLines w:val="0"/>
              <w:pageBreakBefore w:val="0"/>
              <w:widowControl/>
              <w:kinsoku/>
              <w:wordWrap/>
              <w:overflowPunct/>
              <w:topLinePunct w:val="0"/>
              <w:bidi w:val="0"/>
              <w:adjustRightInd w:val="0"/>
              <w:snapToGrid/>
              <w:spacing w:line="360" w:lineRule="auto"/>
              <w:contextualSpacing/>
              <w:textAlignment w:val="auto"/>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精准培育：通过专利导航分析、研发全过程管理、发明点梳理和识别、分级分类管理等方法，对专利培育全过程进行精准管理，提高培育的效率和质量。</w:t>
            </w:r>
          </w:p>
          <w:p>
            <w:pPr>
              <w:pStyle w:val="7"/>
              <w:keepNext w:val="0"/>
              <w:keepLines w:val="0"/>
              <w:pageBreakBefore w:val="0"/>
              <w:widowControl/>
              <w:kinsoku/>
              <w:wordWrap/>
              <w:overflowPunct/>
              <w:topLinePunct w:val="0"/>
              <w:bidi w:val="0"/>
              <w:adjustRightInd w:val="0"/>
              <w:snapToGrid/>
              <w:spacing w:line="360" w:lineRule="auto"/>
              <w:contextualSpacing/>
              <w:textAlignment w:val="auto"/>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2、</w:t>
            </w:r>
            <w:r>
              <w:rPr>
                <w:rFonts w:hint="default" w:ascii="宋体" w:hAnsi="宋体" w:eastAsia="宋体" w:cs="Times New Roman"/>
                <w:szCs w:val="21"/>
                <w:lang w:val="en-US" w:eastAsia="zh-CN"/>
              </w:rPr>
              <w:t>基础条件：</w:t>
            </w:r>
          </w:p>
          <w:p>
            <w:pPr>
              <w:pStyle w:val="7"/>
              <w:keepNext w:val="0"/>
              <w:keepLines w:val="0"/>
              <w:pageBreakBefore w:val="0"/>
              <w:widowControl/>
              <w:kinsoku/>
              <w:wordWrap/>
              <w:overflowPunct/>
              <w:topLinePunct w:val="0"/>
              <w:bidi w:val="0"/>
              <w:adjustRightInd w:val="0"/>
              <w:snapToGrid/>
              <w:spacing w:line="360" w:lineRule="auto"/>
              <w:contextualSpacing/>
              <w:textAlignment w:val="auto"/>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工作制度：建立高层推动制度、合作培育制度、多方会商制度、分级分类管理制度等。</w:t>
            </w:r>
          </w:p>
          <w:p>
            <w:pPr>
              <w:pStyle w:val="7"/>
              <w:keepNext w:val="0"/>
              <w:keepLines w:val="0"/>
              <w:pageBreakBefore w:val="0"/>
              <w:widowControl/>
              <w:kinsoku/>
              <w:wordWrap/>
              <w:overflowPunct/>
              <w:topLinePunct w:val="0"/>
              <w:bidi w:val="0"/>
              <w:adjustRightInd w:val="0"/>
              <w:snapToGrid/>
              <w:spacing w:line="360" w:lineRule="auto"/>
              <w:contextualSpacing/>
              <w:textAlignment w:val="auto"/>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人力资源：由专利工作人员、技术研发人员、专利代理师、法律工作人员协同完成。</w:t>
            </w:r>
          </w:p>
          <w:p>
            <w:pPr>
              <w:pStyle w:val="7"/>
              <w:keepNext w:val="0"/>
              <w:keepLines w:val="0"/>
              <w:pageBreakBefore w:val="0"/>
              <w:widowControl/>
              <w:kinsoku/>
              <w:wordWrap/>
              <w:overflowPunct/>
              <w:topLinePunct w:val="0"/>
              <w:bidi w:val="0"/>
              <w:adjustRightInd w:val="0"/>
              <w:snapToGrid/>
              <w:spacing w:line="360" w:lineRule="auto"/>
              <w:contextualSpacing/>
              <w:textAlignment w:val="auto"/>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财务资源：保证在专利管理预算中支持高价值专利培育费用。</w:t>
            </w:r>
          </w:p>
          <w:p>
            <w:pPr>
              <w:pStyle w:val="7"/>
              <w:keepNext w:val="0"/>
              <w:keepLines w:val="0"/>
              <w:pageBreakBefore w:val="0"/>
              <w:widowControl/>
              <w:kinsoku/>
              <w:wordWrap/>
              <w:overflowPunct/>
              <w:topLinePunct w:val="0"/>
              <w:bidi w:val="0"/>
              <w:adjustRightInd w:val="0"/>
              <w:snapToGrid/>
              <w:spacing w:line="360" w:lineRule="auto"/>
              <w:contextualSpacing/>
              <w:textAlignment w:val="auto"/>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信息资源：运用与高价值专利培育密切相关的专利数据、非专利技术文献及产业信息资源。</w:t>
            </w:r>
          </w:p>
          <w:p>
            <w:pPr>
              <w:pStyle w:val="7"/>
              <w:keepNext w:val="0"/>
              <w:keepLines w:val="0"/>
              <w:pageBreakBefore w:val="0"/>
              <w:widowControl/>
              <w:kinsoku/>
              <w:wordWrap/>
              <w:overflowPunct/>
              <w:topLinePunct w:val="0"/>
              <w:bidi w:val="0"/>
              <w:adjustRightInd w:val="0"/>
              <w:snapToGrid/>
              <w:spacing w:line="360" w:lineRule="auto"/>
              <w:contextualSpacing/>
              <w:textAlignment w:val="auto"/>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3、</w:t>
            </w:r>
            <w:r>
              <w:rPr>
                <w:rFonts w:hint="default" w:ascii="宋体" w:hAnsi="宋体" w:eastAsia="宋体" w:cs="Times New Roman"/>
                <w:szCs w:val="21"/>
                <w:lang w:val="en-US" w:eastAsia="zh-CN"/>
              </w:rPr>
              <w:t>流程：</w:t>
            </w:r>
          </w:p>
          <w:p>
            <w:pPr>
              <w:pStyle w:val="7"/>
              <w:keepNext w:val="0"/>
              <w:keepLines w:val="0"/>
              <w:pageBreakBefore w:val="0"/>
              <w:widowControl/>
              <w:kinsoku/>
              <w:wordWrap/>
              <w:overflowPunct/>
              <w:topLinePunct w:val="0"/>
              <w:bidi w:val="0"/>
              <w:adjustRightInd w:val="0"/>
              <w:snapToGrid/>
              <w:spacing w:line="360" w:lineRule="auto"/>
              <w:contextualSpacing/>
              <w:textAlignment w:val="auto"/>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附录A所示流程。</w:t>
            </w:r>
          </w:p>
          <w:p>
            <w:pPr>
              <w:pStyle w:val="7"/>
              <w:keepNext w:val="0"/>
              <w:keepLines w:val="0"/>
              <w:pageBreakBefore w:val="0"/>
              <w:widowControl/>
              <w:kinsoku/>
              <w:wordWrap/>
              <w:overflowPunct/>
              <w:topLinePunct w:val="0"/>
              <w:bidi w:val="0"/>
              <w:adjustRightInd w:val="0"/>
              <w:snapToGrid/>
              <w:spacing w:line="360" w:lineRule="auto"/>
              <w:contextualSpacing/>
              <w:textAlignment w:val="auto"/>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4、</w:t>
            </w:r>
            <w:r>
              <w:rPr>
                <w:rFonts w:hint="default" w:ascii="宋体" w:hAnsi="宋体" w:eastAsia="宋体" w:cs="Times New Roman"/>
                <w:szCs w:val="21"/>
                <w:lang w:val="en-US" w:eastAsia="zh-CN"/>
              </w:rPr>
              <w:t>研发管理：</w:t>
            </w:r>
          </w:p>
          <w:p>
            <w:pPr>
              <w:pStyle w:val="7"/>
              <w:keepNext w:val="0"/>
              <w:keepLines w:val="0"/>
              <w:pageBreakBefore w:val="0"/>
              <w:widowControl/>
              <w:kinsoku/>
              <w:wordWrap/>
              <w:overflowPunct/>
              <w:topLinePunct w:val="0"/>
              <w:bidi w:val="0"/>
              <w:adjustRightInd w:val="0"/>
              <w:snapToGrid/>
              <w:spacing w:line="360" w:lineRule="auto"/>
              <w:contextualSpacing/>
              <w:textAlignment w:val="auto"/>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建立机制：包括专利导航与产品研发的联动机制、目的导向的发明披露和专利申请机制、专利合规管理体系和运行机制、专利维权机制、专利成功转化和激励机制等。</w:t>
            </w:r>
          </w:p>
          <w:p>
            <w:pPr>
              <w:pStyle w:val="7"/>
              <w:keepNext w:val="0"/>
              <w:keepLines w:val="0"/>
              <w:pageBreakBefore w:val="0"/>
              <w:widowControl/>
              <w:kinsoku/>
              <w:wordWrap/>
              <w:overflowPunct/>
              <w:topLinePunct w:val="0"/>
              <w:bidi w:val="0"/>
              <w:adjustRightInd w:val="0"/>
              <w:snapToGrid/>
              <w:spacing w:line="360" w:lineRule="auto"/>
              <w:contextualSpacing/>
              <w:textAlignment w:val="auto"/>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立项管理：开展专利导航分析，确定研发方向，制定研发计划。</w:t>
            </w:r>
          </w:p>
          <w:p>
            <w:pPr>
              <w:pStyle w:val="7"/>
              <w:keepNext w:val="0"/>
              <w:keepLines w:val="0"/>
              <w:pageBreakBefore w:val="0"/>
              <w:widowControl/>
              <w:kinsoku/>
              <w:wordWrap/>
              <w:overflowPunct/>
              <w:topLinePunct w:val="0"/>
              <w:bidi w:val="0"/>
              <w:adjustRightInd w:val="0"/>
              <w:snapToGrid/>
              <w:spacing w:line="360" w:lineRule="auto"/>
              <w:contextualSpacing/>
              <w:textAlignment w:val="auto"/>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过程管理：持续开展专利导航分析，提出研发方案优化建议。</w:t>
            </w:r>
          </w:p>
          <w:p>
            <w:pPr>
              <w:pStyle w:val="7"/>
              <w:keepNext w:val="0"/>
              <w:keepLines w:val="0"/>
              <w:pageBreakBefore w:val="0"/>
              <w:widowControl/>
              <w:kinsoku/>
              <w:wordWrap/>
              <w:overflowPunct/>
              <w:topLinePunct w:val="0"/>
              <w:bidi w:val="0"/>
              <w:adjustRightInd w:val="0"/>
              <w:snapToGrid/>
              <w:spacing w:line="360" w:lineRule="auto"/>
              <w:contextualSpacing/>
              <w:textAlignment w:val="auto"/>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5、</w:t>
            </w:r>
            <w:r>
              <w:rPr>
                <w:rFonts w:hint="default" w:ascii="宋体" w:hAnsi="宋体" w:eastAsia="宋体" w:cs="Times New Roman"/>
                <w:szCs w:val="21"/>
                <w:lang w:val="en-US" w:eastAsia="zh-CN"/>
              </w:rPr>
              <w:t>专利挖掘：</w:t>
            </w:r>
          </w:p>
          <w:p>
            <w:pPr>
              <w:pStyle w:val="7"/>
              <w:keepNext w:val="0"/>
              <w:keepLines w:val="0"/>
              <w:pageBreakBefore w:val="0"/>
              <w:widowControl/>
              <w:kinsoku/>
              <w:wordWrap/>
              <w:overflowPunct/>
              <w:topLinePunct w:val="0"/>
              <w:bidi w:val="0"/>
              <w:adjustRightInd w:val="0"/>
              <w:snapToGrid/>
              <w:spacing w:line="360" w:lineRule="auto"/>
              <w:contextualSpacing/>
              <w:textAlignment w:val="auto"/>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识别发明点：针对研发成果或预期成果中的发明点，形成专利挖掘清单。</w:t>
            </w:r>
          </w:p>
          <w:p>
            <w:pPr>
              <w:pStyle w:val="7"/>
              <w:keepNext w:val="0"/>
              <w:keepLines w:val="0"/>
              <w:pageBreakBefore w:val="0"/>
              <w:widowControl/>
              <w:kinsoku/>
              <w:wordWrap/>
              <w:overflowPunct/>
              <w:topLinePunct w:val="0"/>
              <w:bidi w:val="0"/>
              <w:adjustRightInd w:val="0"/>
              <w:snapToGrid/>
              <w:spacing w:line="360" w:lineRule="auto"/>
              <w:contextualSpacing/>
              <w:textAlignment w:val="auto"/>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形成专利挖掘清单：围绕发明点撰写技术交底书，形成专利挖掘清单。</w:t>
            </w:r>
          </w:p>
          <w:p>
            <w:pPr>
              <w:pStyle w:val="7"/>
              <w:keepNext w:val="0"/>
              <w:keepLines w:val="0"/>
              <w:pageBreakBefore w:val="0"/>
              <w:widowControl/>
              <w:kinsoku/>
              <w:wordWrap/>
              <w:overflowPunct/>
              <w:topLinePunct w:val="0"/>
              <w:bidi w:val="0"/>
              <w:adjustRightInd w:val="0"/>
              <w:snapToGrid/>
              <w:spacing w:line="360" w:lineRule="auto"/>
              <w:contextualSpacing/>
              <w:textAlignment w:val="auto"/>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6、</w:t>
            </w:r>
            <w:r>
              <w:rPr>
                <w:rFonts w:hint="default" w:ascii="宋体" w:hAnsi="宋体" w:eastAsia="宋体" w:cs="Times New Roman"/>
                <w:szCs w:val="21"/>
                <w:lang w:val="en-US" w:eastAsia="zh-CN"/>
              </w:rPr>
              <w:t>专利布局：</w:t>
            </w:r>
          </w:p>
          <w:p>
            <w:pPr>
              <w:pStyle w:val="7"/>
              <w:keepNext w:val="0"/>
              <w:keepLines w:val="0"/>
              <w:pageBreakBefore w:val="0"/>
              <w:widowControl/>
              <w:kinsoku/>
              <w:wordWrap/>
              <w:overflowPunct/>
              <w:topLinePunct w:val="0"/>
              <w:bidi w:val="0"/>
              <w:adjustRightInd w:val="0"/>
              <w:snapToGrid/>
              <w:spacing w:line="360" w:lineRule="auto"/>
              <w:contextualSpacing/>
              <w:textAlignment w:val="auto"/>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策略和方案：根据组织发展战略、市场竞争战略、知识产权战略、产品定位等制定专利布局策略和方案。</w:t>
            </w:r>
          </w:p>
          <w:p>
            <w:pPr>
              <w:pStyle w:val="7"/>
              <w:keepNext w:val="0"/>
              <w:keepLines w:val="0"/>
              <w:pageBreakBefore w:val="0"/>
              <w:widowControl/>
              <w:kinsoku/>
              <w:wordWrap/>
              <w:overflowPunct/>
              <w:topLinePunct w:val="0"/>
              <w:bidi w:val="0"/>
              <w:adjustRightInd w:val="0"/>
              <w:snapToGrid/>
              <w:spacing w:line="360" w:lineRule="auto"/>
              <w:contextualSpacing/>
              <w:textAlignment w:val="auto"/>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布局思路：最小保护单元原则、从产品到方法、从小组件到大系统、从下游到小系统、监控市场动态、分层保护、交叉保护等。</w:t>
            </w:r>
          </w:p>
          <w:p>
            <w:pPr>
              <w:pStyle w:val="7"/>
              <w:keepNext w:val="0"/>
              <w:keepLines w:val="0"/>
              <w:pageBreakBefore w:val="0"/>
              <w:widowControl/>
              <w:kinsoku/>
              <w:wordWrap/>
              <w:overflowPunct/>
              <w:topLinePunct w:val="0"/>
              <w:bidi w:val="0"/>
              <w:adjustRightInd w:val="0"/>
              <w:snapToGrid/>
              <w:spacing w:line="360" w:lineRule="auto"/>
              <w:contextualSpacing/>
              <w:textAlignment w:val="auto"/>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7、</w:t>
            </w:r>
            <w:r>
              <w:rPr>
                <w:rFonts w:hint="default" w:ascii="宋体" w:hAnsi="宋体" w:eastAsia="宋体" w:cs="Times New Roman"/>
                <w:szCs w:val="21"/>
                <w:lang w:val="en-US" w:eastAsia="zh-CN"/>
              </w:rPr>
              <w:t>专利申请：</w:t>
            </w:r>
          </w:p>
          <w:p>
            <w:pPr>
              <w:pStyle w:val="7"/>
              <w:keepNext w:val="0"/>
              <w:keepLines w:val="0"/>
              <w:pageBreakBefore w:val="0"/>
              <w:widowControl/>
              <w:kinsoku/>
              <w:wordWrap/>
              <w:overflowPunct/>
              <w:topLinePunct w:val="0"/>
              <w:bidi w:val="0"/>
              <w:adjustRightInd w:val="0"/>
              <w:snapToGrid/>
              <w:spacing w:line="360" w:lineRule="auto"/>
              <w:contextualSpacing/>
              <w:textAlignment w:val="auto"/>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提交技术交底书：研发人员撰写并提交《技术交底书》。</w:t>
            </w:r>
          </w:p>
          <w:p>
            <w:pPr>
              <w:pStyle w:val="7"/>
              <w:keepNext w:val="0"/>
              <w:keepLines w:val="0"/>
              <w:pageBreakBefore w:val="0"/>
              <w:widowControl/>
              <w:kinsoku/>
              <w:wordWrap/>
              <w:overflowPunct/>
              <w:topLinePunct w:val="0"/>
              <w:bidi w:val="0"/>
              <w:adjustRightInd w:val="0"/>
              <w:snapToGrid/>
              <w:spacing w:line="360" w:lineRule="auto"/>
              <w:contextualSpacing/>
              <w:textAlignment w:val="auto"/>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撰写专利申请文件：委托专利代理师撰写。</w:t>
            </w:r>
          </w:p>
          <w:p>
            <w:pPr>
              <w:pStyle w:val="7"/>
              <w:keepNext w:val="0"/>
              <w:keepLines w:val="0"/>
              <w:pageBreakBefore w:val="0"/>
              <w:widowControl/>
              <w:kinsoku/>
              <w:wordWrap/>
              <w:overflowPunct/>
              <w:topLinePunct w:val="0"/>
              <w:bidi w:val="0"/>
              <w:adjustRightInd w:val="0"/>
              <w:snapToGrid/>
              <w:spacing w:line="360" w:lineRule="auto"/>
              <w:contextualSpacing/>
              <w:textAlignment w:val="auto"/>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专利申请前置审查：指定人员进行前置审查。</w:t>
            </w:r>
          </w:p>
          <w:p>
            <w:pPr>
              <w:pStyle w:val="7"/>
              <w:keepNext w:val="0"/>
              <w:keepLines w:val="0"/>
              <w:pageBreakBefore w:val="0"/>
              <w:widowControl/>
              <w:kinsoku/>
              <w:wordWrap/>
              <w:overflowPunct/>
              <w:topLinePunct w:val="0"/>
              <w:bidi w:val="0"/>
              <w:adjustRightInd w:val="0"/>
              <w:snapToGrid/>
              <w:spacing w:line="360" w:lineRule="auto"/>
              <w:contextualSpacing/>
              <w:textAlignment w:val="auto"/>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专利申请过程管理：对递交申请到授权的全过程进行管控。</w:t>
            </w:r>
          </w:p>
          <w:p>
            <w:pPr>
              <w:pStyle w:val="7"/>
              <w:keepNext w:val="0"/>
              <w:keepLines w:val="0"/>
              <w:pageBreakBefore w:val="0"/>
              <w:widowControl/>
              <w:kinsoku/>
              <w:wordWrap/>
              <w:overflowPunct/>
              <w:topLinePunct w:val="0"/>
              <w:bidi w:val="0"/>
              <w:adjustRightInd w:val="0"/>
              <w:snapToGrid/>
              <w:spacing w:line="360" w:lineRule="auto"/>
              <w:contextualSpacing/>
              <w:textAlignment w:val="auto"/>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8、</w:t>
            </w:r>
            <w:r>
              <w:rPr>
                <w:rFonts w:hint="default" w:ascii="宋体" w:hAnsi="宋体" w:eastAsia="宋体" w:cs="Times New Roman"/>
                <w:szCs w:val="21"/>
                <w:lang w:val="en-US" w:eastAsia="zh-CN"/>
              </w:rPr>
              <w:t>专利管理、运用和保护：</w:t>
            </w:r>
          </w:p>
          <w:p>
            <w:pPr>
              <w:pStyle w:val="7"/>
              <w:keepNext w:val="0"/>
              <w:keepLines w:val="0"/>
              <w:pageBreakBefore w:val="0"/>
              <w:widowControl/>
              <w:kinsoku/>
              <w:wordWrap/>
              <w:overflowPunct/>
              <w:topLinePunct w:val="0"/>
              <w:bidi w:val="0"/>
              <w:adjustRightInd w:val="0"/>
              <w:snapToGrid/>
              <w:spacing w:line="360" w:lineRule="auto"/>
              <w:contextualSpacing/>
              <w:textAlignment w:val="auto"/>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专利管理：记录高价值专利信息，建立分级管理制度，跟踪实施情况，定期评估。</w:t>
            </w:r>
          </w:p>
          <w:p>
            <w:pPr>
              <w:pStyle w:val="7"/>
              <w:keepNext w:val="0"/>
              <w:keepLines w:val="0"/>
              <w:pageBreakBefore w:val="0"/>
              <w:widowControl/>
              <w:kinsoku/>
              <w:wordWrap/>
              <w:overflowPunct/>
              <w:topLinePunct w:val="0"/>
              <w:bidi w:val="0"/>
              <w:adjustRightInd w:val="0"/>
              <w:snapToGrid/>
              <w:spacing w:line="360" w:lineRule="auto"/>
              <w:contextualSpacing/>
              <w:textAlignment w:val="auto"/>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转化运用：根据实际情况实施专利，推动价值实现。</w:t>
            </w:r>
          </w:p>
          <w:p>
            <w:pPr>
              <w:pStyle w:val="7"/>
              <w:keepNext w:val="0"/>
              <w:keepLines w:val="0"/>
              <w:pageBreakBefore w:val="0"/>
              <w:widowControl/>
              <w:kinsoku/>
              <w:wordWrap/>
              <w:overflowPunct/>
              <w:topLinePunct w:val="0"/>
              <w:bidi w:val="0"/>
              <w:adjustRightInd w:val="0"/>
              <w:snapToGrid/>
              <w:spacing w:line="360" w:lineRule="auto"/>
              <w:contextualSpacing/>
              <w:textAlignment w:val="auto"/>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维权保护：建立侵权预警和应对制度，监控本领域专利申请和授权情况。</w:t>
            </w:r>
          </w:p>
          <w:p>
            <w:pPr>
              <w:pStyle w:val="7"/>
              <w:keepNext w:val="0"/>
              <w:keepLines w:val="0"/>
              <w:pageBreakBefore w:val="0"/>
              <w:widowControl/>
              <w:kinsoku/>
              <w:wordWrap/>
              <w:overflowPunct/>
              <w:topLinePunct w:val="0"/>
              <w:bidi w:val="0"/>
              <w:adjustRightInd w:val="0"/>
              <w:snapToGrid/>
              <w:spacing w:line="360" w:lineRule="auto"/>
              <w:contextualSpacing/>
              <w:textAlignment w:val="auto"/>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9、</w:t>
            </w:r>
            <w:r>
              <w:rPr>
                <w:rFonts w:hint="default" w:ascii="宋体" w:hAnsi="宋体" w:eastAsia="宋体" w:cs="Times New Roman"/>
                <w:szCs w:val="21"/>
                <w:lang w:val="en-US" w:eastAsia="zh-CN"/>
              </w:rPr>
              <w:t>评价和改进：</w:t>
            </w:r>
          </w:p>
          <w:p>
            <w:pPr>
              <w:pStyle w:val="7"/>
              <w:keepNext w:val="0"/>
              <w:keepLines w:val="0"/>
              <w:pageBreakBefore w:val="0"/>
              <w:widowControl/>
              <w:kinsoku/>
              <w:wordWrap/>
              <w:overflowPunct/>
              <w:topLinePunct w:val="0"/>
              <w:bidi w:val="0"/>
              <w:adjustRightInd w:val="0"/>
              <w:snapToGrid/>
              <w:spacing w:line="360" w:lineRule="auto"/>
              <w:contextualSpacing/>
              <w:textAlignment w:val="auto"/>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评价：适时组织评价，包括规范性、有效性、数量和质量等。</w:t>
            </w:r>
          </w:p>
          <w:p>
            <w:pPr>
              <w:pStyle w:val="7"/>
              <w:keepNext w:val="0"/>
              <w:keepLines w:val="0"/>
              <w:pageBreakBefore w:val="0"/>
              <w:widowControl/>
              <w:kinsoku/>
              <w:wordWrap/>
              <w:overflowPunct/>
              <w:topLinePunct w:val="0"/>
              <w:bidi w:val="0"/>
              <w:adjustRightInd w:val="0"/>
              <w:snapToGrid/>
              <w:spacing w:line="360" w:lineRule="auto"/>
              <w:contextualSpacing/>
              <w:textAlignment w:val="auto"/>
              <w:rPr>
                <w:rFonts w:hint="default"/>
                <w:lang w:val="en-US" w:eastAsia="zh-CN"/>
              </w:rPr>
            </w:pPr>
            <w:r>
              <w:rPr>
                <w:rFonts w:hint="default" w:ascii="宋体" w:hAnsi="宋体" w:eastAsia="宋体" w:cs="Times New Roman"/>
                <w:szCs w:val="21"/>
                <w:lang w:val="en-US" w:eastAsia="zh-CN"/>
              </w:rPr>
              <w:t>改进：根据评价结果优化工作制度、加大资源投入、改进管理方式等。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7"/>
              <w:adjustRightInd w:val="0"/>
              <w:spacing w:line="360" w:lineRule="auto"/>
              <w:ind w:firstLine="0" w:firstLineChars="0"/>
              <w:contextualSpacing/>
              <w:rPr>
                <w:rFonts w:hAnsi="宋体"/>
                <w:szCs w:val="21"/>
              </w:rPr>
            </w:pPr>
            <w:bookmarkStart w:id="0" w:name="_Toc464905809"/>
            <w:bookmarkStart w:id="1" w:name="_Toc464902852"/>
            <w:bookmarkStart w:id="2" w:name="_Toc464905613"/>
            <w:bookmarkStart w:id="3" w:name="_Toc465074266"/>
            <w:bookmarkStart w:id="4" w:name="_Toc464905557"/>
            <w:r>
              <w:rPr>
                <w:rFonts w:hint="eastAsia" w:hAnsi="宋体"/>
                <w:szCs w:val="21"/>
              </w:rPr>
              <w:t>5、标准中如果涉及专利，应有明确的知识产权说明</w:t>
            </w:r>
            <w:bookmarkEnd w:id="0"/>
            <w:bookmarkEnd w:id="1"/>
            <w:bookmarkEnd w:id="2"/>
            <w:bookmarkEnd w:id="3"/>
            <w:bookmarkEnd w:id="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7"/>
              <w:adjustRightInd w:val="0"/>
              <w:spacing w:line="360" w:lineRule="auto"/>
              <w:ind w:firstLine="0" w:firstLineChars="0"/>
              <w:contextualSpacing/>
              <w:rPr>
                <w:rFonts w:hAnsi="宋体"/>
                <w:szCs w:val="21"/>
              </w:rPr>
            </w:pPr>
            <w:r>
              <w:rPr>
                <w:rFonts w:hint="eastAsia" w:hAnsi="宋体"/>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7"/>
              <w:adjustRightInd w:val="0"/>
              <w:spacing w:line="360" w:lineRule="auto"/>
              <w:ind w:firstLine="0" w:firstLineChars="0"/>
              <w:contextualSpacing/>
              <w:rPr>
                <w:rFonts w:hAnsi="宋体"/>
                <w:szCs w:val="21"/>
              </w:rPr>
            </w:pPr>
            <w:bookmarkStart w:id="5" w:name="_Toc464905558"/>
            <w:bookmarkStart w:id="6" w:name="_Toc464902853"/>
            <w:bookmarkStart w:id="7" w:name="_Toc464905614"/>
            <w:bookmarkStart w:id="8" w:name="_Toc464905810"/>
            <w:bookmarkStart w:id="9" w:name="_Toc465074267"/>
            <w:r>
              <w:rPr>
                <w:rFonts w:hint="eastAsia" w:hAnsi="宋体"/>
                <w:szCs w:val="21"/>
              </w:rPr>
              <w:t>6、采用国际标准或国外先进标准的，说明采标程度，以及国内外同类标准水平的对比情况</w:t>
            </w:r>
            <w:bookmarkEnd w:id="5"/>
            <w:bookmarkEnd w:id="6"/>
            <w:bookmarkEnd w:id="7"/>
            <w:bookmarkEnd w:id="8"/>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7"/>
              <w:adjustRightInd w:val="0"/>
              <w:spacing w:line="360" w:lineRule="auto"/>
              <w:ind w:firstLine="0" w:firstLineChars="0"/>
              <w:contextualSpacing/>
              <w:rPr>
                <w:rFonts w:hAnsi="宋体"/>
                <w:szCs w:val="21"/>
              </w:rPr>
            </w:pPr>
            <w:r>
              <w:rPr>
                <w:rFonts w:hint="eastAsia" w:hAnsi="宋体"/>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7"/>
              <w:adjustRightInd w:val="0"/>
              <w:spacing w:line="360" w:lineRule="auto"/>
              <w:ind w:firstLine="0" w:firstLineChars="0"/>
              <w:contextualSpacing/>
              <w:rPr>
                <w:rFonts w:hAnsi="宋体"/>
                <w:szCs w:val="21"/>
              </w:rPr>
            </w:pPr>
            <w:bookmarkStart w:id="10" w:name="_Toc464905559"/>
            <w:bookmarkStart w:id="11" w:name="_Toc464902854"/>
            <w:bookmarkStart w:id="12" w:name="_Toc464905615"/>
            <w:bookmarkStart w:id="13" w:name="_Toc464905811"/>
            <w:bookmarkStart w:id="14" w:name="_Toc465074268"/>
            <w:r>
              <w:rPr>
                <w:rFonts w:hint="eastAsia" w:hAnsi="宋体"/>
                <w:szCs w:val="21"/>
              </w:rPr>
              <w:t>7、重大分歧意见的处理经过和依据</w:t>
            </w:r>
            <w:bookmarkEnd w:id="10"/>
            <w:bookmarkEnd w:id="11"/>
            <w:bookmarkEnd w:id="12"/>
            <w:bookmarkEnd w:id="13"/>
            <w:bookmarkEnd w:id="1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7"/>
              <w:adjustRightInd w:val="0"/>
              <w:spacing w:line="360" w:lineRule="auto"/>
              <w:ind w:firstLine="0" w:firstLineChars="0"/>
              <w:contextualSpacing/>
              <w:rPr>
                <w:rFonts w:hAnsi="宋体"/>
                <w:szCs w:val="21"/>
              </w:rPr>
            </w:pPr>
            <w:r>
              <w:rPr>
                <w:rFonts w:hint="eastAsia" w:hAnsi="宋体"/>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7"/>
              <w:adjustRightInd w:val="0"/>
              <w:spacing w:line="360" w:lineRule="auto"/>
              <w:ind w:firstLine="0" w:firstLineChars="0"/>
              <w:contextualSpacing/>
              <w:rPr>
                <w:rFonts w:hAnsi="宋体"/>
                <w:szCs w:val="21"/>
              </w:rPr>
            </w:pPr>
            <w:bookmarkStart w:id="15" w:name="_Toc464902855"/>
            <w:bookmarkStart w:id="16" w:name="_Toc464905812"/>
            <w:bookmarkStart w:id="17" w:name="_Toc465074269"/>
            <w:bookmarkStart w:id="18" w:name="_Toc464905616"/>
            <w:bookmarkStart w:id="19" w:name="_Toc464905560"/>
            <w:r>
              <w:rPr>
                <w:rFonts w:hint="eastAsia" w:hAnsi="宋体"/>
                <w:szCs w:val="21"/>
              </w:rPr>
              <w:t>8、贯彻标准的要求和措施建议（包括组织措施、技术措施、过渡办法、实施日期等）</w:t>
            </w:r>
            <w:bookmarkEnd w:id="15"/>
            <w:bookmarkEnd w:id="16"/>
            <w:bookmarkEnd w:id="17"/>
            <w:bookmarkEnd w:id="18"/>
            <w:bookmarkEnd w:id="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7"/>
              <w:adjustRightInd w:val="0"/>
              <w:spacing w:line="360" w:lineRule="auto"/>
              <w:ind w:firstLine="420" w:firstLineChars="200"/>
              <w:contextualSpacing/>
              <w:rPr>
                <w:rFonts w:hint="eastAsia" w:hAnsi="宋体" w:eastAsia="宋体"/>
                <w:szCs w:val="21"/>
                <w:lang w:val="en-US" w:eastAsia="zh-CN"/>
              </w:rPr>
            </w:pPr>
            <w:r>
              <w:rPr>
                <w:rFonts w:hint="default" w:ascii="宋体" w:hAnsi="宋体" w:eastAsia="宋体" w:cs="Times New Roman"/>
                <w:szCs w:val="21"/>
                <w:lang w:val="en-US" w:eastAsia="zh-CN"/>
              </w:rPr>
              <w:t>该标准发布实施后，建议</w:t>
            </w:r>
            <w:r>
              <w:rPr>
                <w:rFonts w:hint="eastAsia" w:ascii="宋体" w:hAnsi="宋体" w:eastAsia="宋体" w:cs="Times New Roman"/>
                <w:szCs w:val="21"/>
                <w:lang w:val="en-US" w:eastAsia="zh-CN"/>
              </w:rPr>
              <w:t>知识产权相关主管</w:t>
            </w:r>
            <w:r>
              <w:rPr>
                <w:rFonts w:hint="default" w:ascii="宋体" w:hAnsi="宋体" w:eastAsia="宋体" w:cs="Times New Roman"/>
                <w:szCs w:val="21"/>
                <w:lang w:val="en-US" w:eastAsia="zh-CN"/>
              </w:rPr>
              <w:t>部门、</w:t>
            </w:r>
            <w:r>
              <w:rPr>
                <w:rFonts w:hint="eastAsia" w:ascii="宋体" w:hAnsi="宋体" w:eastAsia="宋体" w:cs="Times New Roman"/>
                <w:szCs w:val="21"/>
                <w:lang w:val="en-US" w:eastAsia="zh-CN"/>
              </w:rPr>
              <w:t>高价值专利培育</w:t>
            </w:r>
            <w:r>
              <w:rPr>
                <w:rFonts w:hint="eastAsia" w:hAnsi="宋体"/>
                <w:szCs w:val="21"/>
              </w:rPr>
              <w:t>企业、高等学校、科研组织等创新主体</w:t>
            </w:r>
            <w:r>
              <w:rPr>
                <w:rFonts w:hint="default" w:ascii="宋体" w:hAnsi="宋体" w:eastAsia="宋体" w:cs="Times New Roman"/>
                <w:szCs w:val="21"/>
                <w:lang w:val="en-US" w:eastAsia="zh-CN"/>
              </w:rPr>
              <w:t>认真组织学习，就标准相关内容进行解读，使相关人员了解标准、熟悉标准。建议</w:t>
            </w:r>
            <w:r>
              <w:rPr>
                <w:rFonts w:hint="eastAsia" w:ascii="宋体" w:hAnsi="宋体" w:eastAsia="宋体" w:cs="Times New Roman"/>
                <w:szCs w:val="21"/>
                <w:lang w:val="en-US" w:eastAsia="zh-CN"/>
              </w:rPr>
              <w:t>高价值专利培育</w:t>
            </w:r>
            <w:r>
              <w:rPr>
                <w:rFonts w:hint="eastAsia" w:hAnsi="宋体"/>
                <w:szCs w:val="21"/>
              </w:rPr>
              <w:t>企业、高等学校、科研组织等创新主体</w:t>
            </w:r>
            <w:r>
              <w:rPr>
                <w:rFonts w:hint="default" w:ascii="宋体" w:hAnsi="宋体" w:eastAsia="宋体" w:cs="Times New Roman"/>
                <w:szCs w:val="21"/>
                <w:lang w:val="en-US" w:eastAsia="zh-CN"/>
              </w:rPr>
              <w:t>依据标准，改进完善自身生产条件、</w:t>
            </w:r>
            <w:r>
              <w:rPr>
                <w:rFonts w:hint="eastAsia" w:ascii="宋体" w:hAnsi="宋体" w:eastAsia="宋体" w:cs="Times New Roman"/>
                <w:szCs w:val="21"/>
                <w:lang w:val="en-US" w:eastAsia="zh-CN"/>
              </w:rPr>
              <w:t>开展</w:t>
            </w:r>
            <w:r>
              <w:rPr>
                <w:rFonts w:hint="eastAsia" w:hAnsi="宋体"/>
                <w:szCs w:val="21"/>
              </w:rPr>
              <w:t>高价值专利的</w:t>
            </w:r>
            <w:r>
              <w:rPr>
                <w:rFonts w:hint="eastAsia" w:hAnsi="宋体"/>
                <w:szCs w:val="21"/>
                <w:lang w:val="en-US" w:eastAsia="zh-CN"/>
              </w:rPr>
              <w:t>相关</w:t>
            </w:r>
            <w:r>
              <w:rPr>
                <w:rFonts w:hint="eastAsia" w:hAnsi="宋体"/>
                <w:szCs w:val="21"/>
              </w:rPr>
              <w:t>活动</w:t>
            </w:r>
            <w:r>
              <w:rPr>
                <w:rFonts w:hint="default" w:ascii="宋体" w:hAnsi="宋体" w:eastAsia="宋体" w:cs="Times New Roman"/>
                <w:szCs w:val="21"/>
                <w:lang w:val="en-US" w:eastAsia="zh-CN"/>
              </w:rPr>
              <w:t>；</w:t>
            </w:r>
            <w:r>
              <w:rPr>
                <w:rFonts w:hint="eastAsia" w:ascii="宋体" w:hAnsi="宋体" w:eastAsia="宋体" w:cs="Times New Roman"/>
                <w:szCs w:val="21"/>
                <w:lang w:val="en-US" w:eastAsia="zh-CN"/>
              </w:rPr>
              <w:t>知识产权主管</w:t>
            </w:r>
            <w:r>
              <w:rPr>
                <w:rFonts w:hint="default" w:ascii="宋体" w:hAnsi="宋体" w:eastAsia="宋体" w:cs="Times New Roman"/>
                <w:szCs w:val="21"/>
                <w:lang w:val="en-US" w:eastAsia="zh-CN"/>
              </w:rPr>
              <w:t>部门依据标准开展</w:t>
            </w:r>
            <w:r>
              <w:rPr>
                <w:rFonts w:hint="eastAsia" w:ascii="宋体" w:hAnsi="宋体" w:eastAsia="宋体" w:cs="Times New Roman"/>
                <w:szCs w:val="21"/>
                <w:lang w:val="en-US" w:eastAsia="zh-CN"/>
              </w:rPr>
              <w:t>高价值专利培育中心创建</w:t>
            </w:r>
            <w:r>
              <w:rPr>
                <w:rFonts w:hint="default" w:ascii="宋体" w:hAnsi="宋体" w:eastAsia="宋体" w:cs="Times New Roman"/>
                <w:szCs w:val="21"/>
                <w:lang w:val="en-US" w:eastAsia="zh-CN"/>
              </w:rPr>
              <w:t>及考核验收；同时，结合日常工作，</w:t>
            </w:r>
            <w:r>
              <w:rPr>
                <w:rFonts w:hint="eastAsia" w:ascii="宋体" w:hAnsi="宋体" w:eastAsia="宋体" w:cs="Times New Roman"/>
                <w:kern w:val="0"/>
                <w:sz w:val="21"/>
                <w:szCs w:val="21"/>
                <w:lang w:val="en-US" w:eastAsia="zh-CN" w:bidi="ar-SA"/>
              </w:rPr>
              <w:t>引导创新主体和市场主体更加注重专利质量和效益，聚焦核心关键技术领域，促进专利转化运用</w:t>
            </w:r>
            <w:r>
              <w:rPr>
                <w:rFonts w:hint="default" w:ascii="宋体" w:hAnsi="宋体" w:eastAsia="宋体" w:cs="Times New Roman"/>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7"/>
              <w:adjustRightInd w:val="0"/>
              <w:spacing w:line="360" w:lineRule="auto"/>
              <w:ind w:firstLine="0" w:firstLineChars="0"/>
              <w:contextualSpacing/>
              <w:rPr>
                <w:rFonts w:hAnsi="宋体"/>
                <w:szCs w:val="21"/>
              </w:rPr>
            </w:pPr>
            <w:bookmarkStart w:id="20" w:name="_Toc464905813"/>
            <w:bookmarkStart w:id="21" w:name="_Toc465074270"/>
            <w:bookmarkStart w:id="22" w:name="_Toc464905561"/>
            <w:bookmarkStart w:id="23" w:name="_Toc464905617"/>
            <w:bookmarkStart w:id="24" w:name="_Toc464902856"/>
            <w:r>
              <w:rPr>
                <w:rFonts w:hint="eastAsia" w:hAnsi="宋体"/>
                <w:szCs w:val="21"/>
              </w:rPr>
              <w:t>9、废止现行相关标准的建议</w:t>
            </w:r>
            <w:bookmarkEnd w:id="20"/>
            <w:bookmarkEnd w:id="21"/>
            <w:bookmarkEnd w:id="22"/>
            <w:bookmarkEnd w:id="23"/>
            <w:bookmarkEnd w:id="2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7"/>
              <w:adjustRightInd w:val="0"/>
              <w:spacing w:line="360" w:lineRule="auto"/>
              <w:ind w:firstLine="0" w:firstLineChars="0"/>
              <w:contextualSpacing/>
              <w:rPr>
                <w:rFonts w:hAnsi="宋体"/>
                <w:szCs w:val="21"/>
              </w:rPr>
            </w:pPr>
            <w:r>
              <w:rPr>
                <w:rFonts w:hint="eastAsia" w:hAnsi="宋体"/>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7"/>
              <w:adjustRightInd w:val="0"/>
              <w:spacing w:line="360" w:lineRule="auto"/>
              <w:ind w:firstLine="0" w:firstLineChars="0"/>
              <w:contextualSpacing/>
              <w:rPr>
                <w:rFonts w:hAnsi="宋体"/>
                <w:szCs w:val="21"/>
              </w:rPr>
            </w:pPr>
            <w:bookmarkStart w:id="25" w:name="_Toc465074271"/>
            <w:bookmarkStart w:id="26" w:name="_Toc464902857"/>
            <w:bookmarkStart w:id="27" w:name="_Toc464905618"/>
            <w:bookmarkStart w:id="28" w:name="_Toc464905562"/>
            <w:bookmarkStart w:id="29" w:name="_Toc464905814"/>
            <w:r>
              <w:rPr>
                <w:rFonts w:hint="eastAsia" w:hAnsi="宋体"/>
                <w:szCs w:val="21"/>
              </w:rPr>
              <w:t>10、其它应予说明的事项</w:t>
            </w:r>
            <w:bookmarkEnd w:id="25"/>
            <w:bookmarkEnd w:id="26"/>
            <w:bookmarkEnd w:id="27"/>
            <w:bookmarkEnd w:id="28"/>
            <w:bookmarkEnd w:id="2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7"/>
              <w:adjustRightInd w:val="0"/>
              <w:spacing w:line="360" w:lineRule="auto"/>
              <w:ind w:firstLine="0" w:firstLineChars="0"/>
              <w:contextualSpacing/>
              <w:rPr>
                <w:rFonts w:hint="eastAsia" w:hAnsi="宋体" w:eastAsia="宋体"/>
                <w:szCs w:val="21"/>
                <w:lang w:val="en-US" w:eastAsia="zh-CN"/>
              </w:rPr>
            </w:pPr>
            <w:r>
              <w:rPr>
                <w:rFonts w:hint="eastAsia" w:hAnsi="宋体"/>
                <w:szCs w:val="21"/>
                <w:lang w:val="en-US" w:eastAsia="zh-CN"/>
              </w:rPr>
              <w:t>无</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78A7362"/>
    <w:multiLevelType w:val="singleLevel"/>
    <w:tmpl w:val="B78A7362"/>
    <w:lvl w:ilvl="0" w:tentative="0">
      <w:start w:val="2"/>
      <w:numFmt w:val="chineseCounting"/>
      <w:suff w:val="nothing"/>
      <w:lvlText w:val="（%1）"/>
      <w:lvlJc w:val="left"/>
      <w:rPr>
        <w:rFonts w:hint="eastAsia"/>
      </w:rPr>
    </w:lvl>
  </w:abstractNum>
  <w:abstractNum w:abstractNumId="1">
    <w:nsid w:val="6DBF04F4"/>
    <w:multiLevelType w:val="multilevel"/>
    <w:tmpl w:val="6DBF04F4"/>
    <w:lvl w:ilvl="0" w:tentative="0">
      <w:start w:val="1"/>
      <w:numFmt w:val="none"/>
      <w:pStyle w:val="8"/>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880BD9"/>
    <w:rsid w:val="015F52E7"/>
    <w:rsid w:val="030E04AB"/>
    <w:rsid w:val="08AB5216"/>
    <w:rsid w:val="0A435460"/>
    <w:rsid w:val="0B5E7EE7"/>
    <w:rsid w:val="0CD965D6"/>
    <w:rsid w:val="0EAD3FAA"/>
    <w:rsid w:val="135B2685"/>
    <w:rsid w:val="18C0359C"/>
    <w:rsid w:val="202540CE"/>
    <w:rsid w:val="24E76918"/>
    <w:rsid w:val="27AC73A1"/>
    <w:rsid w:val="2DDF4704"/>
    <w:rsid w:val="2DED2B23"/>
    <w:rsid w:val="2FB23B46"/>
    <w:rsid w:val="30B15D48"/>
    <w:rsid w:val="35352E63"/>
    <w:rsid w:val="35C520C4"/>
    <w:rsid w:val="36E60DA7"/>
    <w:rsid w:val="3A734CD1"/>
    <w:rsid w:val="3E5F118E"/>
    <w:rsid w:val="3E793BA2"/>
    <w:rsid w:val="3EBB28E7"/>
    <w:rsid w:val="3F44436C"/>
    <w:rsid w:val="40CF25AE"/>
    <w:rsid w:val="469531D6"/>
    <w:rsid w:val="49184972"/>
    <w:rsid w:val="496E2BE7"/>
    <w:rsid w:val="50696CF8"/>
    <w:rsid w:val="5EE0599E"/>
    <w:rsid w:val="5FBB3115"/>
    <w:rsid w:val="60A251A4"/>
    <w:rsid w:val="70F82258"/>
    <w:rsid w:val="74A56579"/>
    <w:rsid w:val="74CE2E49"/>
    <w:rsid w:val="758C00FA"/>
    <w:rsid w:val="79795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toc 1"/>
    <w:basedOn w:val="1"/>
    <w:next w:val="1"/>
    <w:qFormat/>
    <w:uiPriority w:val="39"/>
    <w:pPr>
      <w:widowControl w:val="0"/>
      <w:spacing w:before="120" w:after="120"/>
      <w:jc w:val="left"/>
    </w:pPr>
    <w:rPr>
      <w:rFonts w:ascii="Calibri" w:hAnsi="Calibri" w:eastAsia="宋体" w:cs="Times New Roman"/>
      <w:b/>
      <w:bCs/>
      <w:caps/>
      <w:kern w:val="2"/>
      <w:sz w:val="20"/>
      <w:szCs w:val="20"/>
      <w:lang w:val="en-US" w:eastAsia="zh-CN" w:bidi="ar-SA"/>
    </w:r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paragraph" w:customStyle="1" w:styleId="7">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0"/>
      <w:sz w:val="21"/>
      <w:szCs w:val="20"/>
      <w:lang w:val="en-US" w:eastAsia="zh-CN" w:bidi="ar-SA"/>
    </w:rPr>
  </w:style>
  <w:style w:type="paragraph" w:customStyle="1" w:styleId="8">
    <w:name w:val="标准文件_注："/>
    <w:next w:val="9"/>
    <w:qFormat/>
    <w:uiPriority w:val="0"/>
    <w:pPr>
      <w:widowControl w:val="0"/>
      <w:numPr>
        <w:ilvl w:val="0"/>
        <w:numId w:val="1"/>
      </w:numPr>
      <w:autoSpaceDE w:val="0"/>
      <w:autoSpaceDN w:val="0"/>
      <w:jc w:val="both"/>
    </w:pPr>
    <w:rPr>
      <w:rFonts w:ascii="宋体" w:hAnsi="Times New Roman" w:eastAsia="宋体" w:cs="Times New Roman"/>
      <w:kern w:val="0"/>
      <w:sz w:val="18"/>
      <w:szCs w:val="18"/>
      <w:lang w:val="en-US" w:eastAsia="zh-CN" w:bidi="ar-SA"/>
    </w:rPr>
  </w:style>
  <w:style w:type="paragraph" w:customStyle="1" w:styleId="9">
    <w:name w:val="标准文件_段"/>
    <w:qFormat/>
    <w:uiPriority w:val="0"/>
    <w:pPr>
      <w:autoSpaceDE w:val="0"/>
      <w:autoSpaceDN w:val="0"/>
      <w:ind w:firstLine="200" w:firstLineChars="200"/>
      <w:jc w:val="both"/>
    </w:pPr>
    <w:rPr>
      <w:rFonts w:ascii="宋体" w:hAnsi="Times New Roman" w:eastAsia="宋体" w:cs="Times New Roman"/>
      <w:kern w:val="0"/>
      <w:sz w:val="21"/>
      <w:szCs w:val="2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688</Words>
  <Characters>773</Characters>
  <Lines>0</Lines>
  <Paragraphs>0</Paragraphs>
  <TotalTime>6</TotalTime>
  <ScaleCrop>false</ScaleCrop>
  <LinksUpToDate>false</LinksUpToDate>
  <CharactersWithSpaces>774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2024-11-14T01:21:00Z</dcterms:created>
  <dc:creator>Lenovo</dc:creator>
  <cp:lastModifiedBy>风和日丽</cp:lastModifiedBy>
  <dcterms:modified xsi:type="dcterms:W3CDTF">2024-12-06T03:53:08Z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6AA65CECD19C4213A423CCC14CBC8F5A_13</vt:lpwstr>
  </property>
</Properties>
</file>