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hint="eastAsia" w:ascii="黑体" w:hAnsi="黑体" w:eastAsia="黑体"/>
                <w:sz w:val="21"/>
                <w:szCs w:val="21"/>
              </w:rPr>
            </w:pPr>
            <w:r>
              <w:rPr>
                <w:rFonts w:hint="default" w:ascii="Times New Roman" w:hAnsi="Times New Roman" w:eastAsia="黑体"/>
                <w:sz w:val="21"/>
                <w:szCs w:val="21"/>
              </w:rPr>
              <w:t>ICS</w:t>
            </w:r>
            <w:r>
              <w:rPr>
                <w:rFonts w:hint="default" w:ascii="黑体" w:hAnsi="黑体" w:eastAsia="黑体"/>
                <w:sz w:val="21"/>
                <w:szCs w:val="21"/>
              </w:rPr>
              <w:t xml:space="preserve">  </w:t>
            </w:r>
          </w:p>
        </w:tc>
        <w:tc>
          <w:tcPr>
            <w:tcW w:w="8855" w:type="dxa"/>
          </w:tcPr>
          <w:p>
            <w:pPr>
              <w:pStyle w:val="18"/>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both"/>
              <w:rPr>
                <w:rFonts w:hint="eastAsia" w:ascii="黑体" w:hAnsi="黑体" w:eastAsia="黑体"/>
                <w:sz w:val="21"/>
                <w:szCs w:val="21"/>
              </w:rPr>
            </w:pPr>
            <w:r>
              <w:rPr>
                <w:rFonts w:hint="default" w:ascii="黑体" w:hAnsi="黑体" w:eastAsia="黑体"/>
                <w:sz w:val="21"/>
                <w:szCs w:val="21"/>
              </w:rPr>
              <w:fldChar w:fldCharType="begin">
                <w:ffData>
                  <w:name w:val="ICS"/>
                  <w:enabled/>
                  <w:calcOnExit w:val="0"/>
                  <w:textInput>
                    <w:default w:val="点击此处添加ICS号"/>
                  </w:textInput>
                </w:ffData>
              </w:fldChar>
            </w:r>
            <w:bookmarkStart w:id="0" w:name="ICS"/>
            <w:r>
              <w:rPr>
                <w:rFonts w:hint="default" w:ascii="黑体" w:hAnsi="黑体" w:eastAsia="黑体"/>
                <w:sz w:val="21"/>
                <w:szCs w:val="21"/>
              </w:rPr>
              <w:instrText xml:space="preserve"> FORMTEXT </w:instrText>
            </w:r>
            <w:r>
              <w:rPr>
                <w:rFonts w:hint="default" w:ascii="黑体" w:hAnsi="黑体" w:eastAsia="黑体"/>
                <w:sz w:val="21"/>
                <w:szCs w:val="21"/>
              </w:rPr>
              <w:fldChar w:fldCharType="separate"/>
            </w:r>
            <w:r>
              <w:rPr>
                <w:rFonts w:hint="default" w:ascii="黑体" w:hAnsi="黑体" w:eastAsia="黑体"/>
                <w:sz w:val="21"/>
                <w:szCs w:val="21"/>
              </w:rPr>
              <w:t>03.140</w:t>
            </w:r>
            <w:r>
              <w:rPr>
                <w:rFonts w:hint="default"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eastAsia" w:ascii="黑体" w:hAnsi="黑体" w:eastAsia="黑体"/>
                <w:sz w:val="21"/>
                <w:szCs w:val="21"/>
              </w:rPr>
            </w:pPr>
            <w:r>
              <w:rPr>
                <w:rFonts w:hint="default" w:ascii="Times New Roman" w:hAnsi="Times New Roman" w:eastAsia="黑体"/>
                <w:sz w:val="21"/>
                <w:szCs w:val="21"/>
              </w:rPr>
              <w:t xml:space="preserve">CCS </w:t>
            </w:r>
            <w:r>
              <w:rPr>
                <w:rFonts w:hint="default" w:ascii="黑体" w:hAnsi="黑体" w:eastAsia="黑体"/>
                <w:sz w:val="21"/>
                <w:szCs w:val="21"/>
              </w:rPr>
              <w:t xml:space="preserve"> </w:t>
            </w:r>
          </w:p>
        </w:tc>
        <w:tc>
          <w:tcPr>
            <w:tcW w:w="8855" w:type="dxa"/>
          </w:tcPr>
          <w:p>
            <w:pPr>
              <w:pStyle w:val="18"/>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eastAsia" w:ascii="黑体" w:hAnsi="黑体" w:eastAsia="黑体"/>
                <w:sz w:val="21"/>
                <w:szCs w:val="21"/>
              </w:rPr>
            </w:pPr>
            <w:r>
              <w:rPr>
                <w:rFonts w:hint="default" w:ascii="黑体" w:hAnsi="黑体" w:eastAsia="黑体"/>
                <w:sz w:val="21"/>
                <w:szCs w:val="21"/>
              </w:rPr>
              <w:fldChar w:fldCharType="begin">
                <w:ffData>
                  <w:name w:val="CSDN"/>
                  <w:enabled/>
                  <w:calcOnExit w:val="0"/>
                  <w:textInput>
                    <w:default w:val="点击此处添加CCS号"/>
                  </w:textInput>
                </w:ffData>
              </w:fldChar>
            </w:r>
            <w:bookmarkStart w:id="1" w:name="CSDN"/>
            <w:r>
              <w:rPr>
                <w:rFonts w:hint="default" w:ascii="黑体" w:hAnsi="黑体" w:eastAsia="黑体"/>
                <w:sz w:val="21"/>
                <w:szCs w:val="21"/>
              </w:rPr>
              <w:instrText xml:space="preserve"> FORMTEXT </w:instrText>
            </w:r>
            <w:r>
              <w:rPr>
                <w:rFonts w:hint="default" w:ascii="黑体" w:hAnsi="黑体" w:eastAsia="黑体"/>
                <w:sz w:val="21"/>
                <w:szCs w:val="21"/>
              </w:rPr>
              <w:fldChar w:fldCharType="separate"/>
            </w:r>
            <w:r>
              <w:rPr>
                <w:rFonts w:hint="default" w:ascii="黑体" w:hAnsi="黑体" w:eastAsia="黑体"/>
                <w:sz w:val="21"/>
                <w:szCs w:val="21"/>
              </w:rPr>
              <w:t>A 00</w:t>
            </w:r>
            <w:r>
              <w:rPr>
                <w:rFonts w:hint="default"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keepNext w:val="0"/>
              <w:keepLines w:val="0"/>
              <w:framePr w:w="0" w:hRule="auto" w:wrap="auto" w:vAnchor="margin" w:hAnchor="text" w:xAlign="left" w:yAlign="inline"/>
              <w:widowControl/>
              <w:suppressLineNumbers w:val="0"/>
              <w:spacing w:before="0" w:beforeAutospacing="0" w:after="0" w:afterAutospacing="0"/>
              <w:ind w:left="0" w:right="0"/>
              <w:rPr>
                <w:rFonts w:hint="eastAsia" w:ascii="宋体" w:hAnsi="宋体"/>
                <w:sz w:val="28"/>
                <w:szCs w:val="28"/>
              </w:rPr>
            </w:pPr>
            <w:bookmarkStart w:id="2" w:name="_Hlk26473981"/>
            <w:r>
              <w:rPr>
                <w:rFonts w:hint="default"/>
                <w:szCs w:val="20"/>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default"/>
                <w:sz w:val="21"/>
                <w:szCs w:val="21"/>
              </w:rPr>
              <w:t xml:space="preserve"> </w:t>
            </w:r>
            <w:r>
              <w:rPr>
                <w:rFonts w:hint="default"/>
                <w:szCs w:val="20"/>
              </w:rPr>
              <w:fldChar w:fldCharType="begin">
                <w:ffData>
                  <w:name w:val="c1"/>
                  <w:enabled/>
                  <w:calcOnExit w:val="0"/>
                  <w:textInput>
                    <w:maxLength w:val="8"/>
                  </w:textInput>
                </w:ffData>
              </w:fldChar>
            </w:r>
            <w:bookmarkStart w:id="3" w:name="c1"/>
            <w:r>
              <w:rPr>
                <w:rFonts w:hint="default"/>
                <w:szCs w:val="20"/>
              </w:rPr>
              <w:instrText xml:space="preserve"> FORMTEXT </w:instrText>
            </w:r>
            <w:r>
              <w:rPr>
                <w:rFonts w:hint="default"/>
                <w:szCs w:val="20"/>
              </w:rPr>
              <w:fldChar w:fldCharType="separate"/>
            </w:r>
            <w:r>
              <w:rPr>
                <w:rFonts w:hint="default"/>
                <w:szCs w:val="20"/>
              </w:rPr>
              <w:t>34</w:t>
            </w:r>
            <w:r>
              <w:rPr>
                <w:rFonts w:hint="default"/>
                <w:szCs w:val="20"/>
              </w:rP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高价值发明专利培育中心管理规范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Management specification for high value invention patent cultivation center</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82553883"/>
      <w:bookmarkStart w:id="23" w:name="_Toc182553856"/>
      <w:bookmarkStart w:id="24" w:name="_Toc184286614"/>
      <w:bookmarkStart w:id="25" w:name="_Toc182553798"/>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"_Toc184369184" </w:instrText>
      </w:r>
      <w:r>
        <w:fldChar w:fldCharType="separate"/>
      </w:r>
      <w:r>
        <w:rPr>
          <w:rStyle w:val="32"/>
          <w:rFonts w:hint="eastAsia"/>
          <w:spacing w:val="32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_Toc184369184 \h</w:instrText>
      </w:r>
      <w:r>
        <w:rPr>
          <w:rFonts w:hint="eastAsia"/>
        </w:rPr>
        <w:instrText xml:space="preserve"> </w:instrText>
      </w:r>
      <w: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"_Toc184369185"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_Toc184369185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"_Toc184369186"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_Toc184369186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"_Toc184369187"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_Toc184369187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"_Toc184369188" </w:instrText>
      </w:r>
      <w:r>
        <w:fldChar w:fldCharType="separate"/>
      </w:r>
      <w:r>
        <w:rPr>
          <w:rStyle w:val="32"/>
          <w:rFonts w:hint="eastAsia"/>
        </w:rPr>
        <w:t>4 管理职责</w:t>
      </w:r>
      <w:r>
        <w:rPr>
          <w:rFonts w:hint="eastAsia"/>
        </w:rPr>
        <w:tab/>
      </w:r>
      <w:r>
        <w:rPr>
          <w:rFonts w:hint="eastAsia"/>
        </w:rPr>
        <w:fldChar w:fldCharType="begin"/>
      </w:r>
      <w:r>
        <w:rPr>
          <w:rFonts w:hint="eastAsia"/>
        </w:rPr>
        <w:instrText xml:space="preserve"> </w:instrText>
      </w:r>
      <w:r>
        <w:instrText xml:space="preserve">PAGEREF _Toc184369188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"_Toc184369189" </w:instrText>
      </w:r>
      <w:r>
        <w:fldChar w:fldCharType="separate"/>
      </w:r>
      <w:r>
        <w:rPr>
          <w:rStyle w:val="32"/>
          <w:rFonts w:hint="eastAsia"/>
        </w:rPr>
        <w:t>5 产业要求</w:t>
      </w:r>
      <w:r>
        <w:rPr>
          <w:rFonts w:hint="eastAsia"/>
        </w:rPr>
        <w:tab/>
      </w:r>
      <w:r>
        <w:rPr>
          <w:rFonts w:hint="eastAsia"/>
        </w:rPr>
        <w:fldChar w:fldCharType="begin"/>
      </w:r>
      <w:r>
        <w:rPr>
          <w:rFonts w:hint="eastAsia"/>
        </w:rPr>
        <w:instrText xml:space="preserve"> </w:instrText>
      </w:r>
      <w:r>
        <w:instrText xml:space="preserve">PAGEREF _Toc184369189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"_Toc184369190" </w:instrText>
      </w:r>
      <w:r>
        <w:fldChar w:fldCharType="separate"/>
      </w:r>
      <w:r>
        <w:rPr>
          <w:rStyle w:val="32"/>
          <w:rFonts w:hint="eastAsia"/>
        </w:rPr>
        <w:t>6 主体要求</w:t>
      </w:r>
      <w:r>
        <w:rPr>
          <w:rFonts w:hint="eastAsia"/>
        </w:rPr>
        <w:tab/>
      </w:r>
      <w:r>
        <w:rPr>
          <w:rFonts w:hint="eastAsia"/>
        </w:rPr>
        <w:fldChar w:fldCharType="begin"/>
      </w:r>
      <w:r>
        <w:rPr>
          <w:rFonts w:hint="eastAsia"/>
        </w:rPr>
        <w:instrText xml:space="preserve"> </w:instrText>
      </w:r>
      <w:r>
        <w:instrText xml:space="preserve">PAGEREF _Toc184369190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"_Toc184369191" </w:instrText>
      </w:r>
      <w:r>
        <w:fldChar w:fldCharType="separate"/>
      </w:r>
      <w:r>
        <w:rPr>
          <w:rStyle w:val="32"/>
          <w:rFonts w:hint="eastAsia"/>
        </w:rPr>
        <w:t>7 申报条件</w:t>
      </w:r>
      <w:r>
        <w:rPr>
          <w:rFonts w:hint="eastAsia"/>
        </w:rPr>
        <w:tab/>
      </w:r>
      <w:r>
        <w:rPr>
          <w:rFonts w:hint="eastAsia"/>
        </w:rPr>
        <w:fldChar w:fldCharType="begin"/>
      </w:r>
      <w:r>
        <w:rPr>
          <w:rFonts w:hint="eastAsia"/>
        </w:rPr>
        <w:instrText xml:space="preserve"> </w:instrText>
      </w:r>
      <w:r>
        <w:instrText xml:space="preserve">PAGEREF _Toc184369191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"_Toc184369192" </w:instrText>
      </w:r>
      <w:r>
        <w:fldChar w:fldCharType="separate"/>
      </w:r>
      <w:r>
        <w:rPr>
          <w:rStyle w:val="32"/>
          <w:rFonts w:hint="eastAsia"/>
        </w:rPr>
        <w:t>8 申报材料</w:t>
      </w:r>
      <w:r>
        <w:rPr>
          <w:rFonts w:hint="eastAsia"/>
        </w:rPr>
        <w:tab/>
      </w:r>
      <w:r>
        <w:rPr>
          <w:rFonts w:hint="eastAsia"/>
        </w:rPr>
        <w:fldChar w:fldCharType="begin"/>
      </w:r>
      <w:r>
        <w:rPr>
          <w:rFonts w:hint="eastAsia"/>
        </w:rPr>
        <w:instrText xml:space="preserve"> </w:instrText>
      </w:r>
      <w:r>
        <w:instrText xml:space="preserve">PAGEREF _Toc184369192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"_Toc184369193" </w:instrText>
      </w:r>
      <w:r>
        <w:fldChar w:fldCharType="separate"/>
      </w:r>
      <w:r>
        <w:rPr>
          <w:rStyle w:val="32"/>
          <w:rFonts w:hint="eastAsia"/>
        </w:rPr>
        <w:t>9 申报流程</w:t>
      </w:r>
      <w:r>
        <w:rPr>
          <w:rFonts w:hint="eastAsia"/>
        </w:rPr>
        <w:tab/>
      </w:r>
      <w:r>
        <w:rPr>
          <w:rFonts w:hint="eastAsia"/>
        </w:rPr>
        <w:fldChar w:fldCharType="begin"/>
      </w:r>
      <w:r>
        <w:rPr>
          <w:rFonts w:hint="eastAsia"/>
        </w:rPr>
        <w:instrText xml:space="preserve"> </w:instrText>
      </w:r>
      <w:r>
        <w:instrText xml:space="preserve">PAGEREF _Toc184369193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"_Toc184369194" </w:instrText>
      </w:r>
      <w:r>
        <w:fldChar w:fldCharType="separate"/>
      </w:r>
      <w:r>
        <w:rPr>
          <w:rStyle w:val="32"/>
          <w:rFonts w:hint="eastAsia"/>
        </w:rPr>
        <w:t>10 工作内容和任务</w:t>
      </w:r>
      <w:r>
        <w:rPr>
          <w:rFonts w:hint="eastAsia"/>
        </w:rPr>
        <w:tab/>
      </w:r>
      <w:r>
        <w:rPr>
          <w:rFonts w:hint="eastAsia"/>
        </w:rPr>
        <w:fldChar w:fldCharType="begin"/>
      </w:r>
      <w:r>
        <w:rPr>
          <w:rFonts w:hint="eastAsia"/>
        </w:rPr>
        <w:instrText xml:space="preserve"> </w:instrText>
      </w:r>
      <w:r>
        <w:instrText xml:space="preserve">PAGEREF _Toc184369194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"_Toc184369195" </w:instrText>
      </w:r>
      <w:r>
        <w:fldChar w:fldCharType="separate"/>
      </w:r>
      <w:r>
        <w:rPr>
          <w:rStyle w:val="32"/>
          <w:rFonts w:hint="eastAsia"/>
          <w14:scene3d>
            <w14:lightRig w14:rig="threePt" w14:dir="t">
              <w14:rot w14:lat="0" w14:lon="0" w14:rev="0"/>
            </w14:lightRig>
          </w14:scene3d>
        </w:rPr>
        <w:t>10.1</w:t>
      </w:r>
      <w:r>
        <w:rPr>
          <w:rStyle w:val="32"/>
          <w:rFonts w:hint="eastAsia"/>
        </w:rPr>
        <w:t xml:space="preserve"> 专利信息分析利用</w:t>
      </w:r>
      <w:r>
        <w:rPr>
          <w:rFonts w:hint="eastAsia"/>
        </w:rPr>
        <w:tab/>
      </w:r>
      <w:r>
        <w:rPr>
          <w:rFonts w:hint="eastAsia"/>
        </w:rPr>
        <w:fldChar w:fldCharType="begin"/>
      </w:r>
      <w:r>
        <w:rPr>
          <w:rFonts w:hint="eastAsia"/>
        </w:rPr>
        <w:instrText xml:space="preserve"> </w:instrText>
      </w:r>
      <w:r>
        <w:instrText xml:space="preserve">PAGEREF _Toc184369195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"_Toc184369196" </w:instrText>
      </w:r>
      <w:r>
        <w:fldChar w:fldCharType="separate"/>
      </w:r>
      <w:r>
        <w:rPr>
          <w:rStyle w:val="32"/>
          <w:rFonts w:hint="eastAsia"/>
          <w14:scene3d>
            <w14:lightRig w14:rig="threePt" w14:dir="t">
              <w14:rot w14:lat="0" w14:lon="0" w14:rev="0"/>
            </w14:lightRig>
          </w14:scene3d>
        </w:rPr>
        <w:t>10.2</w:t>
      </w:r>
      <w:r>
        <w:rPr>
          <w:rStyle w:val="32"/>
          <w:rFonts w:hint="eastAsia"/>
        </w:rPr>
        <w:t xml:space="preserve"> 强化专利运用</w:t>
      </w:r>
      <w:r>
        <w:rPr>
          <w:rFonts w:hint="eastAsia"/>
        </w:rPr>
        <w:tab/>
      </w:r>
      <w:r>
        <w:rPr>
          <w:rFonts w:hint="eastAsia"/>
        </w:rPr>
        <w:fldChar w:fldCharType="begin"/>
      </w:r>
      <w:r>
        <w:rPr>
          <w:rFonts w:hint="eastAsia"/>
        </w:rPr>
        <w:instrText xml:space="preserve"> </w:instrText>
      </w:r>
      <w:r>
        <w:instrText xml:space="preserve">PAGEREF _Toc184369196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"_Toc184369197" </w:instrText>
      </w:r>
      <w:r>
        <w:fldChar w:fldCharType="separate"/>
      </w:r>
      <w:r>
        <w:rPr>
          <w:rStyle w:val="32"/>
          <w:rFonts w:hint="eastAsia"/>
          <w14:scene3d>
            <w14:lightRig w14:rig="threePt" w14:dir="t">
              <w14:rot w14:lat="0" w14:lon="0" w14:rev="0"/>
            </w14:lightRig>
          </w14:scene3d>
        </w:rPr>
        <w:t>10.3</w:t>
      </w:r>
      <w:r>
        <w:rPr>
          <w:rStyle w:val="32"/>
          <w:rFonts w:hint="eastAsia"/>
        </w:rPr>
        <w:t xml:space="preserve"> 强化专利保护</w:t>
      </w:r>
      <w:r>
        <w:rPr>
          <w:rFonts w:hint="eastAsia"/>
        </w:rPr>
        <w:tab/>
      </w:r>
      <w:r>
        <w:rPr>
          <w:rFonts w:hint="eastAsia"/>
        </w:rPr>
        <w:fldChar w:fldCharType="begin"/>
      </w:r>
      <w:r>
        <w:rPr>
          <w:rFonts w:hint="eastAsia"/>
        </w:rPr>
        <w:instrText xml:space="preserve"> </w:instrText>
      </w:r>
      <w:r>
        <w:instrText xml:space="preserve">PAGEREF _Toc184369197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"_Toc184369198" </w:instrText>
      </w:r>
      <w:r>
        <w:fldChar w:fldCharType="separate"/>
      </w:r>
      <w:r>
        <w:rPr>
          <w:rStyle w:val="32"/>
          <w:rFonts w:hint="eastAsia"/>
          <w14:scene3d>
            <w14:lightRig w14:rig="threePt" w14:dir="t">
              <w14:rot w14:lat="0" w14:lon="0" w14:rev="0"/>
            </w14:lightRig>
          </w14:scene3d>
        </w:rPr>
        <w:t>10.4</w:t>
      </w:r>
      <w:r>
        <w:rPr>
          <w:rStyle w:val="32"/>
          <w:rFonts w:hint="eastAsia"/>
        </w:rPr>
        <w:t xml:space="preserve"> 发挥高价值专利培育示范效应</w:t>
      </w:r>
      <w:r>
        <w:rPr>
          <w:rFonts w:hint="eastAsia"/>
        </w:rPr>
        <w:tab/>
      </w:r>
      <w:r>
        <w:rPr>
          <w:rFonts w:hint="eastAsia"/>
        </w:rPr>
        <w:fldChar w:fldCharType="begin"/>
      </w:r>
      <w:r>
        <w:rPr>
          <w:rFonts w:hint="eastAsia"/>
        </w:rPr>
        <w:instrText xml:space="preserve"> </w:instrText>
      </w:r>
      <w:r>
        <w:instrText xml:space="preserve">PAGEREF _Toc184369198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"_Toc184369199" </w:instrText>
      </w:r>
      <w:r>
        <w:fldChar w:fldCharType="separate"/>
      </w:r>
      <w:r>
        <w:rPr>
          <w:rStyle w:val="32"/>
          <w:rFonts w:hint="eastAsia"/>
        </w:rPr>
        <w:t>11 管理要求</w:t>
      </w:r>
      <w:r>
        <w:rPr>
          <w:rFonts w:hint="eastAsia"/>
        </w:rPr>
        <w:tab/>
      </w:r>
      <w:r>
        <w:rPr>
          <w:rFonts w:hint="eastAsia"/>
        </w:rPr>
        <w:fldChar w:fldCharType="begin"/>
      </w:r>
      <w:r>
        <w:rPr>
          <w:rFonts w:hint="eastAsia"/>
        </w:rPr>
        <w:instrText xml:space="preserve"> </w:instrText>
      </w:r>
      <w:r>
        <w:instrText xml:space="preserve">PAGEREF _Toc184369199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"_Toc184369200" </w:instrText>
      </w:r>
      <w:r>
        <w:fldChar w:fldCharType="separate"/>
      </w:r>
      <w:r>
        <w:rPr>
          <w:rStyle w:val="32"/>
          <w:rFonts w:hint="eastAsia"/>
          <w14:scene3d>
            <w14:lightRig w14:rig="threePt" w14:dir="t">
              <w14:rot w14:lat="0" w14:lon="0" w14:rev="0"/>
            </w14:lightRig>
          </w14:scene3d>
        </w:rPr>
        <w:t>11.1</w:t>
      </w:r>
      <w:r>
        <w:rPr>
          <w:rStyle w:val="32"/>
          <w:rFonts w:hint="eastAsia"/>
        </w:rPr>
        <w:t xml:space="preserve"> 组织管理体系</w:t>
      </w:r>
      <w:r>
        <w:rPr>
          <w:rFonts w:hint="eastAsia"/>
        </w:rPr>
        <w:tab/>
      </w:r>
      <w:r>
        <w:rPr>
          <w:rFonts w:hint="eastAsia"/>
        </w:rPr>
        <w:fldChar w:fldCharType="begin"/>
      </w:r>
      <w:r>
        <w:rPr>
          <w:rFonts w:hint="eastAsia"/>
        </w:rPr>
        <w:instrText xml:space="preserve"> </w:instrText>
      </w:r>
      <w:r>
        <w:instrText xml:space="preserve">PAGEREF _Toc184369200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"_Toc184369201" </w:instrText>
      </w:r>
      <w:r>
        <w:fldChar w:fldCharType="separate"/>
      </w:r>
      <w:r>
        <w:rPr>
          <w:rStyle w:val="32"/>
          <w:rFonts w:hint="eastAsia"/>
          <w14:scene3d>
            <w14:lightRig w14:rig="threePt" w14:dir="t">
              <w14:rot w14:lat="0" w14:lon="0" w14:rev="0"/>
            </w14:lightRig>
          </w14:scene3d>
        </w:rPr>
        <w:t>11.2</w:t>
      </w:r>
      <w:r>
        <w:rPr>
          <w:rStyle w:val="32"/>
          <w:rFonts w:hint="eastAsia"/>
        </w:rPr>
        <w:t xml:space="preserve"> 人员配置与职责</w:t>
      </w:r>
      <w:r>
        <w:rPr>
          <w:rFonts w:hint="eastAsia"/>
        </w:rPr>
        <w:tab/>
      </w:r>
      <w:r>
        <w:rPr>
          <w:rFonts w:hint="eastAsia"/>
        </w:rPr>
        <w:fldChar w:fldCharType="begin"/>
      </w:r>
      <w:r>
        <w:rPr>
          <w:rFonts w:hint="eastAsia"/>
        </w:rPr>
        <w:instrText xml:space="preserve"> </w:instrText>
      </w:r>
      <w:r>
        <w:instrText xml:space="preserve">PAGEREF _Toc184369201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"_Toc184369202" </w:instrText>
      </w:r>
      <w:r>
        <w:fldChar w:fldCharType="separate"/>
      </w:r>
      <w:r>
        <w:rPr>
          <w:rStyle w:val="32"/>
          <w:rFonts w:hint="eastAsia"/>
          <w14:scene3d>
            <w14:lightRig w14:rig="threePt" w14:dir="t">
              <w14:rot w14:lat="0" w14:lon="0" w14:rev="0"/>
            </w14:lightRig>
          </w14:scene3d>
        </w:rPr>
        <w:t>11.3</w:t>
      </w:r>
      <w:r>
        <w:rPr>
          <w:rStyle w:val="32"/>
          <w:rFonts w:hint="eastAsia"/>
        </w:rPr>
        <w:t xml:space="preserve"> 资源整合与协同创新</w:t>
      </w:r>
      <w:r>
        <w:rPr>
          <w:rFonts w:hint="eastAsia"/>
        </w:rPr>
        <w:tab/>
      </w:r>
      <w:r>
        <w:rPr>
          <w:rFonts w:hint="eastAsia"/>
        </w:rPr>
        <w:fldChar w:fldCharType="begin"/>
      </w:r>
      <w:r>
        <w:rPr>
          <w:rFonts w:hint="eastAsia"/>
        </w:rPr>
        <w:instrText xml:space="preserve"> </w:instrText>
      </w:r>
      <w:r>
        <w:instrText xml:space="preserve">PAGEREF _Toc184369202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"_Toc184369203" </w:instrText>
      </w:r>
      <w:r>
        <w:fldChar w:fldCharType="separate"/>
      </w:r>
      <w:r>
        <w:rPr>
          <w:rStyle w:val="32"/>
          <w:rFonts w:hint="eastAsia"/>
          <w14:scene3d>
            <w14:lightRig w14:rig="threePt" w14:dir="t">
              <w14:rot w14:lat="0" w14:lon="0" w14:rev="0"/>
            </w14:lightRig>
          </w14:scene3d>
        </w:rPr>
        <w:t>11.6</w:t>
      </w:r>
      <w:r>
        <w:rPr>
          <w:rStyle w:val="32"/>
          <w:rFonts w:hint="eastAsia"/>
        </w:rPr>
        <w:t xml:space="preserve"> 信息利用与专利管理</w:t>
      </w:r>
      <w:r>
        <w:rPr>
          <w:rFonts w:hint="eastAsia"/>
        </w:rPr>
        <w:tab/>
      </w:r>
      <w:r>
        <w:rPr>
          <w:rFonts w:hint="eastAsia"/>
        </w:rPr>
        <w:fldChar w:fldCharType="begin"/>
      </w:r>
      <w:r>
        <w:rPr>
          <w:rFonts w:hint="eastAsia"/>
        </w:rPr>
        <w:instrText xml:space="preserve"> </w:instrText>
      </w:r>
      <w:r>
        <w:instrText xml:space="preserve">PAGEREF _Toc184369203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"_Toc184369204" </w:instrText>
      </w:r>
      <w:r>
        <w:fldChar w:fldCharType="separate"/>
      </w:r>
      <w:r>
        <w:rPr>
          <w:rStyle w:val="32"/>
          <w:rFonts w:hint="eastAsia"/>
          <w14:scene3d>
            <w14:lightRig w14:rig="threePt" w14:dir="t">
              <w14:rot w14:lat="0" w14:lon="0" w14:rev="0"/>
            </w14:lightRig>
          </w14:scene3d>
        </w:rPr>
        <w:t>11.7</w:t>
      </w:r>
      <w:r>
        <w:rPr>
          <w:rStyle w:val="32"/>
          <w:rFonts w:hint="eastAsia"/>
        </w:rPr>
        <w:t xml:space="preserve"> 报告制度与资金使用</w:t>
      </w:r>
      <w:r>
        <w:rPr>
          <w:rFonts w:hint="eastAsia"/>
        </w:rPr>
        <w:tab/>
      </w:r>
      <w:r>
        <w:rPr>
          <w:rFonts w:hint="eastAsia"/>
        </w:rPr>
        <w:fldChar w:fldCharType="begin"/>
      </w:r>
      <w:r>
        <w:rPr>
          <w:rFonts w:hint="eastAsia"/>
        </w:rPr>
        <w:instrText xml:space="preserve"> </w:instrText>
      </w:r>
      <w:r>
        <w:instrText xml:space="preserve">PAGEREF _Toc184369204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"_Toc184369205" </w:instrText>
      </w:r>
      <w:r>
        <w:fldChar w:fldCharType="separate"/>
      </w:r>
      <w:r>
        <w:rPr>
          <w:rStyle w:val="32"/>
          <w:rFonts w:hint="eastAsia"/>
        </w:rPr>
        <w:t>12 绩效目标</w:t>
      </w:r>
      <w:r>
        <w:rPr>
          <w:rFonts w:hint="eastAsia"/>
        </w:rPr>
        <w:tab/>
      </w:r>
      <w:r>
        <w:rPr>
          <w:rFonts w:hint="eastAsia"/>
        </w:rPr>
        <w:fldChar w:fldCharType="begin"/>
      </w:r>
      <w:r>
        <w:rPr>
          <w:rFonts w:hint="eastAsia"/>
        </w:rPr>
        <w:instrText xml:space="preserve"> </w:instrText>
      </w:r>
      <w:r>
        <w:instrText xml:space="preserve">PAGEREF _Toc184369205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"_Toc184369206" </w:instrText>
      </w:r>
      <w:r>
        <w:fldChar w:fldCharType="separate"/>
      </w:r>
      <w:r>
        <w:rPr>
          <w:rStyle w:val="32"/>
          <w:rFonts w:hint="eastAsia"/>
        </w:rPr>
        <w:t>13 监督与评价</w:t>
      </w:r>
      <w:r>
        <w:rPr>
          <w:rFonts w:hint="eastAsia"/>
        </w:rPr>
        <w:tab/>
      </w:r>
      <w:r>
        <w:rPr>
          <w:rFonts w:hint="eastAsia"/>
        </w:rPr>
        <w:fldChar w:fldCharType="begin"/>
      </w:r>
      <w:r>
        <w:rPr>
          <w:rFonts w:hint="eastAsia"/>
        </w:rPr>
        <w:instrText xml:space="preserve"> </w:instrText>
      </w:r>
      <w:r>
        <w:instrText xml:space="preserve">PAGEREF _Toc184369206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"_Toc184369207" </w:instrText>
      </w:r>
      <w:r>
        <w:fldChar w:fldCharType="separate"/>
      </w:r>
      <w:r>
        <w:rPr>
          <w:rStyle w:val="32"/>
          <w:rFonts w:hint="eastAsia"/>
          <w14:scene3d>
            <w14:lightRig w14:rig="threePt" w14:dir="t">
              <w14:rot w14:lat="0" w14:lon="0" w14:rev="0"/>
            </w14:lightRig>
          </w14:scene3d>
        </w:rPr>
        <w:t>13.1</w:t>
      </w:r>
      <w:r>
        <w:rPr>
          <w:rStyle w:val="32"/>
          <w:rFonts w:hint="eastAsia"/>
        </w:rPr>
        <w:t xml:space="preserve"> 监督检查</w:t>
      </w:r>
      <w:r>
        <w:rPr>
          <w:rFonts w:hint="eastAsia"/>
        </w:rPr>
        <w:tab/>
      </w:r>
      <w:r>
        <w:rPr>
          <w:rFonts w:hint="eastAsia"/>
        </w:rPr>
        <w:fldChar w:fldCharType="begin"/>
      </w:r>
      <w:r>
        <w:rPr>
          <w:rFonts w:hint="eastAsia"/>
        </w:rPr>
        <w:instrText xml:space="preserve"> </w:instrText>
      </w:r>
      <w:r>
        <w:instrText xml:space="preserve">PAGEREF _Toc184369207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"_Toc184369208" </w:instrText>
      </w:r>
      <w:r>
        <w:fldChar w:fldCharType="separate"/>
      </w:r>
      <w:r>
        <w:rPr>
          <w:rStyle w:val="32"/>
          <w:rFonts w:hint="eastAsia"/>
          <w14:scene3d>
            <w14:lightRig w14:rig="threePt" w14:dir="t">
              <w14:rot w14:lat="0" w14:lon="0" w14:rev="0"/>
            </w14:lightRig>
          </w14:scene3d>
        </w:rPr>
        <w:t>13.2</w:t>
      </w:r>
      <w:r>
        <w:rPr>
          <w:rStyle w:val="32"/>
          <w:rFonts w:hint="eastAsia"/>
        </w:rPr>
        <w:t xml:space="preserve"> 绩效评价</w:t>
      </w:r>
      <w:r>
        <w:rPr>
          <w:rFonts w:hint="eastAsia"/>
        </w:rPr>
        <w:tab/>
      </w:r>
      <w:r>
        <w:rPr>
          <w:rFonts w:hint="eastAsia"/>
        </w:rPr>
        <w:fldChar w:fldCharType="begin"/>
      </w:r>
      <w:r>
        <w:rPr>
          <w:rFonts w:hint="eastAsia"/>
        </w:rPr>
        <w:instrText xml:space="preserve"> </w:instrText>
      </w:r>
      <w:r>
        <w:instrText xml:space="preserve">PAGEREF _Toc184369208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91"/>
        <w:spacing w:after="468"/>
        <w:sectPr>
          <w:headerReference r:id="rId7" w:type="default"/>
          <w:footerReference r:id="rId9" w:type="default"/>
          <w:headerReference r:id="rId8" w:type="even"/>
          <w:foot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6" w:name="_Toc184369184"/>
      <w:bookmarkStart w:id="27" w:name="BookMark2"/>
      <w:r>
        <w:rPr>
          <w:spacing w:val="320"/>
        </w:rPr>
        <w:t>前</w:t>
      </w:r>
      <w:r>
        <w:t>言</w:t>
      </w:r>
      <w:bookmarkEnd w:id="22"/>
      <w:bookmarkEnd w:id="23"/>
      <w:bookmarkEnd w:id="24"/>
      <w:bookmarkEnd w:id="25"/>
      <w:bookmarkEnd w:id="26"/>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本文件由安徽省市场监督管理局知识产权运用促进处提出</w:t>
      </w:r>
      <w:r>
        <w:rPr>
          <w:rFonts w:hint="eastAsia"/>
          <w:lang w:eastAsia="zh-CN"/>
        </w:rPr>
        <w:t>并归口</w:t>
      </w:r>
      <w:r>
        <w:rPr>
          <w:rFonts w:hint="eastAsia"/>
        </w:rPr>
        <w:t>。</w:t>
      </w:r>
    </w:p>
    <w:p>
      <w:pPr>
        <w:pStyle w:val="56"/>
        <w:ind w:firstLine="420"/>
      </w:pPr>
      <w:r>
        <w:rPr>
          <w:rFonts w:hint="eastAsia"/>
        </w:rPr>
        <w:t>本文件起草单位：安徽省市场监督管理局</w:t>
      </w:r>
      <w:r>
        <w:rPr>
          <w:rFonts w:hint="eastAsia" w:ascii="Calibri" w:hAnsi="Calibri" w:eastAsia="宋体" w:cs="Times New Roman"/>
          <w:kern w:val="2"/>
          <w:sz w:val="21"/>
          <w:szCs w:val="21"/>
          <w:lang w:val="en-US" w:eastAsia="zh-CN" w:bidi="ar"/>
        </w:rPr>
        <w:t>知识产权运用促进处</w:t>
      </w:r>
      <w:r>
        <w:rPr>
          <w:rFonts w:hint="eastAsia"/>
        </w:rPr>
        <w:t>、合肥市市场监督管理局、安徽省知识产权事业发展中心、安徽省知识产权保护中心、安徽省质量和标准化研究院、合肥市知识产权保护中心、中国科学院合肥物质科学研究院、科大讯飞股份有限公司、天能电池集团（安徽）有限公司、泰尔重工股份有限公司、安徽华东光电技术研究所有限公司、安徽鼎立智能制造股份有限公司。</w:t>
      </w:r>
    </w:p>
    <w:p>
      <w:pPr>
        <w:pStyle w:val="56"/>
        <w:ind w:firstLine="420"/>
      </w:pPr>
      <w:r>
        <w:rPr>
          <w:rFonts w:hint="eastAsia"/>
        </w:rPr>
        <w:t>本文件主要起草人：</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hint="eastAsia" w:ascii="黑体" w:hAnsi="黑体" w:eastAsia="黑体"/>
          <w:sz w:val="32"/>
          <w:szCs w:val="32"/>
        </w:rPr>
      </w:pPr>
      <w:bookmarkStart w:id="28"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F117942D21C846FBA8BD3AA4128E054A"/>
        </w:placeholder>
      </w:sdtPr>
      <w:sdtContent>
        <w:p>
          <w:pPr>
            <w:pStyle w:val="177"/>
            <w:spacing w:before="312" w:beforeLines="100" w:after="686" w:afterLines="220"/>
            <w:rPr>
              <w:rFonts w:hint="eastAsia"/>
            </w:rPr>
          </w:pPr>
          <w:bookmarkStart w:id="29" w:name="NEW_STAND_NAME"/>
          <w:r>
            <w:rPr>
              <w:rFonts w:hint="eastAsia"/>
            </w:rPr>
            <w:t>高价值发明专利培育中心管理规范</w:t>
          </w:r>
        </w:p>
      </w:sdtContent>
    </w:sdt>
    <w:bookmarkEnd w:id="29"/>
    <w:p>
      <w:pPr>
        <w:pStyle w:val="104"/>
        <w:spacing w:before="312" w:after="312"/>
      </w:pPr>
      <w:bookmarkStart w:id="30" w:name="_Toc182553857"/>
      <w:bookmarkStart w:id="31" w:name="_Toc182553884"/>
      <w:bookmarkStart w:id="32" w:name="_Toc184369185"/>
      <w:bookmarkStart w:id="33" w:name="_Toc26986530"/>
      <w:bookmarkStart w:id="34" w:name="_Toc17233325"/>
      <w:bookmarkStart w:id="35" w:name="_Toc182553799"/>
      <w:bookmarkStart w:id="36" w:name="_Toc26986771"/>
      <w:bookmarkStart w:id="37" w:name="_Toc24884211"/>
      <w:bookmarkStart w:id="38" w:name="_Toc184286615"/>
      <w:bookmarkStart w:id="39" w:name="_Toc26648465"/>
      <w:bookmarkStart w:id="40" w:name="_Toc17233333"/>
      <w:bookmarkStart w:id="41" w:name="_Toc26718930"/>
      <w:bookmarkStart w:id="42" w:name="_Toc97191423"/>
      <w:bookmarkStart w:id="43" w:name="_Toc24884218"/>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56"/>
        <w:ind w:firstLine="420"/>
      </w:pPr>
      <w:bookmarkStart w:id="44" w:name="_Toc17233334"/>
      <w:bookmarkStart w:id="45" w:name="_Toc24884219"/>
      <w:bookmarkStart w:id="46" w:name="_Toc17233326"/>
      <w:bookmarkStart w:id="47" w:name="_Toc24884212"/>
      <w:bookmarkStart w:id="48" w:name="_Toc26648466"/>
      <w:r>
        <w:rPr>
          <w:rFonts w:hint="eastAsia"/>
        </w:rPr>
        <w:t>本文件规定了高价值发明专利培育中心（以下简称“培育中心”）建设的管理职责、</w:t>
      </w:r>
      <w:r>
        <w:rPr>
          <w:rFonts w:hint="eastAsia"/>
          <w:lang w:eastAsia="zh-CN"/>
        </w:rPr>
        <w:t>产业要求、主体要求、申报条件</w:t>
      </w:r>
      <w:r>
        <w:rPr>
          <w:rFonts w:hint="eastAsia"/>
        </w:rPr>
        <w:t>、</w:t>
      </w:r>
      <w:r>
        <w:rPr>
          <w:rFonts w:hint="eastAsia"/>
          <w:lang w:eastAsia="zh-CN"/>
        </w:rPr>
        <w:t>申报材料、</w:t>
      </w:r>
      <w:r>
        <w:rPr>
          <w:rFonts w:hint="eastAsia"/>
        </w:rPr>
        <w:t>申报流程、</w:t>
      </w:r>
      <w:r>
        <w:rPr>
          <w:rStyle w:val="32"/>
          <w:rFonts w:hint="eastAsia"/>
        </w:rPr>
        <w:t>工</w:t>
      </w:r>
      <w:bookmarkStart w:id="127" w:name="_GoBack"/>
      <w:bookmarkEnd w:id="127"/>
      <w:r>
        <w:rPr>
          <w:rStyle w:val="32"/>
          <w:rFonts w:hint="eastAsia"/>
        </w:rPr>
        <w:t>作内容和任务</w:t>
      </w:r>
      <w:r>
        <w:rPr>
          <w:rStyle w:val="32"/>
          <w:rFonts w:hint="eastAsia"/>
          <w:lang w:eastAsia="zh-CN"/>
        </w:rPr>
        <w:t>、管理要求、绩效目标、监督和</w:t>
      </w:r>
      <w:r>
        <w:rPr>
          <w:rFonts w:hint="eastAsia"/>
        </w:rPr>
        <w:t>评价要求。</w:t>
      </w:r>
    </w:p>
    <w:p>
      <w:pPr>
        <w:pStyle w:val="56"/>
        <w:ind w:firstLine="420"/>
      </w:pPr>
      <w:r>
        <w:rPr>
          <w:rFonts w:hint="eastAsia"/>
        </w:rPr>
        <w:t>本文件适用于培育中心的建设与管理。</w:t>
      </w:r>
    </w:p>
    <w:p>
      <w:pPr>
        <w:pStyle w:val="104"/>
        <w:spacing w:before="312" w:after="312"/>
      </w:pPr>
      <w:bookmarkStart w:id="49" w:name="_Toc26986772"/>
      <w:bookmarkStart w:id="50" w:name="_Toc26986531"/>
      <w:bookmarkStart w:id="51" w:name="_Toc184286616"/>
      <w:bookmarkStart w:id="52" w:name="_Toc26718931"/>
      <w:bookmarkStart w:id="53" w:name="_Toc184369186"/>
      <w:bookmarkStart w:id="54" w:name="_Toc182553858"/>
      <w:bookmarkStart w:id="55" w:name="_Toc182553885"/>
      <w:bookmarkStart w:id="56" w:name="_Toc182553800"/>
      <w:bookmarkStart w:id="57" w:name="_Toc97191424"/>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166D9390A3B04EC69C6618F3E653B5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58" w:name="_Toc182553859"/>
      <w:bookmarkStart w:id="59" w:name="_Toc182553886"/>
      <w:bookmarkStart w:id="60" w:name="_Toc184369187"/>
      <w:bookmarkStart w:id="61" w:name="_Toc184286617"/>
      <w:bookmarkStart w:id="62" w:name="_Toc182553801"/>
      <w:bookmarkStart w:id="63" w:name="_Toc97191425"/>
      <w:r>
        <w:rPr>
          <w:rFonts w:hint="eastAsia"/>
          <w:szCs w:val="21"/>
        </w:rPr>
        <w:t>术语和定义</w:t>
      </w:r>
      <w:bookmarkEnd w:id="58"/>
      <w:bookmarkEnd w:id="59"/>
      <w:bookmarkEnd w:id="60"/>
      <w:bookmarkEnd w:id="61"/>
      <w:bookmarkEnd w:id="62"/>
      <w:bookmarkEnd w:id="63"/>
    </w:p>
    <w:sdt>
      <w:sdtPr>
        <w:id w:val="-1909835108"/>
        <w:placeholder>
          <w:docPart w:val="2CB8B477BEE04213B44CB47ECB6C03A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4" w:name="_Toc26986532"/>
          <w:bookmarkEnd w:id="64"/>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高价值发明专利培育中心 </w:t>
      </w:r>
      <w:r>
        <w:rPr>
          <w:rFonts w:ascii="黑体" w:hAnsi="黑体" w:eastAsia="黑体"/>
        </w:rPr>
        <w:t>high value invention patent cultivation center</w:t>
      </w:r>
    </w:p>
    <w:p>
      <w:pPr>
        <w:pStyle w:val="56"/>
        <w:ind w:firstLine="420"/>
      </w:pPr>
      <w:r>
        <w:rPr>
          <w:rFonts w:hint="eastAsia"/>
        </w:rPr>
        <w:t>以企业、高等院校或科研机构为主体，联合知识产权服务机构，通过“产学研用服”相结合的稳定合作机制，将创新成果转化成具有较强前瞻性、能够引领产业发展、有较高市场价值的发明创造的创新载体。</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高价值专利 high value patent</w:t>
      </w:r>
    </w:p>
    <w:p>
      <w:pPr>
        <w:pStyle w:val="56"/>
        <w:ind w:firstLine="420"/>
      </w:pPr>
      <w:r>
        <w:rPr>
          <w:rFonts w:hint="eastAsia"/>
        </w:rPr>
        <w:t>符合国家重点产业发展方向、专利质量较高、价值较高的有效发明专利，主要包括：</w:t>
      </w:r>
    </w:p>
    <w:p>
      <w:pPr>
        <w:pStyle w:val="56"/>
        <w:ind w:firstLine="420"/>
      </w:pPr>
      <w:r>
        <w:rPr>
          <w:rFonts w:hint="eastAsia"/>
        </w:rPr>
        <w:t>a)</w:t>
      </w:r>
      <w:r>
        <w:rPr>
          <w:rFonts w:hint="eastAsia"/>
        </w:rPr>
        <w:tab/>
      </w:r>
      <w:r>
        <w:rPr>
          <w:rFonts w:hint="eastAsia"/>
        </w:rPr>
        <w:t>战略性新兴产业的发明专利；</w:t>
      </w:r>
    </w:p>
    <w:p>
      <w:pPr>
        <w:pStyle w:val="56"/>
        <w:ind w:firstLine="420"/>
      </w:pPr>
      <w:r>
        <w:rPr>
          <w:rFonts w:hint="eastAsia"/>
        </w:rPr>
        <w:t>b)</w:t>
      </w:r>
      <w:r>
        <w:rPr>
          <w:rFonts w:hint="eastAsia"/>
        </w:rPr>
        <w:tab/>
      </w:r>
      <w:r>
        <w:rPr>
          <w:rFonts w:hint="eastAsia"/>
        </w:rPr>
        <w:t>在海外有同族专利权的发明专利；</w:t>
      </w:r>
    </w:p>
    <w:p>
      <w:pPr>
        <w:pStyle w:val="56"/>
        <w:ind w:firstLine="420"/>
      </w:pPr>
      <w:r>
        <w:rPr>
          <w:rFonts w:hint="eastAsia"/>
        </w:rPr>
        <w:t>c)</w:t>
      </w:r>
      <w:r>
        <w:rPr>
          <w:rFonts w:hint="eastAsia"/>
        </w:rPr>
        <w:tab/>
      </w:r>
      <w:r>
        <w:rPr>
          <w:rFonts w:hint="eastAsia"/>
        </w:rPr>
        <w:t>维持年限超过10年的发明专利；</w:t>
      </w:r>
    </w:p>
    <w:p>
      <w:pPr>
        <w:pStyle w:val="56"/>
        <w:ind w:firstLine="420"/>
      </w:pPr>
      <w:r>
        <w:rPr>
          <w:rFonts w:hint="eastAsia"/>
        </w:rPr>
        <w:t>d)</w:t>
      </w:r>
      <w:r>
        <w:rPr>
          <w:rFonts w:hint="eastAsia"/>
        </w:rPr>
        <w:tab/>
      </w:r>
      <w:r>
        <w:rPr>
          <w:rFonts w:hint="eastAsia"/>
        </w:rPr>
        <w:t>实现较高质押融资金额的发明专利；</w:t>
      </w:r>
    </w:p>
    <w:p>
      <w:pPr>
        <w:pStyle w:val="56"/>
        <w:ind w:firstLine="420"/>
      </w:pPr>
      <w:r>
        <w:rPr>
          <w:rFonts w:hint="eastAsia"/>
        </w:rPr>
        <w:t>e)</w:t>
      </w:r>
      <w:r>
        <w:rPr>
          <w:rFonts w:hint="eastAsia"/>
        </w:rPr>
        <w:tab/>
      </w:r>
      <w:r>
        <w:rPr>
          <w:rFonts w:hint="eastAsia"/>
        </w:rPr>
        <w:t>获得国家科学技术奖或中国专利奖的发明专利。</w:t>
      </w:r>
    </w:p>
    <w:p>
      <w:pPr>
        <w:pStyle w:val="104"/>
        <w:spacing w:before="312" w:after="312"/>
      </w:pPr>
      <w:bookmarkStart w:id="65" w:name="_Toc182553887"/>
      <w:bookmarkStart w:id="66" w:name="_Toc184369188"/>
      <w:bookmarkStart w:id="67" w:name="_Toc182553802"/>
      <w:bookmarkStart w:id="68" w:name="_Toc184286618"/>
      <w:bookmarkStart w:id="69" w:name="_Toc182553860"/>
      <w:r>
        <w:rPr>
          <w:rFonts w:hint="eastAsia"/>
        </w:rPr>
        <w:t>管理职责</w:t>
      </w:r>
      <w:bookmarkEnd w:id="65"/>
      <w:bookmarkEnd w:id="66"/>
      <w:bookmarkEnd w:id="67"/>
      <w:bookmarkEnd w:id="68"/>
      <w:bookmarkEnd w:id="69"/>
    </w:p>
    <w:p>
      <w:pPr>
        <w:pStyle w:val="162"/>
      </w:pPr>
      <w:bookmarkStart w:id="70" w:name="_Hlk157600846"/>
      <w:r>
        <w:rPr>
          <w:rFonts w:hint="eastAsia"/>
        </w:rPr>
        <w:t>省级行政主管部门</w:t>
      </w:r>
      <w:bookmarkEnd w:id="70"/>
      <w:r>
        <w:rPr>
          <w:rFonts w:hint="eastAsia"/>
        </w:rPr>
        <w:t>负责培育中心的规划布局和统筹管理，主要职责有：</w:t>
      </w:r>
    </w:p>
    <w:p>
      <w:pPr>
        <w:pStyle w:val="174"/>
      </w:pPr>
      <w:r>
        <w:rPr>
          <w:rFonts w:hint="eastAsia"/>
        </w:rPr>
        <w:t>制定全省培育中心建设总体规划和管理制度；</w:t>
      </w:r>
    </w:p>
    <w:p>
      <w:pPr>
        <w:pStyle w:val="174"/>
      </w:pPr>
      <w:r>
        <w:rPr>
          <w:rFonts w:hint="eastAsia"/>
        </w:rPr>
        <w:t>编制年度工作方案和申报指南，组织培育中心建设项目的申报和评审工作，下达专项资金；</w:t>
      </w:r>
    </w:p>
    <w:p>
      <w:pPr>
        <w:pStyle w:val="174"/>
      </w:pPr>
      <w:r>
        <w:rPr>
          <w:rFonts w:hint="eastAsia"/>
        </w:rPr>
        <w:t>批准培育中心建设、运行、变更、终止等重大事项；</w:t>
      </w:r>
    </w:p>
    <w:p>
      <w:pPr>
        <w:pStyle w:val="174"/>
      </w:pPr>
      <w:r>
        <w:rPr>
          <w:rFonts w:hint="eastAsia"/>
        </w:rPr>
        <w:t>指导和监督培育中心建设运行，组织开展检查、验收、运行绩效评价等工作；</w:t>
      </w:r>
    </w:p>
    <w:p>
      <w:pPr>
        <w:pStyle w:val="174"/>
      </w:pPr>
      <w:r>
        <w:rPr>
          <w:rFonts w:hint="eastAsia"/>
        </w:rPr>
        <w:t>组建高价值专利培育专家库，组织开展政策宣讲和服务指导；</w:t>
      </w:r>
    </w:p>
    <w:p>
      <w:pPr>
        <w:pStyle w:val="174"/>
      </w:pPr>
      <w:r>
        <w:rPr>
          <w:rFonts w:hint="eastAsia"/>
        </w:rPr>
        <w:t>加强高价值专利培育工作宣传，总结推广培育中心建设运行的典型经验；</w:t>
      </w:r>
    </w:p>
    <w:p>
      <w:pPr>
        <w:pStyle w:val="174"/>
      </w:pPr>
      <w:r>
        <w:rPr>
          <w:rFonts w:hint="eastAsia"/>
        </w:rPr>
        <w:t>推进培育中心建设、运行和管理的其它事项。</w:t>
      </w:r>
    </w:p>
    <w:p>
      <w:pPr>
        <w:pStyle w:val="162"/>
      </w:pPr>
      <w:r>
        <w:rPr>
          <w:rFonts w:hint="eastAsia"/>
        </w:rPr>
        <w:t>设区市、县（市、区）行政主管部门的主要职责有：</w:t>
      </w:r>
    </w:p>
    <w:p>
      <w:pPr>
        <w:pStyle w:val="174"/>
        <w:numPr>
          <w:ilvl w:val="0"/>
          <w:numId w:val="32"/>
        </w:numPr>
      </w:pPr>
      <w:r>
        <w:rPr>
          <w:rFonts w:hint="eastAsia"/>
        </w:rPr>
        <w:t>负责辖区内培育中心的组织申报、审核推荐、业务指导、日常管理工作；</w:t>
      </w:r>
    </w:p>
    <w:p>
      <w:pPr>
        <w:pStyle w:val="174"/>
        <w:numPr>
          <w:ilvl w:val="0"/>
          <w:numId w:val="32"/>
        </w:numPr>
      </w:pPr>
      <w:r>
        <w:rPr>
          <w:rFonts w:hint="eastAsia"/>
        </w:rPr>
        <w:t>协助开展培育中心的检查、验收、运行绩效评价等工作。</w:t>
      </w:r>
    </w:p>
    <w:p>
      <w:pPr>
        <w:pStyle w:val="162"/>
      </w:pPr>
      <w:r>
        <w:rPr>
          <w:rFonts w:hint="eastAsia"/>
        </w:rPr>
        <w:t>牵头建设培育中心的企业、高等院校、科研机构等单位的主要职责有：</w:t>
      </w:r>
    </w:p>
    <w:p>
      <w:pPr>
        <w:pStyle w:val="174"/>
        <w:numPr>
          <w:ilvl w:val="0"/>
          <w:numId w:val="33"/>
        </w:numPr>
      </w:pPr>
      <w:r>
        <w:rPr>
          <w:rFonts w:hint="eastAsia"/>
        </w:rPr>
        <w:t>在本单位内设置相对独立的培育中心工作机构，并在办公场所、人员配备、软硬件设施、工作经费等方面给予保障，确保培育中心有序运行；</w:t>
      </w:r>
    </w:p>
    <w:p>
      <w:pPr>
        <w:pStyle w:val="174"/>
        <w:numPr>
          <w:ilvl w:val="0"/>
          <w:numId w:val="33"/>
        </w:numPr>
      </w:pPr>
      <w:r>
        <w:rPr>
          <w:rFonts w:hint="eastAsia"/>
        </w:rPr>
        <w:t>建立完善产、学、研、用、服多方合作培育高价值专利的工作机制，建立并运行符合产业特点和创新规律的高价值专利培育模式；</w:t>
      </w:r>
    </w:p>
    <w:p>
      <w:pPr>
        <w:pStyle w:val="174"/>
        <w:numPr>
          <w:ilvl w:val="0"/>
          <w:numId w:val="33"/>
        </w:numPr>
      </w:pPr>
      <w:r>
        <w:rPr>
          <w:rFonts w:hint="eastAsia"/>
        </w:rPr>
        <w:t>按照合同书或者任务书组织开展高价值专利培育相关工作，保障项目顺利实施，并按要求提交项目执行进展、阶段性成果、经费使用情况和绩效评价自查报告等，接受省级行政主管部门的检查与监督。</w:t>
      </w:r>
    </w:p>
    <w:p>
      <w:pPr>
        <w:pStyle w:val="104"/>
        <w:spacing w:before="312" w:after="312"/>
      </w:pPr>
      <w:bookmarkStart w:id="71" w:name="_Toc182553888"/>
      <w:bookmarkStart w:id="72" w:name="_Toc184369189"/>
      <w:bookmarkStart w:id="73" w:name="_Toc184286619"/>
      <w:bookmarkStart w:id="74" w:name="_Toc182553861"/>
      <w:bookmarkStart w:id="75" w:name="_Toc182553803"/>
      <w:r>
        <w:rPr>
          <w:rFonts w:hint="eastAsia"/>
        </w:rPr>
        <w:t>产业要求</w:t>
      </w:r>
      <w:bookmarkEnd w:id="71"/>
      <w:bookmarkEnd w:id="72"/>
      <w:bookmarkEnd w:id="73"/>
      <w:bookmarkEnd w:id="74"/>
      <w:bookmarkEnd w:id="75"/>
    </w:p>
    <w:p>
      <w:pPr>
        <w:pStyle w:val="56"/>
        <w:ind w:firstLine="420"/>
      </w:pPr>
      <w:r>
        <w:rPr>
          <w:rFonts w:hint="eastAsia"/>
        </w:rPr>
        <w:t>培育中心所涉产业领域原则上须围绕安徽省国民经济和社会发展五年规划中的战略性新兴产业、重点发展优势主导产业和特色优势产业。</w:t>
      </w:r>
    </w:p>
    <w:p>
      <w:pPr>
        <w:pStyle w:val="104"/>
        <w:spacing w:before="312" w:after="312"/>
      </w:pPr>
      <w:bookmarkStart w:id="76" w:name="_Toc182553889"/>
      <w:bookmarkStart w:id="77" w:name="_Toc182553862"/>
      <w:bookmarkStart w:id="78" w:name="_Toc184286620"/>
      <w:bookmarkStart w:id="79" w:name="_Toc184369190"/>
      <w:bookmarkStart w:id="80" w:name="_Toc182553804"/>
      <w:r>
        <w:rPr>
          <w:rFonts w:hint="eastAsia"/>
        </w:rPr>
        <w:t>主体要求</w:t>
      </w:r>
      <w:bookmarkEnd w:id="76"/>
      <w:bookmarkEnd w:id="77"/>
      <w:bookmarkEnd w:id="78"/>
      <w:bookmarkEnd w:id="79"/>
      <w:bookmarkEnd w:id="80"/>
    </w:p>
    <w:p>
      <w:pPr>
        <w:pStyle w:val="56"/>
        <w:ind w:firstLine="420"/>
      </w:pPr>
      <w:r>
        <w:rPr>
          <w:rFonts w:hint="eastAsia"/>
        </w:rPr>
        <w:t>高价值发明专利培育中心主体应为安徽省内注册的具有独立法人资格的企业或高校、科研院所、新型研发机构。上述主体也与省内产业链上下游企业、相关创新主体、知识产权服务机构联合申报。</w:t>
      </w:r>
    </w:p>
    <w:p>
      <w:pPr>
        <w:pStyle w:val="104"/>
        <w:spacing w:before="312" w:after="312"/>
      </w:pPr>
      <w:bookmarkStart w:id="81" w:name="_Toc184286621"/>
      <w:bookmarkStart w:id="82" w:name="_Toc184369191"/>
      <w:bookmarkStart w:id="83" w:name="_Toc182553890"/>
      <w:bookmarkStart w:id="84" w:name="_Toc182553863"/>
      <w:bookmarkStart w:id="85" w:name="_Toc182553805"/>
      <w:r>
        <w:rPr>
          <w:rFonts w:hint="eastAsia"/>
        </w:rPr>
        <w:t>申报条件</w:t>
      </w:r>
      <w:bookmarkEnd w:id="81"/>
      <w:bookmarkEnd w:id="82"/>
      <w:bookmarkEnd w:id="83"/>
      <w:bookmarkEnd w:id="84"/>
      <w:bookmarkEnd w:id="85"/>
    </w:p>
    <w:p>
      <w:pPr>
        <w:pStyle w:val="162"/>
      </w:pPr>
      <w:r>
        <w:rPr>
          <w:rFonts w:hint="eastAsia"/>
        </w:rPr>
        <w:t>申报主体应满足以下基本条件：</w:t>
      </w:r>
    </w:p>
    <w:p>
      <w:pPr>
        <w:pStyle w:val="174"/>
        <w:numPr>
          <w:ilvl w:val="0"/>
          <w:numId w:val="34"/>
        </w:numPr>
      </w:pPr>
      <w:r>
        <w:rPr>
          <w:rFonts w:hint="eastAsia"/>
        </w:rPr>
        <w:t>所在技术领域符合产业要求；</w:t>
      </w:r>
    </w:p>
    <w:p>
      <w:pPr>
        <w:pStyle w:val="174"/>
        <w:numPr>
          <w:ilvl w:val="0"/>
          <w:numId w:val="34"/>
        </w:numPr>
      </w:pPr>
      <w:r>
        <w:rPr>
          <w:rFonts w:hint="eastAsia"/>
        </w:rPr>
        <w:t>研发投入稳定；</w:t>
      </w:r>
    </w:p>
    <w:p>
      <w:pPr>
        <w:pStyle w:val="174"/>
        <w:numPr>
          <w:ilvl w:val="0"/>
          <w:numId w:val="34"/>
        </w:numPr>
      </w:pPr>
      <w:r>
        <w:rPr>
          <w:rFonts w:hint="eastAsia"/>
        </w:rPr>
        <w:t>知识产权基础良好；</w:t>
      </w:r>
    </w:p>
    <w:p>
      <w:pPr>
        <w:pStyle w:val="174"/>
        <w:numPr>
          <w:ilvl w:val="0"/>
          <w:numId w:val="34"/>
        </w:numPr>
      </w:pPr>
      <w:r>
        <w:rPr>
          <w:rFonts w:hint="eastAsia"/>
        </w:rPr>
        <w:t>无学术不端等失信行为；</w:t>
      </w:r>
    </w:p>
    <w:p>
      <w:pPr>
        <w:pStyle w:val="174"/>
        <w:numPr>
          <w:ilvl w:val="0"/>
          <w:numId w:val="34"/>
        </w:numPr>
      </w:pPr>
      <w:r>
        <w:rPr>
          <w:rFonts w:hint="eastAsia"/>
        </w:rPr>
        <w:t>具有良好的产学研合作基础；</w:t>
      </w:r>
    </w:p>
    <w:p>
      <w:pPr>
        <w:pStyle w:val="174"/>
        <w:numPr>
          <w:ilvl w:val="0"/>
          <w:numId w:val="34"/>
        </w:numPr>
      </w:pPr>
      <w:r>
        <w:rPr>
          <w:rFonts w:hint="eastAsia"/>
        </w:rPr>
        <w:t>具有完善的知识产权管理制度及专职知识产权管理人员。</w:t>
      </w:r>
    </w:p>
    <w:p>
      <w:pPr>
        <w:pStyle w:val="162"/>
      </w:pPr>
      <w:r>
        <w:rPr>
          <w:rFonts w:hint="eastAsia"/>
        </w:rPr>
        <w:t>申报主体为企业的，还应满足以下条件：</w:t>
      </w:r>
    </w:p>
    <w:p>
      <w:pPr>
        <w:pStyle w:val="174"/>
        <w:numPr>
          <w:ilvl w:val="0"/>
          <w:numId w:val="35"/>
        </w:numPr>
      </w:pPr>
      <w:r>
        <w:rPr>
          <w:rFonts w:hint="eastAsia"/>
        </w:rPr>
        <w:t>在相关技术领域研发水平处于行业领先地位，属于行业龙头、领军企业，或者承担国家或省部级重大科技攻关项目，或者正在开展关键核心（共性）技术研发，且已取得一定成果；</w:t>
      </w:r>
    </w:p>
    <w:p>
      <w:pPr>
        <w:pStyle w:val="174"/>
        <w:numPr>
          <w:ilvl w:val="0"/>
          <w:numId w:val="35"/>
        </w:numPr>
      </w:pPr>
      <w:r>
        <w:rPr>
          <w:rFonts w:hint="eastAsia"/>
        </w:rPr>
        <w:t>近三年研发费用总额占同期销售收入总额的比例达3%以上；</w:t>
      </w:r>
    </w:p>
    <w:p>
      <w:pPr>
        <w:pStyle w:val="174"/>
        <w:numPr>
          <w:ilvl w:val="0"/>
          <w:numId w:val="35"/>
        </w:numPr>
      </w:pPr>
      <w:r>
        <w:rPr>
          <w:rFonts w:hint="eastAsia"/>
        </w:rPr>
        <w:t>经营状况良好，近三年利润均不低于1000万元；国家单项冠军企业、国家专精特新“小巨人”企业、国家知识产权示范优势企业可不受利润限制；</w:t>
      </w:r>
    </w:p>
    <w:p>
      <w:pPr>
        <w:pStyle w:val="174"/>
        <w:numPr>
          <w:ilvl w:val="0"/>
          <w:numId w:val="35"/>
        </w:numPr>
      </w:pPr>
      <w:r>
        <w:rPr>
          <w:rFonts w:hint="eastAsia"/>
        </w:rPr>
        <w:t>企业有效发明专利数量≥50件，或高价值发明专利数量≥10件（进入国家阶段的PCT专利申请可计入有效发明专利数），或三年内获得国家或省科学技术奖、中国专利奖、安徽省专利奖。</w:t>
      </w:r>
    </w:p>
    <w:p>
      <w:pPr>
        <w:pStyle w:val="162"/>
      </w:pPr>
      <w:r>
        <w:rPr>
          <w:rFonts w:hint="eastAsia"/>
        </w:rPr>
        <w:t>申报主体为高校、科研院所、新型研发机构的，还应满足以下条件：</w:t>
      </w:r>
    </w:p>
    <w:p>
      <w:pPr>
        <w:pStyle w:val="174"/>
        <w:numPr>
          <w:ilvl w:val="0"/>
          <w:numId w:val="36"/>
        </w:numPr>
      </w:pPr>
      <w:r>
        <w:rPr>
          <w:rFonts w:hint="eastAsia"/>
        </w:rPr>
        <w:t>在相关技术领域研发水平处于国际领先，拥有与该领域相关的国家或省重点实验室、工程实验室或工程（技术）研究中心等研发平台，承担国家或省部级重大科技攻关项目，或者正在开展关键核心（共性）技术研发，且已建立产学研合作机制，并取得一定成果；</w:t>
      </w:r>
    </w:p>
    <w:p>
      <w:pPr>
        <w:pStyle w:val="174"/>
      </w:pPr>
      <w:r>
        <w:rPr>
          <w:rFonts w:hint="eastAsia"/>
        </w:rPr>
        <w:t>相关技术领域有效发明专利数量≥50件，或高价值发明专利数量≥10件（进入国家阶段的PCT专利申请可计入高价值发明专利数），或三年内获得国家或省科学技术奖、中国专利奖、省专利奖。</w:t>
      </w:r>
    </w:p>
    <w:p>
      <w:pPr>
        <w:pStyle w:val="104"/>
        <w:spacing w:before="312" w:after="312"/>
      </w:pPr>
      <w:bookmarkStart w:id="86" w:name="_Toc182553809"/>
      <w:bookmarkStart w:id="87" w:name="_Toc182553894"/>
      <w:bookmarkStart w:id="88" w:name="_Toc182553867"/>
      <w:bookmarkStart w:id="89" w:name="_Toc184286623"/>
      <w:bookmarkStart w:id="90" w:name="_Toc184369192"/>
      <w:r>
        <w:rPr>
          <w:rFonts w:hint="eastAsia"/>
        </w:rPr>
        <w:t>申报材料</w:t>
      </w:r>
      <w:bookmarkEnd w:id="86"/>
      <w:bookmarkEnd w:id="87"/>
      <w:bookmarkEnd w:id="88"/>
      <w:bookmarkEnd w:id="89"/>
      <w:bookmarkEnd w:id="90"/>
    </w:p>
    <w:p>
      <w:pPr>
        <w:pStyle w:val="56"/>
        <w:ind w:firstLine="420"/>
      </w:pPr>
      <w:r>
        <w:rPr>
          <w:rFonts w:hint="eastAsia"/>
        </w:rPr>
        <w:t>申报培育中心的材料包括但不限于：</w:t>
      </w:r>
    </w:p>
    <w:p>
      <w:pPr>
        <w:pStyle w:val="174"/>
        <w:numPr>
          <w:ilvl w:val="0"/>
          <w:numId w:val="37"/>
        </w:numPr>
      </w:pPr>
      <w:r>
        <w:rPr>
          <w:rFonts w:hint="eastAsia"/>
        </w:rPr>
        <w:t>《高价值发明专利培育中心申报表》；</w:t>
      </w:r>
    </w:p>
    <w:p>
      <w:pPr>
        <w:pStyle w:val="174"/>
        <w:numPr>
          <w:ilvl w:val="0"/>
          <w:numId w:val="37"/>
        </w:numPr>
      </w:pPr>
      <w:r>
        <w:rPr>
          <w:rFonts w:hint="eastAsia"/>
        </w:rPr>
        <w:t>营业执照副本、规模以上企业证明材料、专精特新企业认定文件、国家级高新技术企业证书、省级以上知识产权示范（优势）企业认定文件及知识产权贯标认证证书及其他证明材料；</w:t>
      </w:r>
    </w:p>
    <w:p>
      <w:pPr>
        <w:pStyle w:val="174"/>
        <w:numPr>
          <w:ilvl w:val="0"/>
          <w:numId w:val="37"/>
        </w:numPr>
      </w:pPr>
      <w:r>
        <w:rPr>
          <w:rFonts w:hint="eastAsia"/>
        </w:rPr>
        <w:t>会计师事务所提供的上年度企业财务报表（包括知识产权投入经费）及知识产权投入经费专项审计报告；</w:t>
      </w:r>
    </w:p>
    <w:p>
      <w:pPr>
        <w:pStyle w:val="174"/>
        <w:numPr>
          <w:ilvl w:val="0"/>
          <w:numId w:val="37"/>
        </w:numPr>
      </w:pPr>
      <w:r>
        <w:rPr>
          <w:rFonts w:hint="eastAsia"/>
        </w:rPr>
        <w:t>高质量、高水准、高价值的专利或专利组合及海外专利申请创造的基本思路、基本路径、基本布局(必须明确相关专利件数)；</w:t>
      </w:r>
    </w:p>
    <w:p>
      <w:pPr>
        <w:pStyle w:val="174"/>
        <w:numPr>
          <w:ilvl w:val="0"/>
          <w:numId w:val="37"/>
        </w:numPr>
      </w:pPr>
      <w:r>
        <w:rPr>
          <w:rFonts w:hint="eastAsia"/>
        </w:rPr>
        <w:t>有效发明专利文件清单(专利号)或省级以上专利奖文件；</w:t>
      </w:r>
    </w:p>
    <w:p>
      <w:pPr>
        <w:pStyle w:val="174"/>
        <w:numPr>
          <w:ilvl w:val="0"/>
          <w:numId w:val="37"/>
        </w:numPr>
      </w:pPr>
      <w:r>
        <w:rPr>
          <w:rFonts w:hint="eastAsia"/>
        </w:rPr>
        <w:t>知识产权部门管理制度文件、知识产权专业人才等(企业内部正式文件、证书及相关职工社保证明、工资流水)；</w:t>
      </w:r>
    </w:p>
    <w:p>
      <w:pPr>
        <w:pStyle w:val="174"/>
        <w:numPr>
          <w:ilvl w:val="0"/>
          <w:numId w:val="37"/>
        </w:numPr>
      </w:pPr>
      <w:r>
        <w:rPr>
          <w:rFonts w:hint="eastAsia"/>
        </w:rPr>
        <w:t>与高校院所的知识产权战略合作协议及开展的合作项目材料；</w:t>
      </w:r>
    </w:p>
    <w:p>
      <w:pPr>
        <w:pStyle w:val="174"/>
        <w:numPr>
          <w:ilvl w:val="0"/>
          <w:numId w:val="37"/>
        </w:numPr>
      </w:pPr>
      <w:r>
        <w:rPr>
          <w:rFonts w:hint="eastAsia"/>
        </w:rPr>
        <w:t>与知识产权服务机构的战略合作协议开展的合作项目材料；</w:t>
      </w:r>
    </w:p>
    <w:p>
      <w:pPr>
        <w:pStyle w:val="174"/>
        <w:numPr>
          <w:ilvl w:val="0"/>
          <w:numId w:val="37"/>
        </w:numPr>
      </w:pPr>
      <w:r>
        <w:rPr>
          <w:rFonts w:hint="eastAsia"/>
        </w:rPr>
        <w:t>企业在“国家企业信用信息公示系统”“信用·中国”和“信用·安徽”网站上的信用公示信息截图。</w:t>
      </w:r>
    </w:p>
    <w:p>
      <w:pPr>
        <w:pStyle w:val="104"/>
        <w:spacing w:before="312" w:after="312"/>
      </w:pPr>
      <w:bookmarkStart w:id="91" w:name="_Toc184286624"/>
      <w:bookmarkStart w:id="92" w:name="_Toc182553895"/>
      <w:bookmarkStart w:id="93" w:name="_Toc182553868"/>
      <w:bookmarkStart w:id="94" w:name="_Toc184369193"/>
      <w:bookmarkStart w:id="95" w:name="_Toc182553810"/>
      <w:r>
        <w:rPr>
          <w:rFonts w:hint="eastAsia"/>
        </w:rPr>
        <w:t>申报流程</w:t>
      </w:r>
      <w:bookmarkEnd w:id="91"/>
      <w:bookmarkEnd w:id="92"/>
      <w:bookmarkEnd w:id="93"/>
      <w:bookmarkEnd w:id="94"/>
      <w:bookmarkEnd w:id="95"/>
    </w:p>
    <w:p>
      <w:pPr>
        <w:pStyle w:val="56"/>
        <w:ind w:firstLine="420"/>
      </w:pPr>
      <w:r>
        <w:rPr>
          <w:rFonts w:hint="eastAsia"/>
        </w:rPr>
        <w:t>培育中心申报流程包括：</w:t>
      </w:r>
    </w:p>
    <w:p>
      <w:pPr>
        <w:pStyle w:val="174"/>
        <w:numPr>
          <w:ilvl w:val="0"/>
          <w:numId w:val="38"/>
        </w:numPr>
      </w:pPr>
      <w:r>
        <w:rPr>
          <w:rFonts w:hint="eastAsia"/>
        </w:rPr>
        <w:t>设区市、县（市、区）行政主管部门按照要求，组织本辖区内符合条件的单位进行申报，并对申报材料的真实性、完整性、准确性、合法性进行审核，逐级审推荐；</w:t>
      </w:r>
    </w:p>
    <w:p>
      <w:pPr>
        <w:pStyle w:val="174"/>
        <w:numPr>
          <w:ilvl w:val="0"/>
          <w:numId w:val="38"/>
        </w:numPr>
      </w:pPr>
      <w:r>
        <w:rPr>
          <w:rFonts w:hint="eastAsia"/>
        </w:rPr>
        <w:t>省级行政主管部门根据项目申报情况组织专家评审；</w:t>
      </w:r>
    </w:p>
    <w:p>
      <w:pPr>
        <w:pStyle w:val="174"/>
        <w:numPr>
          <w:ilvl w:val="0"/>
          <w:numId w:val="38"/>
        </w:numPr>
      </w:pPr>
      <w:r>
        <w:rPr>
          <w:rFonts w:hint="eastAsia"/>
        </w:rPr>
        <w:t>根据专家评审意见，确定培育中心名单，并以适当方式予以公示；</w:t>
      </w:r>
    </w:p>
    <w:p>
      <w:pPr>
        <w:pStyle w:val="174"/>
        <w:numPr>
          <w:ilvl w:val="0"/>
          <w:numId w:val="38"/>
        </w:numPr>
      </w:pPr>
      <w:r>
        <w:rPr>
          <w:rFonts w:hint="eastAsia"/>
        </w:rPr>
        <w:t>培育中心统一命名为“安徽省高价值发明专利培育中心”；</w:t>
      </w:r>
    </w:p>
    <w:p>
      <w:pPr>
        <w:pStyle w:val="174"/>
        <w:numPr>
          <w:ilvl w:val="0"/>
          <w:numId w:val="38"/>
        </w:numPr>
      </w:pPr>
      <w:r>
        <w:rPr>
          <w:rFonts w:hint="eastAsia"/>
        </w:rPr>
        <w:t>省级行政主管部门与中榜单位签订培育中心建设任务书，明确建设内容、考核指标、建设期限、经费使用等相关内容。</w:t>
      </w:r>
    </w:p>
    <w:p>
      <w:pPr>
        <w:pStyle w:val="104"/>
        <w:spacing w:before="312" w:after="312"/>
        <w:rPr>
          <w:rFonts w:hint="eastAsia"/>
        </w:rPr>
      </w:pPr>
      <w:bookmarkStart w:id="96" w:name="_Toc184369194"/>
      <w:r>
        <w:rPr>
          <w:rFonts w:hint="eastAsia"/>
        </w:rPr>
        <w:t>工作内容和任务</w:t>
      </w:r>
      <w:bookmarkEnd w:id="96"/>
    </w:p>
    <w:p>
      <w:pPr>
        <w:pStyle w:val="105"/>
        <w:spacing w:before="156" w:after="156"/>
        <w:rPr>
          <w:rFonts w:hint="eastAsia"/>
        </w:rPr>
      </w:pPr>
      <w:bookmarkStart w:id="97" w:name="_Toc184369195"/>
      <w:r>
        <w:rPr>
          <w:rFonts w:hint="eastAsia"/>
        </w:rPr>
        <w:t>专利信息分析利用</w:t>
      </w:r>
      <w:bookmarkEnd w:id="97"/>
    </w:p>
    <w:p>
      <w:pPr>
        <w:pStyle w:val="165"/>
        <w:rPr>
          <w:rFonts w:hint="eastAsia"/>
        </w:rPr>
      </w:pPr>
      <w:r>
        <w:rPr>
          <w:rFonts w:hint="eastAsia"/>
        </w:rPr>
        <w:t>开展专利导航分析，为高价值发明培育指引方向和路径。通过深入分析相关领域的专利布局和技术发展趋势，确定关键技术和研发空白点，为高价值专利的培育提供科学依据。</w:t>
      </w:r>
    </w:p>
    <w:p>
      <w:pPr>
        <w:pStyle w:val="165"/>
        <w:rPr>
          <w:rFonts w:hint="eastAsia"/>
        </w:rPr>
      </w:pPr>
      <w:r>
        <w:rPr>
          <w:rFonts w:hint="eastAsia"/>
        </w:rPr>
        <w:t>跟踪收集相关知识产权信息和市场竞争信息，开展相关领域竞争态势分析。通过对市场动态、竞争对手专利布局等信息的持续监控，及时调整研发策略和专利布局方案。</w:t>
      </w:r>
    </w:p>
    <w:p>
      <w:pPr>
        <w:pStyle w:val="165"/>
        <w:rPr>
          <w:rFonts w:hint="eastAsia"/>
        </w:rPr>
      </w:pPr>
      <w:r>
        <w:rPr>
          <w:rFonts w:hint="eastAsia"/>
        </w:rPr>
        <w:t>加强专利信息利用，确立关键核心技术研发策略和路径，制定专利布局方案。结合市场需求和技术前沿，制定科学合理的专利布局方案，助力关键核心（共性）技术研发取得突破。</w:t>
      </w:r>
    </w:p>
    <w:p>
      <w:pPr>
        <w:pStyle w:val="105"/>
        <w:spacing w:before="156" w:after="156"/>
        <w:rPr>
          <w:rFonts w:hint="eastAsia"/>
        </w:rPr>
      </w:pPr>
      <w:bookmarkStart w:id="98" w:name="_Toc184369196"/>
      <w:r>
        <w:rPr>
          <w:rFonts w:hint="eastAsia"/>
        </w:rPr>
        <w:t>强化专利运用</w:t>
      </w:r>
      <w:bookmarkEnd w:id="98"/>
    </w:p>
    <w:p>
      <w:pPr>
        <w:pStyle w:val="165"/>
        <w:rPr>
          <w:rFonts w:hint="eastAsia"/>
        </w:rPr>
      </w:pPr>
      <w:r>
        <w:rPr>
          <w:rFonts w:hint="eastAsia"/>
        </w:rPr>
        <w:t>企业加快推动专利技术产业化，积极参与国际标准、国家标准或行业标准的制定和修订，推动专利标准化。通过将专利技术转化为实际产品或服务，提高企业的市场竞争力和经济效益。</w:t>
      </w:r>
    </w:p>
    <w:p>
      <w:pPr>
        <w:pStyle w:val="165"/>
        <w:rPr>
          <w:rFonts w:hint="eastAsia"/>
        </w:rPr>
      </w:pPr>
      <w:r>
        <w:rPr>
          <w:rFonts w:hint="eastAsia"/>
        </w:rPr>
        <w:t>高校、科研院所、新型研发机构建立完善专利转化运用机制，完善收益分配制度，促进专利价值变现。建立健全的专利转化机制，确保专利技术能够得到有效应用和推广，实现其经济价值和社会价值。</w:t>
      </w:r>
    </w:p>
    <w:p>
      <w:pPr>
        <w:pStyle w:val="105"/>
        <w:spacing w:before="156" w:after="156"/>
        <w:rPr>
          <w:rFonts w:hint="eastAsia"/>
        </w:rPr>
      </w:pPr>
      <w:bookmarkStart w:id="99" w:name="_Toc184369197"/>
      <w:r>
        <w:rPr>
          <w:rFonts w:hint="eastAsia"/>
        </w:rPr>
        <w:t>强化专利保护</w:t>
      </w:r>
      <w:bookmarkEnd w:id="99"/>
    </w:p>
    <w:p>
      <w:pPr>
        <w:pStyle w:val="56"/>
        <w:ind w:firstLine="420"/>
        <w:rPr>
          <w:rFonts w:hint="eastAsia"/>
        </w:rPr>
      </w:pPr>
      <w:r>
        <w:rPr>
          <w:rFonts w:hint="eastAsia"/>
        </w:rPr>
        <w:t>建立专利风险跟踪研判和防控机制，组建或依托专业维权团队，积极应对专利纠纷，有效维护自身合法权益。通过建立健全的专利保护体系，防范潜在的侵权风险，保障专利权人的合法权益不受侵害。</w:t>
      </w:r>
    </w:p>
    <w:p>
      <w:pPr>
        <w:pStyle w:val="105"/>
        <w:spacing w:before="156" w:after="156"/>
        <w:rPr>
          <w:rFonts w:hint="eastAsia"/>
        </w:rPr>
      </w:pPr>
      <w:bookmarkStart w:id="100" w:name="_Toc184369198"/>
      <w:r>
        <w:rPr>
          <w:rFonts w:hint="eastAsia"/>
        </w:rPr>
        <w:t>发挥高价值专利培育示范效应</w:t>
      </w:r>
      <w:bookmarkEnd w:id="100"/>
    </w:p>
    <w:p>
      <w:pPr>
        <w:pStyle w:val="165"/>
        <w:rPr>
          <w:rFonts w:hint="eastAsia"/>
        </w:rPr>
      </w:pPr>
      <w:r>
        <w:rPr>
          <w:rFonts w:hint="eastAsia"/>
        </w:rPr>
        <w:t>不断巩固和完善高价值专利培育机制，及时归纳总结高价值专利培育的有效做法和经验。通过总结经验和教训，不断完善高价值专利培育机制，提高培育效率和质量。</w:t>
      </w:r>
    </w:p>
    <w:p>
      <w:pPr>
        <w:pStyle w:val="165"/>
        <w:rPr>
          <w:rFonts w:hint="eastAsia"/>
        </w:rPr>
      </w:pPr>
      <w:r>
        <w:rPr>
          <w:rFonts w:hint="eastAsia"/>
        </w:rPr>
        <w:t>积极开展专利密集型产品备案，实施专利开放许可。通过专利密集型产品的备案和专利开放许可的实施，促进技术交流与合作，推动产业升级和创新发展。</w:t>
      </w:r>
    </w:p>
    <w:p>
      <w:pPr>
        <w:pStyle w:val="104"/>
        <w:spacing w:before="312" w:after="312"/>
      </w:pPr>
      <w:bookmarkStart w:id="101" w:name="_Toc184369199"/>
      <w:bookmarkStart w:id="102" w:name="_Toc184286625"/>
      <w:r>
        <w:rPr>
          <w:rFonts w:hint="eastAsia"/>
        </w:rPr>
        <w:t>管理要求</w:t>
      </w:r>
      <w:bookmarkEnd w:id="101"/>
      <w:bookmarkEnd w:id="102"/>
    </w:p>
    <w:p>
      <w:pPr>
        <w:pStyle w:val="105"/>
        <w:spacing w:before="156" w:after="156"/>
        <w:rPr>
          <w:rFonts w:hint="eastAsia"/>
        </w:rPr>
      </w:pPr>
      <w:bookmarkStart w:id="103" w:name="_Toc184369200"/>
      <w:r>
        <w:rPr>
          <w:rFonts w:hint="eastAsia"/>
        </w:rPr>
        <w:t>组织管理体系</w:t>
      </w:r>
      <w:bookmarkEnd w:id="103"/>
    </w:p>
    <w:p>
      <w:pPr>
        <w:pStyle w:val="165"/>
        <w:rPr>
          <w:rFonts w:hint="eastAsia"/>
        </w:rPr>
      </w:pPr>
      <w:r>
        <w:rPr>
          <w:rFonts w:hint="eastAsia"/>
        </w:rPr>
        <w:t>成立多方参与的知识产权议事机构：负责信息平台建设、专利布局、研发方向确定、发明披露审查等重大事务的决策协商。</w:t>
      </w:r>
    </w:p>
    <w:p>
      <w:pPr>
        <w:pStyle w:val="165"/>
        <w:rPr>
          <w:rFonts w:hint="eastAsia"/>
        </w:rPr>
      </w:pPr>
      <w:r>
        <w:rPr>
          <w:rFonts w:hint="eastAsia"/>
        </w:rPr>
        <w:t>建立完善的组织管理体系：包括成立管理高层例会制度，定期听取高价值专利培育工作报告，研究审议重大事项。</w:t>
      </w:r>
    </w:p>
    <w:p>
      <w:pPr>
        <w:pStyle w:val="105"/>
        <w:spacing w:before="156" w:after="156"/>
        <w:rPr>
          <w:rFonts w:hint="eastAsia"/>
        </w:rPr>
      </w:pPr>
      <w:bookmarkStart w:id="104" w:name="_Toc184369201"/>
      <w:r>
        <w:rPr>
          <w:rFonts w:hint="eastAsia"/>
        </w:rPr>
        <w:t>人员配置与职责</w:t>
      </w:r>
      <w:bookmarkEnd w:id="104"/>
    </w:p>
    <w:p>
      <w:pPr>
        <w:pStyle w:val="165"/>
        <w:rPr>
          <w:rFonts w:hint="eastAsia"/>
        </w:rPr>
      </w:pPr>
      <w:r>
        <w:rPr>
          <w:rFonts w:hint="eastAsia"/>
        </w:rPr>
        <w:t>管理人员：负责统筹推进高价值专利培育工作、调配资源、把控进度、协调各方。</w:t>
      </w:r>
    </w:p>
    <w:p>
      <w:pPr>
        <w:pStyle w:val="165"/>
        <w:rPr>
          <w:rFonts w:hint="eastAsia"/>
        </w:rPr>
      </w:pPr>
      <w:r>
        <w:rPr>
          <w:rFonts w:hint="eastAsia"/>
        </w:rPr>
        <w:t>研发人员：负责制定研发计划，开展具体研发活动，并对研发成果进行梳理。</w:t>
      </w:r>
    </w:p>
    <w:p>
      <w:pPr>
        <w:pStyle w:val="165"/>
        <w:rPr>
          <w:rFonts w:hint="eastAsia"/>
        </w:rPr>
      </w:pPr>
      <w:r>
        <w:rPr>
          <w:rFonts w:hint="eastAsia"/>
        </w:rPr>
        <w:t>市场人员：负责跟踪市场竞争情况，监控侵权行为，并反馈市场信息。</w:t>
      </w:r>
    </w:p>
    <w:p>
      <w:pPr>
        <w:pStyle w:val="165"/>
        <w:rPr>
          <w:rFonts w:hint="eastAsia"/>
        </w:rPr>
      </w:pPr>
      <w:r>
        <w:rPr>
          <w:rFonts w:hint="eastAsia"/>
        </w:rPr>
        <w:t>专利工作人员：负责组织制定和实施专利布局规划，开展专利导航分析，承担专利管理、运用、维权等日常事务。</w:t>
      </w:r>
    </w:p>
    <w:p>
      <w:pPr>
        <w:pStyle w:val="105"/>
        <w:spacing w:before="156" w:after="156"/>
        <w:rPr>
          <w:rFonts w:hint="eastAsia"/>
        </w:rPr>
      </w:pPr>
      <w:bookmarkStart w:id="105" w:name="_Toc184369202"/>
      <w:r>
        <w:rPr>
          <w:rFonts w:hint="eastAsia"/>
        </w:rPr>
        <w:t>资源整合与协同创新</w:t>
      </w:r>
      <w:bookmarkEnd w:id="105"/>
    </w:p>
    <w:p>
      <w:pPr>
        <w:pStyle w:val="162"/>
        <w:rPr>
          <w:rFonts w:hint="eastAsia"/>
        </w:rPr>
      </w:pPr>
      <w:r>
        <w:rPr>
          <w:rFonts w:hint="eastAsia"/>
        </w:rPr>
        <w:t>整合内外部资源：包括与产业链上下游企业、高校、科研单位及知识产权服务机构等建立良好合作机制，形成协同创新体系。</w:t>
      </w:r>
    </w:p>
    <w:p>
      <w:pPr>
        <w:pStyle w:val="162"/>
        <w:rPr>
          <w:rFonts w:hint="eastAsia"/>
        </w:rPr>
      </w:pPr>
      <w:r>
        <w:rPr>
          <w:rFonts w:hint="eastAsia"/>
        </w:rPr>
        <w:t>加强产学研服合作：围绕产业链部署创新链，依据分析结果绘制专利地图，寻求产业发展技术空白点，确立核心技术和关键技术研发策略和路径。</w:t>
      </w:r>
    </w:p>
    <w:p>
      <w:pPr>
        <w:pStyle w:val="105"/>
        <w:spacing w:before="156" w:after="156"/>
        <w:rPr>
          <w:rFonts w:hint="eastAsia"/>
        </w:rPr>
      </w:pPr>
      <w:bookmarkStart w:id="106" w:name="_Toc184369203"/>
      <w:r>
        <w:rPr>
          <w:rFonts w:hint="eastAsia"/>
        </w:rPr>
        <w:t>信息利用与专利管理</w:t>
      </w:r>
      <w:bookmarkEnd w:id="106"/>
    </w:p>
    <w:p>
      <w:pPr>
        <w:pStyle w:val="165"/>
        <w:rPr>
          <w:rFonts w:hint="eastAsia"/>
        </w:rPr>
      </w:pPr>
      <w:r>
        <w:rPr>
          <w:rFonts w:hint="eastAsia"/>
        </w:rPr>
        <w:t>建立专业的专利数据系统：开展专利分析和产业细分领域的研究，以评价企业竞争力和竞争环境，预测产业技术的发展趋势和产品市场需求。</w:t>
      </w:r>
    </w:p>
    <w:p>
      <w:pPr>
        <w:pStyle w:val="165"/>
        <w:rPr>
          <w:rFonts w:hint="eastAsia"/>
        </w:rPr>
      </w:pPr>
      <w:r>
        <w:rPr>
          <w:rFonts w:hint="eastAsia"/>
        </w:rPr>
        <w:t>强化产权全生命周期的专利管理：按照专利布局进行针对性的研发，建立研发管理标准体系，定期对研发过程中新增的专利申请进行分析评判，及时调整研发策略、优化研发路径。</w:t>
      </w:r>
    </w:p>
    <w:p>
      <w:pPr>
        <w:pStyle w:val="165"/>
        <w:rPr>
          <w:rFonts w:hint="eastAsia"/>
        </w:rPr>
      </w:pPr>
      <w:r>
        <w:rPr>
          <w:rFonts w:hint="eastAsia"/>
        </w:rPr>
        <w:t>提升专利申请文件撰写质量：围绕技术方案，优化权利要求配置，确定合理权力要求范围，从多个维度对产品和工艺开展申请专利。</w:t>
      </w:r>
    </w:p>
    <w:p>
      <w:pPr>
        <w:pStyle w:val="105"/>
        <w:spacing w:before="156" w:after="156"/>
      </w:pPr>
      <w:bookmarkStart w:id="107" w:name="_Toc184369204"/>
      <w:r>
        <w:rPr>
          <w:rFonts w:hint="eastAsia"/>
        </w:rPr>
        <w:t>报告制度与资金使用</w:t>
      </w:r>
      <w:bookmarkEnd w:id="107"/>
    </w:p>
    <w:p>
      <w:pPr>
        <w:pStyle w:val="165"/>
      </w:pPr>
      <w:r>
        <w:rPr>
          <w:rFonts w:hint="eastAsia"/>
        </w:rPr>
        <w:t>培育中心实行年度工作报告制度。年度工作报告内容应包括但不限于:培育中心运行总体情况、任务执行进度、资金使用情况、取得的成效、特色亮点工作、存在问题及下一步工作计划等。工作报告经设区市、县（市、区）行政主管部门审核后报送省级行政主管部门。</w:t>
      </w:r>
    </w:p>
    <w:p>
      <w:pPr>
        <w:pStyle w:val="165"/>
      </w:pPr>
      <w:r>
        <w:rPr>
          <w:rFonts w:hint="eastAsia"/>
        </w:rPr>
        <w:t>培育中心应确保资金使用的合规性和有效性，接受相关部门的检查与监督。</w:t>
      </w:r>
    </w:p>
    <w:p>
      <w:pPr>
        <w:pStyle w:val="104"/>
        <w:spacing w:before="312" w:after="312"/>
      </w:pPr>
      <w:bookmarkStart w:id="108" w:name="_Toc184286626"/>
      <w:bookmarkStart w:id="109" w:name="_Toc182553808"/>
      <w:bookmarkStart w:id="110" w:name="_Toc182553893"/>
      <w:bookmarkStart w:id="111" w:name="_Toc182553866"/>
      <w:bookmarkStart w:id="112" w:name="_Toc184369205"/>
      <w:r>
        <w:rPr>
          <w:rFonts w:hint="eastAsia"/>
        </w:rPr>
        <w:t>绩效目标</w:t>
      </w:r>
      <w:bookmarkEnd w:id="108"/>
      <w:bookmarkEnd w:id="109"/>
      <w:bookmarkEnd w:id="110"/>
      <w:bookmarkEnd w:id="111"/>
      <w:bookmarkEnd w:id="112"/>
    </w:p>
    <w:p>
      <w:pPr>
        <w:pStyle w:val="56"/>
        <w:ind w:firstLine="420"/>
      </w:pPr>
      <w:r>
        <w:rPr>
          <w:rFonts w:hint="eastAsia"/>
        </w:rPr>
        <w:t>培育中心绩效目标包括：</w:t>
      </w:r>
    </w:p>
    <w:p>
      <w:pPr>
        <w:pStyle w:val="174"/>
        <w:numPr>
          <w:ilvl w:val="0"/>
          <w:numId w:val="39"/>
        </w:numPr>
      </w:pPr>
      <w:r>
        <w:rPr>
          <w:rFonts w:hint="eastAsia"/>
        </w:rPr>
        <w:t>建立完善的组织管理体系。牵头单位组建培育中心，委派一名高管作为中心主要责人，负责建立并运行符合产业特点和创新规律的高价值专利培育模式及重大事项协商决策制度；设立独立的知识产权部,专职知识产权工作人员3人以上；</w:t>
      </w:r>
    </w:p>
    <w:p>
      <w:pPr>
        <w:pStyle w:val="174"/>
        <w:numPr>
          <w:ilvl w:val="0"/>
          <w:numId w:val="39"/>
        </w:numPr>
      </w:pPr>
      <w:r>
        <w:rPr>
          <w:rFonts w:hint="eastAsia"/>
        </w:rPr>
        <w:t>加大知识产权工作经费投入。牵头单位对独立设置的知识产权管理部门在办公场所、人员配备、软硬件设施、工作经费等方面给予保障；</w:t>
      </w:r>
    </w:p>
    <w:p>
      <w:pPr>
        <w:pStyle w:val="174"/>
        <w:numPr>
          <w:ilvl w:val="0"/>
          <w:numId w:val="39"/>
        </w:numPr>
      </w:pPr>
      <w:r>
        <w:rPr>
          <w:rFonts w:hint="eastAsia"/>
        </w:rPr>
        <w:t>提升专利申请管理质量。围绕重大科技创新项目或关键核心技术产出一批高质量专利(申请)和专利组合，项目建设期内发明专利申请10件以上，无非正常专利申请行为，积极申请省级、国家级以上专利奖励1项以上；</w:t>
      </w:r>
    </w:p>
    <w:p>
      <w:pPr>
        <w:pStyle w:val="174"/>
        <w:numPr>
          <w:ilvl w:val="0"/>
          <w:numId w:val="39"/>
        </w:numPr>
      </w:pPr>
      <w:r>
        <w:rPr>
          <w:rFonts w:hint="eastAsia"/>
        </w:rPr>
        <w:t>强化专利转化运用。牵头单位为企业、科研院所的，原则上在国家专利密集型产品备案认定平台上填报完成专利产品备案5件以上；完成专利转让许可备案3件以上；依托产出的高价值专利，推动专利技术转化运用， 产生一定的经济效益，实施期间专利产品营业额较上年度增长10%以上或开展知识产权质押融资金额达100万元以上；</w:t>
      </w:r>
    </w:p>
    <w:p>
      <w:pPr>
        <w:pStyle w:val="174"/>
        <w:numPr>
          <w:ilvl w:val="0"/>
          <w:numId w:val="39"/>
        </w:numPr>
      </w:pPr>
      <w:r>
        <w:rPr>
          <w:rFonts w:hint="eastAsia"/>
        </w:rPr>
        <w:t>发挥高价值专利产业引领作用。不断巩固和完善高价值专利培育机制，及时总结高价值专利培育的经验做法；举办经验推广会或成果推介会，带动相关产业领域创新主体开展高价值专利培育工作，完成高价值专利培育典型案例总结和推广1项。。</w:t>
      </w:r>
    </w:p>
    <w:p>
      <w:pPr>
        <w:pStyle w:val="104"/>
        <w:spacing w:before="312" w:after="312"/>
      </w:pPr>
      <w:bookmarkStart w:id="113" w:name="_Toc184286627"/>
      <w:bookmarkStart w:id="114" w:name="_Toc182553869"/>
      <w:bookmarkStart w:id="115" w:name="_Toc182553811"/>
      <w:bookmarkStart w:id="116" w:name="_Toc184369206"/>
      <w:bookmarkStart w:id="117" w:name="_Toc182553896"/>
      <w:r>
        <w:rPr>
          <w:rFonts w:hint="eastAsia"/>
        </w:rPr>
        <w:t>监督与评价</w:t>
      </w:r>
      <w:bookmarkEnd w:id="113"/>
      <w:bookmarkEnd w:id="114"/>
      <w:bookmarkEnd w:id="115"/>
      <w:bookmarkEnd w:id="116"/>
      <w:bookmarkEnd w:id="117"/>
    </w:p>
    <w:p>
      <w:pPr>
        <w:pStyle w:val="105"/>
        <w:spacing w:before="156" w:after="156"/>
      </w:pPr>
      <w:bookmarkStart w:id="118" w:name="_Toc182553812"/>
      <w:bookmarkStart w:id="119" w:name="_Toc184369207"/>
      <w:bookmarkStart w:id="120" w:name="_Toc182553870"/>
      <w:bookmarkStart w:id="121" w:name="_Toc184286628"/>
      <w:r>
        <w:rPr>
          <w:rFonts w:hint="eastAsia"/>
        </w:rPr>
        <w:t>监督检查</w:t>
      </w:r>
      <w:bookmarkEnd w:id="118"/>
      <w:bookmarkEnd w:id="119"/>
      <w:bookmarkEnd w:id="120"/>
      <w:bookmarkEnd w:id="121"/>
    </w:p>
    <w:p>
      <w:pPr>
        <w:pStyle w:val="56"/>
        <w:ind w:firstLine="420"/>
      </w:pPr>
      <w:r>
        <w:rPr>
          <w:rFonts w:hint="eastAsia"/>
        </w:rPr>
        <w:t>培育中心实行优胜劣汰、动态调整制度，省级行政主管部门每年委托第三方评估机构对培育中心开展绩效评价。</w:t>
      </w:r>
    </w:p>
    <w:p>
      <w:pPr>
        <w:pStyle w:val="105"/>
        <w:spacing w:before="156" w:after="156"/>
      </w:pPr>
      <w:bookmarkStart w:id="122" w:name="_Toc184286629"/>
      <w:bookmarkStart w:id="123" w:name="_Toc182553871"/>
      <w:bookmarkStart w:id="124" w:name="_Toc182553813"/>
      <w:bookmarkStart w:id="125" w:name="_Toc184369208"/>
      <w:r>
        <w:rPr>
          <w:rFonts w:hint="eastAsia"/>
        </w:rPr>
        <w:t>绩效评价</w:t>
      </w:r>
      <w:bookmarkEnd w:id="122"/>
      <w:bookmarkEnd w:id="123"/>
      <w:bookmarkEnd w:id="124"/>
      <w:bookmarkEnd w:id="125"/>
    </w:p>
    <w:p>
      <w:pPr>
        <w:pStyle w:val="65"/>
        <w:spacing w:before="156" w:after="156"/>
      </w:pPr>
      <w:r>
        <w:rPr>
          <w:rFonts w:hint="eastAsia"/>
        </w:rPr>
        <w:t>评价方式</w:t>
      </w:r>
    </w:p>
    <w:p>
      <w:pPr>
        <w:pStyle w:val="56"/>
        <w:ind w:firstLine="420"/>
      </w:pPr>
      <w:r>
        <w:rPr>
          <w:rFonts w:hint="eastAsia"/>
        </w:rPr>
        <w:t>绩效评价以建设方案确定的任务和目标、实际运行的客观数据为主要依据，重点评价培育中心运行管理、开展高价值专利培育、构筑产业核心竞争力、引领产业高质量发展及经费使用是否合规等方面的情况。</w:t>
      </w:r>
    </w:p>
    <w:p>
      <w:pPr>
        <w:pStyle w:val="65"/>
        <w:spacing w:before="156" w:after="156"/>
      </w:pPr>
      <w:r>
        <w:rPr>
          <w:rFonts w:hint="eastAsia"/>
        </w:rPr>
        <w:t>评价结果</w:t>
      </w:r>
    </w:p>
    <w:p>
      <w:pPr>
        <w:pStyle w:val="56"/>
        <w:ind w:firstLine="420"/>
      </w:pPr>
      <w:r>
        <w:rPr>
          <w:rFonts w:hint="eastAsia"/>
        </w:rPr>
        <w:t>绩效评价结果分为优秀、合格和不合格三个档次，根据评价结果分别作下列处理：</w:t>
      </w:r>
    </w:p>
    <w:p>
      <w:pPr>
        <w:pStyle w:val="174"/>
        <w:numPr>
          <w:ilvl w:val="0"/>
          <w:numId w:val="40"/>
        </w:numPr>
      </w:pPr>
      <w:r>
        <w:rPr>
          <w:rFonts w:hint="eastAsia"/>
        </w:rPr>
        <w:t>评价结果为优秀或合格的，同意进入下一轮运行周期，对评价优秀的培育中心给予激励；</w:t>
      </w:r>
    </w:p>
    <w:p>
      <w:pPr>
        <w:pStyle w:val="174"/>
        <w:numPr>
          <w:ilvl w:val="0"/>
          <w:numId w:val="40"/>
        </w:numPr>
      </w:pPr>
      <w:r>
        <w:rPr>
          <w:rFonts w:hint="eastAsia"/>
        </w:rPr>
        <w:t>评价结果为不合格的，要求其限期整改，整改时限一般不超过半年；</w:t>
      </w:r>
    </w:p>
    <w:p>
      <w:pPr>
        <w:pStyle w:val="174"/>
        <w:numPr>
          <w:ilvl w:val="0"/>
          <w:numId w:val="40"/>
        </w:numPr>
      </w:pPr>
      <w:r>
        <w:rPr>
          <w:rFonts w:hint="eastAsia"/>
        </w:rPr>
        <w:t>无正当理由不参加评价、未完成评价或整改后仍不合格的，予以摘牌，取消其培育中心称号，追回财政资金并予以公告。</w:t>
      </w:r>
      <w:bookmarkEnd w:id="28"/>
      <w:bookmarkStart w:id="126" w:name="BookMark8"/>
    </w:p>
    <w:p>
      <w:pPr>
        <w:pStyle w:val="56"/>
        <w:ind w:firstLine="420"/>
        <w:jc w:val="center"/>
      </w:pPr>
      <w:r>
        <w:drawing>
          <wp:inline distT="0" distB="0" distL="0" distR="0">
            <wp:extent cx="1485900" cy="317500"/>
            <wp:effectExtent l="0" t="0" r="0" b="6350"/>
            <wp:docPr id="908906711" name="图片 3"/>
            <wp:cNvGraphicFramePr/>
            <a:graphic xmlns:a="http://schemas.openxmlformats.org/drawingml/2006/main">
              <a:graphicData uri="http://schemas.openxmlformats.org/drawingml/2006/picture">
                <pic:pic xmlns:pic="http://schemas.openxmlformats.org/drawingml/2006/picture">
                  <pic:nvPicPr>
                    <pic:cNvPr id="908906711"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6"/>
    </w:p>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34/T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XXXX—2024</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34/T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XXXX—2024</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34/T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34/T XXXX—2024</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710"/>
        </w:tabs>
        <w:ind w:left="710"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0B4e88CrwD7gHf7958dLx4V4q1gWUBYKkwa17r+1ioKr7BkVc77phnA0153C8VVX7fDY+2F6wUz+/Da6WDsehg==" w:salt="/dbpSIhyLIkgvpZEXanIjg=="/>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70"/>
    <w:rsid w:val="0000040A"/>
    <w:rsid w:val="00000A94"/>
    <w:rsid w:val="00000B6C"/>
    <w:rsid w:val="00001972"/>
    <w:rsid w:val="00001D9A"/>
    <w:rsid w:val="00007B3A"/>
    <w:rsid w:val="000107E0"/>
    <w:rsid w:val="00011FDE"/>
    <w:rsid w:val="00012FFD"/>
    <w:rsid w:val="00014162"/>
    <w:rsid w:val="00014340"/>
    <w:rsid w:val="0001551D"/>
    <w:rsid w:val="00016A9C"/>
    <w:rsid w:val="00022184"/>
    <w:rsid w:val="00022762"/>
    <w:rsid w:val="000238E0"/>
    <w:rsid w:val="0002441E"/>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4B7"/>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C6E"/>
    <w:rsid w:val="000A7311"/>
    <w:rsid w:val="000B060F"/>
    <w:rsid w:val="000B1592"/>
    <w:rsid w:val="000B1FF2"/>
    <w:rsid w:val="000B3CDA"/>
    <w:rsid w:val="000B6A0B"/>
    <w:rsid w:val="000C0F6C"/>
    <w:rsid w:val="000C11DB"/>
    <w:rsid w:val="000C1492"/>
    <w:rsid w:val="000C2FBD"/>
    <w:rsid w:val="000C341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172AF"/>
    <w:rsid w:val="0012059C"/>
    <w:rsid w:val="00124E4F"/>
    <w:rsid w:val="001260B7"/>
    <w:rsid w:val="001264D3"/>
    <w:rsid w:val="001265CB"/>
    <w:rsid w:val="001321C6"/>
    <w:rsid w:val="001325C4"/>
    <w:rsid w:val="00133010"/>
    <w:rsid w:val="001338EE"/>
    <w:rsid w:val="00133AAE"/>
    <w:rsid w:val="00135323"/>
    <w:rsid w:val="001356C4"/>
    <w:rsid w:val="001406A5"/>
    <w:rsid w:val="00141114"/>
    <w:rsid w:val="00141E23"/>
    <w:rsid w:val="00142969"/>
    <w:rsid w:val="001446C2"/>
    <w:rsid w:val="001457E7"/>
    <w:rsid w:val="00145D9D"/>
    <w:rsid w:val="00146388"/>
    <w:rsid w:val="001529E5"/>
    <w:rsid w:val="001538AA"/>
    <w:rsid w:val="00153C7E"/>
    <w:rsid w:val="00156446"/>
    <w:rsid w:val="00156B25"/>
    <w:rsid w:val="00156E1A"/>
    <w:rsid w:val="00157894"/>
    <w:rsid w:val="00157B55"/>
    <w:rsid w:val="00160B0E"/>
    <w:rsid w:val="00161446"/>
    <w:rsid w:val="001618F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357"/>
    <w:rsid w:val="00187E83"/>
    <w:rsid w:val="00190087"/>
    <w:rsid w:val="001913C4"/>
    <w:rsid w:val="0019348F"/>
    <w:rsid w:val="00193A07"/>
    <w:rsid w:val="00194C95"/>
    <w:rsid w:val="00195C34"/>
    <w:rsid w:val="00196EF5"/>
    <w:rsid w:val="001A1A53"/>
    <w:rsid w:val="001A234A"/>
    <w:rsid w:val="001A4CF3"/>
    <w:rsid w:val="001A62EF"/>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6EC"/>
    <w:rsid w:val="001E1B6A"/>
    <w:rsid w:val="001E1F90"/>
    <w:rsid w:val="001E2484"/>
    <w:rsid w:val="001E3CC4"/>
    <w:rsid w:val="001E4882"/>
    <w:rsid w:val="001E73AB"/>
    <w:rsid w:val="001F092D"/>
    <w:rsid w:val="001F143A"/>
    <w:rsid w:val="001F1605"/>
    <w:rsid w:val="001F2508"/>
    <w:rsid w:val="001F4816"/>
    <w:rsid w:val="001F4EE9"/>
    <w:rsid w:val="001F5168"/>
    <w:rsid w:val="001F69B4"/>
    <w:rsid w:val="001F77C7"/>
    <w:rsid w:val="00200183"/>
    <w:rsid w:val="00200333"/>
    <w:rsid w:val="0020107D"/>
    <w:rsid w:val="00202AA4"/>
    <w:rsid w:val="002031F7"/>
    <w:rsid w:val="002040E6"/>
    <w:rsid w:val="00205196"/>
    <w:rsid w:val="0020527B"/>
    <w:rsid w:val="00205F2C"/>
    <w:rsid w:val="00210B15"/>
    <w:rsid w:val="002142EA"/>
    <w:rsid w:val="002204BB"/>
    <w:rsid w:val="00221B79"/>
    <w:rsid w:val="00221C6B"/>
    <w:rsid w:val="002253A1"/>
    <w:rsid w:val="00225CF8"/>
    <w:rsid w:val="0022794E"/>
    <w:rsid w:val="00233D64"/>
    <w:rsid w:val="0023482A"/>
    <w:rsid w:val="002359CB"/>
    <w:rsid w:val="002420F4"/>
    <w:rsid w:val="00243540"/>
    <w:rsid w:val="0024497B"/>
    <w:rsid w:val="0024515B"/>
    <w:rsid w:val="00246021"/>
    <w:rsid w:val="0024666E"/>
    <w:rsid w:val="00247F52"/>
    <w:rsid w:val="00250B25"/>
    <w:rsid w:val="00250BBE"/>
    <w:rsid w:val="002515C2"/>
    <w:rsid w:val="0025194F"/>
    <w:rsid w:val="0026148A"/>
    <w:rsid w:val="00261F6E"/>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571"/>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BAC"/>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6DC9"/>
    <w:rsid w:val="002F30E0"/>
    <w:rsid w:val="002F35E4"/>
    <w:rsid w:val="002F3730"/>
    <w:rsid w:val="002F38E1"/>
    <w:rsid w:val="002F7522"/>
    <w:rsid w:val="002F7AF6"/>
    <w:rsid w:val="00300E63"/>
    <w:rsid w:val="00302F5F"/>
    <w:rsid w:val="0030441D"/>
    <w:rsid w:val="00306063"/>
    <w:rsid w:val="00312954"/>
    <w:rsid w:val="0031375F"/>
    <w:rsid w:val="00313B85"/>
    <w:rsid w:val="00314508"/>
    <w:rsid w:val="00317988"/>
    <w:rsid w:val="003221B4"/>
    <w:rsid w:val="0032258D"/>
    <w:rsid w:val="00322E62"/>
    <w:rsid w:val="00324D13"/>
    <w:rsid w:val="00324D2A"/>
    <w:rsid w:val="00324EDD"/>
    <w:rsid w:val="00326A04"/>
    <w:rsid w:val="00330690"/>
    <w:rsid w:val="003331E4"/>
    <w:rsid w:val="00336C64"/>
    <w:rsid w:val="00337162"/>
    <w:rsid w:val="0034194F"/>
    <w:rsid w:val="00344605"/>
    <w:rsid w:val="003474AA"/>
    <w:rsid w:val="00350D1D"/>
    <w:rsid w:val="0035239F"/>
    <w:rsid w:val="00352C83"/>
    <w:rsid w:val="003615D2"/>
    <w:rsid w:val="0036429C"/>
    <w:rsid w:val="00364A53"/>
    <w:rsid w:val="003654CB"/>
    <w:rsid w:val="00365AA9"/>
    <w:rsid w:val="00365F86"/>
    <w:rsid w:val="00365F87"/>
    <w:rsid w:val="00366E89"/>
    <w:rsid w:val="003705F4"/>
    <w:rsid w:val="00370D58"/>
    <w:rsid w:val="00371316"/>
    <w:rsid w:val="00376713"/>
    <w:rsid w:val="00377A70"/>
    <w:rsid w:val="00381815"/>
    <w:rsid w:val="003819AF"/>
    <w:rsid w:val="003820E9"/>
    <w:rsid w:val="00382DE7"/>
    <w:rsid w:val="00384FFC"/>
    <w:rsid w:val="003872FC"/>
    <w:rsid w:val="00387ADC"/>
    <w:rsid w:val="00390020"/>
    <w:rsid w:val="003903D6"/>
    <w:rsid w:val="00390EE6"/>
    <w:rsid w:val="0039118F"/>
    <w:rsid w:val="003911C3"/>
    <w:rsid w:val="00392AD7"/>
    <w:rsid w:val="003938D9"/>
    <w:rsid w:val="00394376"/>
    <w:rsid w:val="003943FF"/>
    <w:rsid w:val="00395700"/>
    <w:rsid w:val="003974EB"/>
    <w:rsid w:val="00397CC5"/>
    <w:rsid w:val="003A1582"/>
    <w:rsid w:val="003A4077"/>
    <w:rsid w:val="003A60B6"/>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554"/>
    <w:rsid w:val="004167A3"/>
    <w:rsid w:val="00432DAA"/>
    <w:rsid w:val="00434305"/>
    <w:rsid w:val="00435DF7"/>
    <w:rsid w:val="0044083F"/>
    <w:rsid w:val="004413A5"/>
    <w:rsid w:val="00441AE7"/>
    <w:rsid w:val="00445574"/>
    <w:rsid w:val="004467FB"/>
    <w:rsid w:val="00452D6B"/>
    <w:rsid w:val="00454484"/>
    <w:rsid w:val="0045517B"/>
    <w:rsid w:val="00457C7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8C4"/>
    <w:rsid w:val="004E2B06"/>
    <w:rsid w:val="004E30C5"/>
    <w:rsid w:val="004E4AA5"/>
    <w:rsid w:val="004E4AEE"/>
    <w:rsid w:val="004E59E3"/>
    <w:rsid w:val="004E67C0"/>
    <w:rsid w:val="004F14EA"/>
    <w:rsid w:val="004F391A"/>
    <w:rsid w:val="004F3CFB"/>
    <w:rsid w:val="004F6456"/>
    <w:rsid w:val="004F696E"/>
    <w:rsid w:val="004F6C71"/>
    <w:rsid w:val="0050023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2B8"/>
    <w:rsid w:val="00551F6F"/>
    <w:rsid w:val="005546FD"/>
    <w:rsid w:val="00555044"/>
    <w:rsid w:val="005604DE"/>
    <w:rsid w:val="00561475"/>
    <w:rsid w:val="0056487B"/>
    <w:rsid w:val="00564FB9"/>
    <w:rsid w:val="00571489"/>
    <w:rsid w:val="00573D9E"/>
    <w:rsid w:val="00574000"/>
    <w:rsid w:val="00576AC4"/>
    <w:rsid w:val="005801E3"/>
    <w:rsid w:val="00581802"/>
    <w:rsid w:val="005836A8"/>
    <w:rsid w:val="00584049"/>
    <w:rsid w:val="0058409C"/>
    <w:rsid w:val="00584262"/>
    <w:rsid w:val="0058588C"/>
    <w:rsid w:val="00586630"/>
    <w:rsid w:val="00587ADD"/>
    <w:rsid w:val="00591E27"/>
    <w:rsid w:val="005935B3"/>
    <w:rsid w:val="00595766"/>
    <w:rsid w:val="00596160"/>
    <w:rsid w:val="005966E2"/>
    <w:rsid w:val="00597007"/>
    <w:rsid w:val="005A0966"/>
    <w:rsid w:val="005A11B7"/>
    <w:rsid w:val="005A260B"/>
    <w:rsid w:val="005A4A1B"/>
    <w:rsid w:val="005A7830"/>
    <w:rsid w:val="005A7FCE"/>
    <w:rsid w:val="005B0F3F"/>
    <w:rsid w:val="005B3F1A"/>
    <w:rsid w:val="005B4903"/>
    <w:rsid w:val="005B51CE"/>
    <w:rsid w:val="005B5885"/>
    <w:rsid w:val="005B5CD7"/>
    <w:rsid w:val="005B6CF6"/>
    <w:rsid w:val="005B7422"/>
    <w:rsid w:val="005C29B8"/>
    <w:rsid w:val="005C5F21"/>
    <w:rsid w:val="005C7156"/>
    <w:rsid w:val="005D0C75"/>
    <w:rsid w:val="005D399D"/>
    <w:rsid w:val="005D4171"/>
    <w:rsid w:val="005D5AE6"/>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9F1"/>
    <w:rsid w:val="006252D8"/>
    <w:rsid w:val="006259BC"/>
    <w:rsid w:val="0062636B"/>
    <w:rsid w:val="00632182"/>
    <w:rsid w:val="00632AE0"/>
    <w:rsid w:val="00632FB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B45"/>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E07"/>
    <w:rsid w:val="006B2672"/>
    <w:rsid w:val="006B33C4"/>
    <w:rsid w:val="006B54BF"/>
    <w:rsid w:val="006B5F44"/>
    <w:rsid w:val="006B5F90"/>
    <w:rsid w:val="006B62E4"/>
    <w:rsid w:val="006C08CE"/>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CD2"/>
    <w:rsid w:val="00714F58"/>
    <w:rsid w:val="007215C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009"/>
    <w:rsid w:val="007600E3"/>
    <w:rsid w:val="0076469D"/>
    <w:rsid w:val="007655F8"/>
    <w:rsid w:val="00765C43"/>
    <w:rsid w:val="00765EFB"/>
    <w:rsid w:val="007671CA"/>
    <w:rsid w:val="00767C61"/>
    <w:rsid w:val="0077008A"/>
    <w:rsid w:val="00773C1F"/>
    <w:rsid w:val="00774DA4"/>
    <w:rsid w:val="00775F3A"/>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1F5"/>
    <w:rsid w:val="007B5A3D"/>
    <w:rsid w:val="007B5B95"/>
    <w:rsid w:val="007B68EA"/>
    <w:rsid w:val="007B7453"/>
    <w:rsid w:val="007C1E8B"/>
    <w:rsid w:val="007C2D89"/>
    <w:rsid w:val="007C4593"/>
    <w:rsid w:val="007C487D"/>
    <w:rsid w:val="007C5309"/>
    <w:rsid w:val="007C6069"/>
    <w:rsid w:val="007D06C4"/>
    <w:rsid w:val="007D1352"/>
    <w:rsid w:val="007D2508"/>
    <w:rsid w:val="007D346A"/>
    <w:rsid w:val="007D6518"/>
    <w:rsid w:val="007D76BD"/>
    <w:rsid w:val="007E0BF1"/>
    <w:rsid w:val="007E1AB5"/>
    <w:rsid w:val="007F0ED8"/>
    <w:rsid w:val="007F0F63"/>
    <w:rsid w:val="007F75CE"/>
    <w:rsid w:val="008013A4"/>
    <w:rsid w:val="008027CE"/>
    <w:rsid w:val="00802F42"/>
    <w:rsid w:val="00804383"/>
    <w:rsid w:val="00804BB7"/>
    <w:rsid w:val="00804D41"/>
    <w:rsid w:val="00810257"/>
    <w:rsid w:val="008104F5"/>
    <w:rsid w:val="00810806"/>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C2C"/>
    <w:rsid w:val="00856316"/>
    <w:rsid w:val="0085775B"/>
    <w:rsid w:val="008603CE"/>
    <w:rsid w:val="008620FC"/>
    <w:rsid w:val="008627A5"/>
    <w:rsid w:val="00863E05"/>
    <w:rsid w:val="008643B8"/>
    <w:rsid w:val="00865ACA"/>
    <w:rsid w:val="00865D28"/>
    <w:rsid w:val="00865F85"/>
    <w:rsid w:val="008663B0"/>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919"/>
    <w:rsid w:val="008B7E05"/>
    <w:rsid w:val="008C1797"/>
    <w:rsid w:val="008C219C"/>
    <w:rsid w:val="008C475E"/>
    <w:rsid w:val="008C60C1"/>
    <w:rsid w:val="008C619A"/>
    <w:rsid w:val="008D0B15"/>
    <w:rsid w:val="008D0CE8"/>
    <w:rsid w:val="008D1E00"/>
    <w:rsid w:val="008D2D1D"/>
    <w:rsid w:val="008D453D"/>
    <w:rsid w:val="008D53AD"/>
    <w:rsid w:val="008D562B"/>
    <w:rsid w:val="008D5733"/>
    <w:rsid w:val="008D622B"/>
    <w:rsid w:val="008D666C"/>
    <w:rsid w:val="008D673B"/>
    <w:rsid w:val="008D7B54"/>
    <w:rsid w:val="008E0C9D"/>
    <w:rsid w:val="008E1648"/>
    <w:rsid w:val="008E1B3E"/>
    <w:rsid w:val="008E2319"/>
    <w:rsid w:val="008E4BB6"/>
    <w:rsid w:val="008E5518"/>
    <w:rsid w:val="008E6A84"/>
    <w:rsid w:val="008F02CB"/>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52C"/>
    <w:rsid w:val="00951D82"/>
    <w:rsid w:val="00953604"/>
    <w:rsid w:val="0095496B"/>
    <w:rsid w:val="009610DC"/>
    <w:rsid w:val="00961490"/>
    <w:rsid w:val="0096381A"/>
    <w:rsid w:val="00965E04"/>
    <w:rsid w:val="009674AD"/>
    <w:rsid w:val="00970CDC"/>
    <w:rsid w:val="00977010"/>
    <w:rsid w:val="00977D02"/>
    <w:rsid w:val="009809BB"/>
    <w:rsid w:val="0098364B"/>
    <w:rsid w:val="0098510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7EC"/>
    <w:rsid w:val="009A72AD"/>
    <w:rsid w:val="009B09E0"/>
    <w:rsid w:val="009B0BC5"/>
    <w:rsid w:val="009B1247"/>
    <w:rsid w:val="009B46F9"/>
    <w:rsid w:val="009B6029"/>
    <w:rsid w:val="009B6971"/>
    <w:rsid w:val="009C27F1"/>
    <w:rsid w:val="009C27F8"/>
    <w:rsid w:val="009C3152"/>
    <w:rsid w:val="009C4CFA"/>
    <w:rsid w:val="009C5070"/>
    <w:rsid w:val="009D112C"/>
    <w:rsid w:val="009D47FA"/>
    <w:rsid w:val="009D4C5B"/>
    <w:rsid w:val="009D50D2"/>
    <w:rsid w:val="009D6BCA"/>
    <w:rsid w:val="009E0F62"/>
    <w:rsid w:val="009E4A58"/>
    <w:rsid w:val="009E5438"/>
    <w:rsid w:val="009E5A2D"/>
    <w:rsid w:val="009E5AB2"/>
    <w:rsid w:val="009E6219"/>
    <w:rsid w:val="009F03B3"/>
    <w:rsid w:val="009F19C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FCE"/>
    <w:rsid w:val="00A4452E"/>
    <w:rsid w:val="00A4472C"/>
    <w:rsid w:val="00A44E69"/>
    <w:rsid w:val="00A4661E"/>
    <w:rsid w:val="00A5100B"/>
    <w:rsid w:val="00A55BD6"/>
    <w:rsid w:val="00A55D50"/>
    <w:rsid w:val="00A57142"/>
    <w:rsid w:val="00A648CD"/>
    <w:rsid w:val="00A6537A"/>
    <w:rsid w:val="00A67866"/>
    <w:rsid w:val="00A67FF2"/>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B1D"/>
    <w:rsid w:val="00AA052C"/>
    <w:rsid w:val="00AA1E45"/>
    <w:rsid w:val="00AA4286"/>
    <w:rsid w:val="00AA456B"/>
    <w:rsid w:val="00AA57F5"/>
    <w:rsid w:val="00AA672E"/>
    <w:rsid w:val="00AA6EC9"/>
    <w:rsid w:val="00AB41D5"/>
    <w:rsid w:val="00AB4EC9"/>
    <w:rsid w:val="00AB6309"/>
    <w:rsid w:val="00AB6C5F"/>
    <w:rsid w:val="00AB7129"/>
    <w:rsid w:val="00AC22D7"/>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693"/>
    <w:rsid w:val="00AE5EB4"/>
    <w:rsid w:val="00AF0C18"/>
    <w:rsid w:val="00AF47C5"/>
    <w:rsid w:val="00AF5398"/>
    <w:rsid w:val="00B0058B"/>
    <w:rsid w:val="00B017DC"/>
    <w:rsid w:val="00B01C1C"/>
    <w:rsid w:val="00B049AF"/>
    <w:rsid w:val="00B049D4"/>
    <w:rsid w:val="00B07242"/>
    <w:rsid w:val="00B10534"/>
    <w:rsid w:val="00B113DB"/>
    <w:rsid w:val="00B11C6F"/>
    <w:rsid w:val="00B11D8A"/>
    <w:rsid w:val="00B12981"/>
    <w:rsid w:val="00B147DD"/>
    <w:rsid w:val="00B156FD"/>
    <w:rsid w:val="00B21F61"/>
    <w:rsid w:val="00B23957"/>
    <w:rsid w:val="00B261F1"/>
    <w:rsid w:val="00B265BC"/>
    <w:rsid w:val="00B27B8F"/>
    <w:rsid w:val="00B31FB1"/>
    <w:rsid w:val="00B32AB4"/>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BB7"/>
    <w:rsid w:val="00B62B58"/>
    <w:rsid w:val="00B65149"/>
    <w:rsid w:val="00B66567"/>
    <w:rsid w:val="00B66F52"/>
    <w:rsid w:val="00B66FE5"/>
    <w:rsid w:val="00B670BA"/>
    <w:rsid w:val="00B72880"/>
    <w:rsid w:val="00B72C9F"/>
    <w:rsid w:val="00B758BF"/>
    <w:rsid w:val="00B77EC8"/>
    <w:rsid w:val="00B827A6"/>
    <w:rsid w:val="00B831CE"/>
    <w:rsid w:val="00B86677"/>
    <w:rsid w:val="00B87131"/>
    <w:rsid w:val="00B939B1"/>
    <w:rsid w:val="00B96D40"/>
    <w:rsid w:val="00B97386"/>
    <w:rsid w:val="00BA263B"/>
    <w:rsid w:val="00BA42B2"/>
    <w:rsid w:val="00BA58D4"/>
    <w:rsid w:val="00BA5B9E"/>
    <w:rsid w:val="00BA6DC5"/>
    <w:rsid w:val="00BA7C9A"/>
    <w:rsid w:val="00BB203B"/>
    <w:rsid w:val="00BB5F8F"/>
    <w:rsid w:val="00BB657A"/>
    <w:rsid w:val="00BC042F"/>
    <w:rsid w:val="00BC1A4E"/>
    <w:rsid w:val="00BC4790"/>
    <w:rsid w:val="00BC5DC7"/>
    <w:rsid w:val="00BC6B8B"/>
    <w:rsid w:val="00BC73D8"/>
    <w:rsid w:val="00BD37D2"/>
    <w:rsid w:val="00BD52D7"/>
    <w:rsid w:val="00BD5AD2"/>
    <w:rsid w:val="00BD7F5A"/>
    <w:rsid w:val="00BE22F3"/>
    <w:rsid w:val="00BE5B52"/>
    <w:rsid w:val="00BE63B1"/>
    <w:rsid w:val="00BE7B8D"/>
    <w:rsid w:val="00BF0993"/>
    <w:rsid w:val="00BF0BA3"/>
    <w:rsid w:val="00BF10A9"/>
    <w:rsid w:val="00BF1703"/>
    <w:rsid w:val="00BF1874"/>
    <w:rsid w:val="00BF231C"/>
    <w:rsid w:val="00BF51E5"/>
    <w:rsid w:val="00BF69B8"/>
    <w:rsid w:val="00BF74A6"/>
    <w:rsid w:val="00C013AD"/>
    <w:rsid w:val="00C04904"/>
    <w:rsid w:val="00C056B3"/>
    <w:rsid w:val="00C103E5"/>
    <w:rsid w:val="00C13319"/>
    <w:rsid w:val="00C13EE9"/>
    <w:rsid w:val="00C21540"/>
    <w:rsid w:val="00C21906"/>
    <w:rsid w:val="00C21BFA"/>
    <w:rsid w:val="00C22148"/>
    <w:rsid w:val="00C24C8D"/>
    <w:rsid w:val="00C25E1D"/>
    <w:rsid w:val="00C25FE2"/>
    <w:rsid w:val="00C26B53"/>
    <w:rsid w:val="00C279B2"/>
    <w:rsid w:val="00C33E50"/>
    <w:rsid w:val="00C34C20"/>
    <w:rsid w:val="00C35A3E"/>
    <w:rsid w:val="00C40111"/>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281"/>
    <w:rsid w:val="00C80982"/>
    <w:rsid w:val="00C80CB8"/>
    <w:rsid w:val="00C819F8"/>
    <w:rsid w:val="00C8248C"/>
    <w:rsid w:val="00C84E33"/>
    <w:rsid w:val="00C8633D"/>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57D"/>
    <w:rsid w:val="00CB2C0B"/>
    <w:rsid w:val="00CB517D"/>
    <w:rsid w:val="00CC038D"/>
    <w:rsid w:val="00CC08DB"/>
    <w:rsid w:val="00CC39FF"/>
    <w:rsid w:val="00CC3C2F"/>
    <w:rsid w:val="00CC4AC8"/>
    <w:rsid w:val="00CC5233"/>
    <w:rsid w:val="00CC5DE6"/>
    <w:rsid w:val="00CC6AF4"/>
    <w:rsid w:val="00CC6E4E"/>
    <w:rsid w:val="00CC6FE8"/>
    <w:rsid w:val="00CC7202"/>
    <w:rsid w:val="00CD2808"/>
    <w:rsid w:val="00CD28BF"/>
    <w:rsid w:val="00CD4092"/>
    <w:rsid w:val="00CD4A20"/>
    <w:rsid w:val="00CD50A1"/>
    <w:rsid w:val="00CD519E"/>
    <w:rsid w:val="00CD561D"/>
    <w:rsid w:val="00CD5F06"/>
    <w:rsid w:val="00CE0C4F"/>
    <w:rsid w:val="00CE160D"/>
    <w:rsid w:val="00CE30EA"/>
    <w:rsid w:val="00CF048A"/>
    <w:rsid w:val="00CF155A"/>
    <w:rsid w:val="00CF2947"/>
    <w:rsid w:val="00CF686F"/>
    <w:rsid w:val="00CF6E60"/>
    <w:rsid w:val="00CF7BCA"/>
    <w:rsid w:val="00D008FD"/>
    <w:rsid w:val="00D0321C"/>
    <w:rsid w:val="00D035EC"/>
    <w:rsid w:val="00D0509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112"/>
    <w:rsid w:val="00D4162B"/>
    <w:rsid w:val="00D4514F"/>
    <w:rsid w:val="00D451E2"/>
    <w:rsid w:val="00D45E89"/>
    <w:rsid w:val="00D45E8D"/>
    <w:rsid w:val="00D466AE"/>
    <w:rsid w:val="00D4734F"/>
    <w:rsid w:val="00D47A0A"/>
    <w:rsid w:val="00D51BF3"/>
    <w:rsid w:val="00D6254E"/>
    <w:rsid w:val="00D66846"/>
    <w:rsid w:val="00D675FB"/>
    <w:rsid w:val="00D71F25"/>
    <w:rsid w:val="00D72A9C"/>
    <w:rsid w:val="00D754C9"/>
    <w:rsid w:val="00D77031"/>
    <w:rsid w:val="00D84941"/>
    <w:rsid w:val="00D84FA1"/>
    <w:rsid w:val="00D851F0"/>
    <w:rsid w:val="00D86DB7"/>
    <w:rsid w:val="00D926D0"/>
    <w:rsid w:val="00D93030"/>
    <w:rsid w:val="00D950E1"/>
    <w:rsid w:val="00D952A6"/>
    <w:rsid w:val="00D97F99"/>
    <w:rsid w:val="00DA1E08"/>
    <w:rsid w:val="00DA1E72"/>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97C"/>
    <w:rsid w:val="00DC3067"/>
    <w:rsid w:val="00DC370B"/>
    <w:rsid w:val="00DC5B90"/>
    <w:rsid w:val="00DD00FF"/>
    <w:rsid w:val="00DD0619"/>
    <w:rsid w:val="00DD07FB"/>
    <w:rsid w:val="00DD25C6"/>
    <w:rsid w:val="00DD2989"/>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03D"/>
    <w:rsid w:val="00E202EF"/>
    <w:rsid w:val="00E210B5"/>
    <w:rsid w:val="00E22814"/>
    <w:rsid w:val="00E22C49"/>
    <w:rsid w:val="00E23D99"/>
    <w:rsid w:val="00E2552F"/>
    <w:rsid w:val="00E26C9E"/>
    <w:rsid w:val="00E312BC"/>
    <w:rsid w:val="00E3137A"/>
    <w:rsid w:val="00E32CCF"/>
    <w:rsid w:val="00E34A98"/>
    <w:rsid w:val="00E35D1E"/>
    <w:rsid w:val="00E364F9"/>
    <w:rsid w:val="00E365FA"/>
    <w:rsid w:val="00E36789"/>
    <w:rsid w:val="00E42EEF"/>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669"/>
    <w:rsid w:val="00E67572"/>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B41"/>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58E"/>
    <w:rsid w:val="00EE54A6"/>
    <w:rsid w:val="00EE613F"/>
    <w:rsid w:val="00EE7295"/>
    <w:rsid w:val="00EE7869"/>
    <w:rsid w:val="00EF054A"/>
    <w:rsid w:val="00EF3235"/>
    <w:rsid w:val="00EF4C85"/>
    <w:rsid w:val="00EF7E72"/>
    <w:rsid w:val="00F0317E"/>
    <w:rsid w:val="00F04443"/>
    <w:rsid w:val="00F044A3"/>
    <w:rsid w:val="00F06D37"/>
    <w:rsid w:val="00F07B9D"/>
    <w:rsid w:val="00F11586"/>
    <w:rsid w:val="00F1183B"/>
    <w:rsid w:val="00F11C9F"/>
    <w:rsid w:val="00F12263"/>
    <w:rsid w:val="00F1409D"/>
    <w:rsid w:val="00F14214"/>
    <w:rsid w:val="00F157A9"/>
    <w:rsid w:val="00F25BB6"/>
    <w:rsid w:val="00F26B7E"/>
    <w:rsid w:val="00F2784C"/>
    <w:rsid w:val="00F279E6"/>
    <w:rsid w:val="00F27A3B"/>
    <w:rsid w:val="00F31D09"/>
    <w:rsid w:val="00F33817"/>
    <w:rsid w:val="00F420D5"/>
    <w:rsid w:val="00F451EA"/>
    <w:rsid w:val="00F45447"/>
    <w:rsid w:val="00F456C6"/>
    <w:rsid w:val="00F4577B"/>
    <w:rsid w:val="00F46496"/>
    <w:rsid w:val="00F474D0"/>
    <w:rsid w:val="00F50179"/>
    <w:rsid w:val="00F510EB"/>
    <w:rsid w:val="00F515EE"/>
    <w:rsid w:val="00F54D0F"/>
    <w:rsid w:val="00F56511"/>
    <w:rsid w:val="00F5695D"/>
    <w:rsid w:val="00F6194E"/>
    <w:rsid w:val="00F623AC"/>
    <w:rsid w:val="00F6412A"/>
    <w:rsid w:val="00F65505"/>
    <w:rsid w:val="00F6572F"/>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7F6"/>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58B"/>
    <w:rsid w:val="00FD09A1"/>
    <w:rsid w:val="00FD2102"/>
    <w:rsid w:val="00FD2A7C"/>
    <w:rsid w:val="00FD59EB"/>
    <w:rsid w:val="00FD7299"/>
    <w:rsid w:val="00FE1FBE"/>
    <w:rsid w:val="00FE3901"/>
    <w:rsid w:val="00FE39D3"/>
    <w:rsid w:val="00FE4BCE"/>
    <w:rsid w:val="00FE4D53"/>
    <w:rsid w:val="00FE54AE"/>
    <w:rsid w:val="00FE576A"/>
    <w:rsid w:val="00FE7E79"/>
    <w:rsid w:val="00FF3E7D"/>
    <w:rsid w:val="00FF5B99"/>
    <w:rsid w:val="00FF730C"/>
    <w:rsid w:val="00FF73F4"/>
    <w:rsid w:val="00FF7CE4"/>
    <w:rsid w:val="00FF7E39"/>
    <w:rsid w:val="05331E83"/>
    <w:rsid w:val="494A793C"/>
    <w:rsid w:val="72D632C9"/>
    <w:rsid w:val="731E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17942D21C846FBA8BD3AA4128E054A"/>
        <w:style w:val=""/>
        <w:category>
          <w:name w:val="常规"/>
          <w:gallery w:val="placeholder"/>
        </w:category>
        <w:types>
          <w:type w:val="bbPlcHdr"/>
        </w:types>
        <w:behaviors>
          <w:behavior w:val="content"/>
        </w:behaviors>
        <w:description w:val=""/>
        <w:guid w:val="{6B6D3BD4-98A3-4451-8C16-1F5A38345F5C}"/>
      </w:docPartPr>
      <w:docPartBody>
        <w:p>
          <w:pPr>
            <w:pStyle w:val="5"/>
            <w:rPr>
              <w:rFonts w:hint="eastAsia"/>
            </w:rPr>
          </w:pPr>
          <w:r>
            <w:rPr>
              <w:rStyle w:val="4"/>
              <w:rFonts w:hint="eastAsia"/>
            </w:rPr>
            <w:t>单击或点击此处输入文字。</w:t>
          </w:r>
        </w:p>
      </w:docPartBody>
    </w:docPart>
    <w:docPart>
      <w:docPartPr>
        <w:name w:val="166D9390A3B04EC69C6618F3E653B508"/>
        <w:style w:val=""/>
        <w:category>
          <w:name w:val="常规"/>
          <w:gallery w:val="placeholder"/>
        </w:category>
        <w:types>
          <w:type w:val="bbPlcHdr"/>
        </w:types>
        <w:behaviors>
          <w:behavior w:val="content"/>
        </w:behaviors>
        <w:description w:val=""/>
        <w:guid w:val="{A39CE3B2-C746-43CE-9597-E32822E29C57}"/>
      </w:docPartPr>
      <w:docPartBody>
        <w:p>
          <w:pPr>
            <w:pStyle w:val="6"/>
            <w:rPr>
              <w:rFonts w:hint="eastAsia"/>
            </w:rPr>
          </w:pPr>
          <w:r>
            <w:rPr>
              <w:rStyle w:val="4"/>
              <w:rFonts w:hint="eastAsia"/>
            </w:rPr>
            <w:t>选择一项。</w:t>
          </w:r>
        </w:p>
      </w:docPartBody>
    </w:docPart>
    <w:docPart>
      <w:docPartPr>
        <w:name w:val="2CB8B477BEE04213B44CB47ECB6C03AA"/>
        <w:style w:val=""/>
        <w:category>
          <w:name w:val="常规"/>
          <w:gallery w:val="placeholder"/>
        </w:category>
        <w:types>
          <w:type w:val="bbPlcHdr"/>
        </w:types>
        <w:behaviors>
          <w:behavior w:val="content"/>
        </w:behaviors>
        <w:description w:val=""/>
        <w:guid w:val="{45C137B2-FB24-4ADE-86C0-E9D8DE145192}"/>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B04"/>
    <w:rsid w:val="0002441E"/>
    <w:rsid w:val="000D3726"/>
    <w:rsid w:val="001240C5"/>
    <w:rsid w:val="00124C1E"/>
    <w:rsid w:val="001406A5"/>
    <w:rsid w:val="0015252F"/>
    <w:rsid w:val="001538AA"/>
    <w:rsid w:val="00161446"/>
    <w:rsid w:val="001D46EC"/>
    <w:rsid w:val="001D750D"/>
    <w:rsid w:val="00261F6E"/>
    <w:rsid w:val="003F0038"/>
    <w:rsid w:val="004C220C"/>
    <w:rsid w:val="004E28C4"/>
    <w:rsid w:val="005070EA"/>
    <w:rsid w:val="00631654"/>
    <w:rsid w:val="006D2B17"/>
    <w:rsid w:val="00743DD5"/>
    <w:rsid w:val="0085775B"/>
    <w:rsid w:val="0087424B"/>
    <w:rsid w:val="009E5438"/>
    <w:rsid w:val="00A25758"/>
    <w:rsid w:val="00A42472"/>
    <w:rsid w:val="00A43FCE"/>
    <w:rsid w:val="00AE528E"/>
    <w:rsid w:val="00AF36FA"/>
    <w:rsid w:val="00AF6B45"/>
    <w:rsid w:val="00B72C9F"/>
    <w:rsid w:val="00C64B9C"/>
    <w:rsid w:val="00CF102F"/>
    <w:rsid w:val="00D2720D"/>
    <w:rsid w:val="00D46CAC"/>
    <w:rsid w:val="00D55ABB"/>
    <w:rsid w:val="00DA0416"/>
    <w:rsid w:val="00DA0E68"/>
    <w:rsid w:val="00DF2D0B"/>
    <w:rsid w:val="00E2021B"/>
    <w:rsid w:val="00E31B04"/>
    <w:rsid w:val="00E66669"/>
    <w:rsid w:val="00EA1B41"/>
    <w:rsid w:val="00EE358E"/>
    <w:rsid w:val="00F2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117942D21C846FBA8BD3AA4128E054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166D9390A3B04EC69C6618F3E653B50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CB8B477BEE04213B44CB47ECB6C03A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1127</Words>
  <Characters>6426</Characters>
  <Lines>53</Lines>
  <Paragraphs>15</Paragraphs>
  <TotalTime>1</TotalTime>
  <ScaleCrop>false</ScaleCrop>
  <LinksUpToDate>false</LinksUpToDate>
  <CharactersWithSpaces>7538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2024-12-04T06:19:00Z</dcterms:created>
  <dc:creator>尹雨亭</dc:creator>
  <dc:description>&lt;config cover="true" show_menu="true" version="1.0.0" doctype="SDKXY"&gt;_x000d_
&lt;/config&gt;</dc:description>
  <cp:lastModifiedBy>风和日丽</cp:lastModifiedBy>
  <cp:lastPrinted>2024-12-05T02:26:00Z</cp:lastPrinted>
  <dcterms:modified xsi:type="dcterms:W3CDTF">2024-12-06T05:53:16Z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2052-11.8.2.9022</vt:lpwstr>
  </property>
</Properties>
</file>