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01F5E">
      <w:pPr>
        <w:spacing w:line="360" w:lineRule="auto"/>
        <w:jc w:val="center"/>
        <w:rPr>
          <w:rFonts w:ascii="黑体" w:hAnsi="黑体" w:eastAsia="黑体" w:cs="黑体"/>
          <w:color w:val="000000"/>
          <w:sz w:val="30"/>
          <w:szCs w:val="30"/>
        </w:rPr>
      </w:pPr>
      <w:r>
        <w:rPr>
          <w:rFonts w:hint="eastAsia" w:ascii="黑体" w:hAnsi="黑体" w:eastAsia="黑体" w:cs="黑体"/>
          <w:color w:val="000000"/>
          <w:sz w:val="30"/>
          <w:szCs w:val="30"/>
        </w:rPr>
        <w:t>安徽省地方标准编制说明</w:t>
      </w:r>
    </w:p>
    <w:p w14:paraId="195DF595">
      <w:pPr>
        <w:spacing w:line="360" w:lineRule="auto"/>
        <w:jc w:val="center"/>
        <w:rPr>
          <w:rFonts w:ascii="黑体" w:hAnsi="黑体" w:eastAsia="黑体" w:cs="黑体"/>
          <w:color w:val="000000"/>
        </w:rPr>
      </w:pPr>
    </w:p>
    <w:tbl>
      <w:tblPr>
        <w:tblStyle w:val="7"/>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931"/>
        <w:gridCol w:w="4152"/>
        <w:gridCol w:w="959"/>
        <w:gridCol w:w="1249"/>
        <w:gridCol w:w="1585"/>
      </w:tblGrid>
      <w:tr w14:paraId="5840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gridSpan w:val="2"/>
            <w:vAlign w:val="center"/>
          </w:tcPr>
          <w:p w14:paraId="7C04735C">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标准名称</w:t>
            </w:r>
          </w:p>
        </w:tc>
        <w:tc>
          <w:tcPr>
            <w:tcW w:w="7945" w:type="dxa"/>
            <w:gridSpan w:val="4"/>
            <w:vAlign w:val="center"/>
          </w:tcPr>
          <w:p w14:paraId="435CF2CE">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rPr>
              <w:t>河湖长制能效提级县</w:t>
            </w:r>
            <w:r>
              <w:rPr>
                <w:rFonts w:hint="eastAsia" w:ascii="Times New Roman"/>
                <w:lang w:eastAsia="zh-CN"/>
              </w:rPr>
              <w:t>成效</w:t>
            </w:r>
            <w:r>
              <w:rPr>
                <w:rFonts w:hint="eastAsia" w:ascii="Times New Roman" w:hAnsi="Times New Roman"/>
              </w:rPr>
              <w:t>评估规范</w:t>
            </w:r>
          </w:p>
        </w:tc>
      </w:tr>
      <w:tr w14:paraId="368F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gridSpan w:val="2"/>
            <w:vAlign w:val="center"/>
          </w:tcPr>
          <w:p w14:paraId="2487F39B">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任务来源</w:t>
            </w:r>
          </w:p>
          <w:p w14:paraId="5C292167">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（项目计划号）</w:t>
            </w:r>
          </w:p>
        </w:tc>
        <w:tc>
          <w:tcPr>
            <w:tcW w:w="7945" w:type="dxa"/>
            <w:gridSpan w:val="4"/>
            <w:vAlign w:val="center"/>
          </w:tcPr>
          <w:p w14:paraId="0B4DE1A4">
            <w:pPr>
              <w:pStyle w:val="14"/>
              <w:adjustRightInd w:val="0"/>
              <w:spacing w:line="360" w:lineRule="auto"/>
              <w:ind w:firstLine="0" w:firstLineChars="0"/>
              <w:contextualSpacing/>
              <w:rPr>
                <w:rFonts w:hint="default" w:ascii="Times New Roman" w:hAnsi="Times New Roman" w:eastAsia="宋体"/>
                <w:szCs w:val="21"/>
                <w:lang w:val="en-US" w:eastAsia="zh-CN"/>
              </w:rPr>
            </w:pPr>
            <w:r>
              <w:rPr>
                <w:rFonts w:hint="eastAsia" w:ascii="Times New Roman" w:hAnsi="Times New Roman"/>
                <w:szCs w:val="21"/>
              </w:rPr>
              <w:t>20</w:t>
            </w:r>
            <w:r>
              <w:rPr>
                <w:rFonts w:ascii="Times New Roman" w:hAnsi="Times New Roman"/>
                <w:szCs w:val="21"/>
              </w:rPr>
              <w:t>24</w:t>
            </w:r>
            <w:r>
              <w:rPr>
                <w:rFonts w:hint="eastAsia" w:ascii="Times New Roman" w:hAnsi="Times New Roman"/>
                <w:szCs w:val="21"/>
              </w:rPr>
              <w:t>-3-</w:t>
            </w:r>
            <w:r>
              <w:rPr>
                <w:rFonts w:hint="eastAsia" w:ascii="Times New Roman" w:hAnsi="Times New Roman"/>
                <w:szCs w:val="21"/>
                <w:lang w:val="en-US" w:eastAsia="zh-CN"/>
              </w:rPr>
              <w:t>189</w:t>
            </w:r>
          </w:p>
        </w:tc>
      </w:tr>
      <w:tr w14:paraId="19E9C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gridSpan w:val="2"/>
            <w:vAlign w:val="center"/>
          </w:tcPr>
          <w:p w14:paraId="5C20EB3D">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第一起草单位</w:t>
            </w:r>
          </w:p>
          <w:p w14:paraId="20A85291">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（盖章）</w:t>
            </w:r>
          </w:p>
        </w:tc>
        <w:tc>
          <w:tcPr>
            <w:tcW w:w="7945" w:type="dxa"/>
            <w:gridSpan w:val="4"/>
            <w:vAlign w:val="center"/>
          </w:tcPr>
          <w:p w14:paraId="4CFF5EA7">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eastAsiaTheme="majorEastAsia"/>
              </w:rPr>
              <w:t>安徽省（水利部淮河水利委员会）水利科学研究院（安徽省水利工程质量检测中心站）</w:t>
            </w:r>
          </w:p>
        </w:tc>
      </w:tr>
      <w:tr w14:paraId="00E3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gridSpan w:val="2"/>
            <w:vAlign w:val="center"/>
          </w:tcPr>
          <w:p w14:paraId="36518748">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单位地址</w:t>
            </w:r>
          </w:p>
        </w:tc>
        <w:tc>
          <w:tcPr>
            <w:tcW w:w="7945" w:type="dxa"/>
            <w:gridSpan w:val="4"/>
            <w:vAlign w:val="center"/>
          </w:tcPr>
          <w:p w14:paraId="1B20C241">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bCs/>
              </w:rPr>
              <w:t>安徽省合肥市高新区红枫路55号</w:t>
            </w:r>
          </w:p>
        </w:tc>
      </w:tr>
      <w:tr w14:paraId="2FDC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gridSpan w:val="2"/>
            <w:vAlign w:val="center"/>
          </w:tcPr>
          <w:p w14:paraId="3ED6A0D5">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参与起草单位</w:t>
            </w:r>
          </w:p>
        </w:tc>
        <w:tc>
          <w:tcPr>
            <w:tcW w:w="7945" w:type="dxa"/>
            <w:gridSpan w:val="4"/>
            <w:vAlign w:val="center"/>
          </w:tcPr>
          <w:p w14:paraId="45970A26">
            <w:pPr>
              <w:jc w:val="left"/>
              <w:rPr>
                <w:rFonts w:ascii="Times New Roman" w:hAnsi="Times New Roman" w:eastAsiaTheme="majorEastAsia"/>
                <w:lang w:val="zh-CN"/>
              </w:rPr>
            </w:pPr>
            <w:r>
              <w:rPr>
                <w:rFonts w:hint="eastAsia" w:ascii="Times New Roman" w:hAnsi="Times New Roman" w:eastAsiaTheme="majorEastAsia"/>
              </w:rPr>
              <w:t>安徽省水利厅河长制工作处</w:t>
            </w:r>
          </w:p>
        </w:tc>
      </w:tr>
      <w:tr w14:paraId="0892A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F08B674">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标准起草人</w:t>
            </w:r>
          </w:p>
        </w:tc>
      </w:tr>
      <w:tr w14:paraId="3887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F7FD6CB">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序号</w:t>
            </w:r>
          </w:p>
        </w:tc>
        <w:tc>
          <w:tcPr>
            <w:tcW w:w="931" w:type="dxa"/>
            <w:vAlign w:val="center"/>
          </w:tcPr>
          <w:p w14:paraId="4BC59A98">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姓名</w:t>
            </w:r>
          </w:p>
        </w:tc>
        <w:tc>
          <w:tcPr>
            <w:tcW w:w="4152" w:type="dxa"/>
            <w:vAlign w:val="center"/>
          </w:tcPr>
          <w:p w14:paraId="459EECFF">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单位</w:t>
            </w:r>
          </w:p>
        </w:tc>
        <w:tc>
          <w:tcPr>
            <w:tcW w:w="959" w:type="dxa"/>
            <w:vAlign w:val="center"/>
          </w:tcPr>
          <w:p w14:paraId="393098EF">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职务</w:t>
            </w:r>
          </w:p>
        </w:tc>
        <w:tc>
          <w:tcPr>
            <w:tcW w:w="1249" w:type="dxa"/>
            <w:vAlign w:val="center"/>
          </w:tcPr>
          <w:p w14:paraId="23A03081">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职称</w:t>
            </w:r>
          </w:p>
        </w:tc>
        <w:tc>
          <w:tcPr>
            <w:tcW w:w="1585" w:type="dxa"/>
            <w:vAlign w:val="center"/>
          </w:tcPr>
          <w:p w14:paraId="1DB92335">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电话</w:t>
            </w:r>
          </w:p>
        </w:tc>
      </w:tr>
      <w:tr w14:paraId="134E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84DB65B">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val="en-US" w:eastAsia="zh-CN"/>
              </w:rPr>
            </w:pPr>
            <w:r>
              <w:rPr>
                <w:rFonts w:hint="eastAsia" w:ascii="Times New Roman" w:hAnsi="Times New Roman" w:eastAsiaTheme="majorEastAsia"/>
                <w:lang w:val="en-US" w:eastAsia="zh-CN"/>
              </w:rPr>
              <w:t>1</w:t>
            </w:r>
          </w:p>
        </w:tc>
        <w:tc>
          <w:tcPr>
            <w:tcW w:w="931" w:type="dxa"/>
            <w:shd w:val="clear" w:color="auto" w:fill="auto"/>
            <w:vAlign w:val="center"/>
          </w:tcPr>
          <w:p w14:paraId="6617F1A1">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4152" w:type="dxa"/>
            <w:vAlign w:val="center"/>
          </w:tcPr>
          <w:p w14:paraId="6C1C6CAB">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959" w:type="dxa"/>
            <w:vAlign w:val="center"/>
          </w:tcPr>
          <w:p w14:paraId="58B1860C">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eastAsia="zh-CN"/>
              </w:rPr>
            </w:pPr>
          </w:p>
        </w:tc>
        <w:tc>
          <w:tcPr>
            <w:tcW w:w="1249" w:type="dxa"/>
            <w:vAlign w:val="center"/>
          </w:tcPr>
          <w:p w14:paraId="2EF9F2D4">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eastAsia="zh-CN"/>
              </w:rPr>
            </w:pPr>
          </w:p>
        </w:tc>
        <w:tc>
          <w:tcPr>
            <w:tcW w:w="1585" w:type="dxa"/>
            <w:vAlign w:val="center"/>
          </w:tcPr>
          <w:p w14:paraId="7CD2995F">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7851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506310A8">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val="en-US" w:eastAsia="zh-CN"/>
              </w:rPr>
            </w:pPr>
            <w:r>
              <w:rPr>
                <w:rFonts w:hint="eastAsia" w:ascii="Times New Roman" w:hAnsi="Times New Roman" w:eastAsiaTheme="majorEastAsia"/>
                <w:lang w:val="en-US" w:eastAsia="zh-CN"/>
              </w:rPr>
              <w:t>2</w:t>
            </w:r>
          </w:p>
        </w:tc>
        <w:tc>
          <w:tcPr>
            <w:tcW w:w="931" w:type="dxa"/>
            <w:shd w:val="clear" w:color="auto" w:fill="auto"/>
            <w:vAlign w:val="center"/>
          </w:tcPr>
          <w:p w14:paraId="41741D5C">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4152" w:type="dxa"/>
            <w:vAlign w:val="center"/>
          </w:tcPr>
          <w:p w14:paraId="05E9C369">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959" w:type="dxa"/>
            <w:vAlign w:val="center"/>
          </w:tcPr>
          <w:p w14:paraId="28BE8113">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1249" w:type="dxa"/>
            <w:vAlign w:val="center"/>
          </w:tcPr>
          <w:p w14:paraId="7512C6CF">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c>
          <w:tcPr>
            <w:tcW w:w="1585" w:type="dxa"/>
            <w:vAlign w:val="center"/>
          </w:tcPr>
          <w:p w14:paraId="79E7D4A2">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60FA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42111AA0">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val="en-US" w:eastAsia="zh-CN"/>
              </w:rPr>
            </w:pPr>
            <w:r>
              <w:rPr>
                <w:rFonts w:hint="eastAsia" w:ascii="Times New Roman" w:hAnsi="Times New Roman" w:eastAsiaTheme="majorEastAsia"/>
                <w:lang w:val="en-US" w:eastAsia="zh-CN"/>
              </w:rPr>
              <w:t>3</w:t>
            </w:r>
          </w:p>
        </w:tc>
        <w:tc>
          <w:tcPr>
            <w:tcW w:w="931" w:type="dxa"/>
            <w:vAlign w:val="center"/>
          </w:tcPr>
          <w:p w14:paraId="7B1F3DE3">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eastAsiaTheme="majorEastAsia"/>
              </w:rPr>
            </w:pPr>
          </w:p>
        </w:tc>
        <w:tc>
          <w:tcPr>
            <w:tcW w:w="4152" w:type="dxa"/>
            <w:vAlign w:val="center"/>
          </w:tcPr>
          <w:p w14:paraId="330A84BB">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959" w:type="dxa"/>
            <w:vAlign w:val="center"/>
          </w:tcPr>
          <w:p w14:paraId="32FACE18">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eastAsia="zh-CN"/>
              </w:rPr>
            </w:pPr>
          </w:p>
        </w:tc>
        <w:tc>
          <w:tcPr>
            <w:tcW w:w="1249" w:type="dxa"/>
            <w:vAlign w:val="center"/>
          </w:tcPr>
          <w:p w14:paraId="4A93DE7F">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1585" w:type="dxa"/>
            <w:vAlign w:val="center"/>
          </w:tcPr>
          <w:p w14:paraId="2282E21E">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26EA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731BCDF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val="en-US" w:eastAsia="zh-CN"/>
              </w:rPr>
            </w:pPr>
            <w:r>
              <w:rPr>
                <w:rFonts w:hint="eastAsia" w:ascii="Times New Roman" w:hAnsi="Times New Roman" w:eastAsiaTheme="majorEastAsia"/>
                <w:lang w:val="en-US" w:eastAsia="zh-CN"/>
              </w:rPr>
              <w:t>4</w:t>
            </w:r>
          </w:p>
        </w:tc>
        <w:tc>
          <w:tcPr>
            <w:tcW w:w="931" w:type="dxa"/>
            <w:vAlign w:val="center"/>
          </w:tcPr>
          <w:p w14:paraId="271E60BE">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eastAsiaTheme="majorEastAsia"/>
              </w:rPr>
            </w:pPr>
          </w:p>
        </w:tc>
        <w:tc>
          <w:tcPr>
            <w:tcW w:w="4152" w:type="dxa"/>
            <w:vAlign w:val="center"/>
          </w:tcPr>
          <w:p w14:paraId="1AF1F7F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959" w:type="dxa"/>
            <w:vAlign w:val="center"/>
          </w:tcPr>
          <w:p w14:paraId="3D2B95D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eastAsia="zh-CN"/>
              </w:rPr>
            </w:pPr>
          </w:p>
        </w:tc>
        <w:tc>
          <w:tcPr>
            <w:tcW w:w="1249" w:type="dxa"/>
            <w:vAlign w:val="center"/>
          </w:tcPr>
          <w:p w14:paraId="393939D5">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1585" w:type="dxa"/>
            <w:vAlign w:val="center"/>
          </w:tcPr>
          <w:p w14:paraId="046CD779">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461D5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7769D997">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val="en-US" w:eastAsia="zh-CN"/>
              </w:rPr>
            </w:pPr>
            <w:r>
              <w:rPr>
                <w:rFonts w:hint="eastAsia" w:ascii="Times New Roman" w:hAnsi="Times New Roman" w:eastAsiaTheme="majorEastAsia"/>
                <w:lang w:val="en-US" w:eastAsia="zh-CN"/>
              </w:rPr>
              <w:t>5</w:t>
            </w:r>
          </w:p>
        </w:tc>
        <w:tc>
          <w:tcPr>
            <w:tcW w:w="931" w:type="dxa"/>
            <w:vAlign w:val="center"/>
          </w:tcPr>
          <w:p w14:paraId="063A331F">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eastAsiaTheme="majorEastAsia"/>
              </w:rPr>
            </w:pPr>
          </w:p>
        </w:tc>
        <w:tc>
          <w:tcPr>
            <w:tcW w:w="4152" w:type="dxa"/>
            <w:vAlign w:val="center"/>
          </w:tcPr>
          <w:p w14:paraId="2C052D2E">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959" w:type="dxa"/>
            <w:vAlign w:val="center"/>
          </w:tcPr>
          <w:p w14:paraId="49C16D84">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eastAsia="zh-CN"/>
              </w:rPr>
            </w:pPr>
          </w:p>
        </w:tc>
        <w:tc>
          <w:tcPr>
            <w:tcW w:w="1249" w:type="dxa"/>
            <w:vAlign w:val="center"/>
          </w:tcPr>
          <w:p w14:paraId="3BBC3ACA">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eastAsia="zh-CN"/>
              </w:rPr>
            </w:pPr>
          </w:p>
        </w:tc>
        <w:tc>
          <w:tcPr>
            <w:tcW w:w="1585" w:type="dxa"/>
            <w:vAlign w:val="center"/>
          </w:tcPr>
          <w:p w14:paraId="6CB15AFF">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4B61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4910386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val="en-US" w:eastAsia="zh-CN"/>
              </w:rPr>
            </w:pPr>
            <w:r>
              <w:rPr>
                <w:rFonts w:hint="eastAsia" w:ascii="Times New Roman" w:hAnsi="Times New Roman" w:eastAsiaTheme="majorEastAsia"/>
                <w:lang w:val="en-US" w:eastAsia="zh-CN"/>
              </w:rPr>
              <w:t>6</w:t>
            </w:r>
          </w:p>
        </w:tc>
        <w:tc>
          <w:tcPr>
            <w:tcW w:w="931" w:type="dxa"/>
            <w:shd w:val="clear" w:color="auto" w:fill="auto"/>
            <w:vAlign w:val="center"/>
          </w:tcPr>
          <w:p w14:paraId="2CBAD9F0">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4152" w:type="dxa"/>
            <w:shd w:val="clear" w:color="auto" w:fill="auto"/>
            <w:vAlign w:val="center"/>
          </w:tcPr>
          <w:p w14:paraId="4E0395A5">
            <w:pPr>
              <w:keepNext w:val="0"/>
              <w:keepLines w:val="0"/>
              <w:pageBreakBefore w:val="0"/>
              <w:kinsoku/>
              <w:wordWrap/>
              <w:overflowPunct/>
              <w:topLinePunct w:val="0"/>
              <w:bidi w:val="0"/>
              <w:adjustRightInd w:val="0"/>
              <w:snapToGrid w:val="0"/>
              <w:spacing w:line="240" w:lineRule="auto"/>
              <w:jc w:val="center"/>
              <w:textAlignment w:val="auto"/>
              <w:rPr>
                <w:rFonts w:ascii="Times New Roman" w:hAnsi="Times New Roman" w:cs="Times New Roman" w:eastAsiaTheme="majorEastAsia"/>
                <w:kern w:val="0"/>
                <w:sz w:val="21"/>
                <w:szCs w:val="20"/>
                <w:lang w:val="en-US" w:eastAsia="zh-CN" w:bidi="ar-SA"/>
              </w:rPr>
            </w:pPr>
          </w:p>
        </w:tc>
        <w:tc>
          <w:tcPr>
            <w:tcW w:w="959" w:type="dxa"/>
            <w:shd w:val="clear" w:color="auto" w:fill="auto"/>
            <w:vAlign w:val="center"/>
          </w:tcPr>
          <w:p w14:paraId="7EE5C027">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249" w:type="dxa"/>
            <w:shd w:val="clear" w:color="auto" w:fill="auto"/>
            <w:vAlign w:val="center"/>
          </w:tcPr>
          <w:p w14:paraId="75BE4192">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585" w:type="dxa"/>
            <w:shd w:val="clear" w:color="auto" w:fill="auto"/>
            <w:vAlign w:val="center"/>
          </w:tcPr>
          <w:p w14:paraId="19DA14BE">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cs="Times New Roman" w:eastAsiaTheme="majorEastAsia"/>
                <w:sz w:val="21"/>
                <w:lang w:val="en-US" w:eastAsia="zh-CN" w:bidi="ar-SA"/>
              </w:rPr>
            </w:pPr>
          </w:p>
        </w:tc>
      </w:tr>
      <w:tr w14:paraId="60A7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57D63D1C">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val="en-US" w:eastAsia="zh-CN"/>
              </w:rPr>
            </w:pPr>
            <w:r>
              <w:rPr>
                <w:rFonts w:hint="eastAsia" w:ascii="Times New Roman" w:hAnsi="Times New Roman" w:eastAsiaTheme="majorEastAsia"/>
                <w:lang w:val="en-US" w:eastAsia="zh-CN"/>
              </w:rPr>
              <w:t>7</w:t>
            </w:r>
          </w:p>
        </w:tc>
        <w:tc>
          <w:tcPr>
            <w:tcW w:w="931" w:type="dxa"/>
            <w:vAlign w:val="center"/>
          </w:tcPr>
          <w:p w14:paraId="483FEAD0">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eastAsiaTheme="majorEastAsia"/>
              </w:rPr>
            </w:pPr>
          </w:p>
        </w:tc>
        <w:tc>
          <w:tcPr>
            <w:tcW w:w="4152" w:type="dxa"/>
            <w:vAlign w:val="center"/>
          </w:tcPr>
          <w:p w14:paraId="3B40F73A">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959" w:type="dxa"/>
            <w:vAlign w:val="center"/>
          </w:tcPr>
          <w:p w14:paraId="7A11FC29">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1249" w:type="dxa"/>
            <w:vAlign w:val="center"/>
          </w:tcPr>
          <w:p w14:paraId="1732BF15">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eastAsia="zh-CN"/>
              </w:rPr>
            </w:pPr>
          </w:p>
        </w:tc>
        <w:tc>
          <w:tcPr>
            <w:tcW w:w="1585" w:type="dxa"/>
            <w:vAlign w:val="center"/>
          </w:tcPr>
          <w:p w14:paraId="29E3017E">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3AD9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67F74FB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val="en-US" w:eastAsia="zh-CN"/>
              </w:rPr>
            </w:pPr>
            <w:r>
              <w:rPr>
                <w:rFonts w:hint="eastAsia" w:ascii="Times New Roman" w:hAnsi="Times New Roman" w:eastAsiaTheme="majorEastAsia"/>
                <w:lang w:val="en-US" w:eastAsia="zh-CN"/>
              </w:rPr>
              <w:t>8</w:t>
            </w:r>
          </w:p>
        </w:tc>
        <w:tc>
          <w:tcPr>
            <w:tcW w:w="931" w:type="dxa"/>
            <w:vAlign w:val="center"/>
          </w:tcPr>
          <w:p w14:paraId="7009F265">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eastAsiaTheme="majorEastAsia"/>
              </w:rPr>
            </w:pPr>
          </w:p>
        </w:tc>
        <w:tc>
          <w:tcPr>
            <w:tcW w:w="4152" w:type="dxa"/>
            <w:vAlign w:val="center"/>
          </w:tcPr>
          <w:p w14:paraId="33F25320">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959" w:type="dxa"/>
            <w:shd w:val="clear" w:color="auto" w:fill="auto"/>
            <w:vAlign w:val="center"/>
          </w:tcPr>
          <w:p w14:paraId="5FAB9EC5">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1249" w:type="dxa"/>
            <w:shd w:val="clear" w:color="auto" w:fill="auto"/>
            <w:vAlign w:val="center"/>
          </w:tcPr>
          <w:p w14:paraId="08AE0328">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585" w:type="dxa"/>
            <w:vAlign w:val="center"/>
          </w:tcPr>
          <w:p w14:paraId="56940CE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1ECE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68F504E2">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eastAsiaTheme="majorEastAsia"/>
                <w:lang w:val="en-US" w:eastAsia="zh-CN"/>
              </w:rPr>
            </w:pPr>
            <w:r>
              <w:rPr>
                <w:rFonts w:hint="eastAsia" w:ascii="Times New Roman" w:hAnsi="Times New Roman" w:eastAsiaTheme="majorEastAsia"/>
                <w:lang w:val="en-US" w:eastAsia="zh-CN"/>
              </w:rPr>
              <w:t>9</w:t>
            </w:r>
          </w:p>
        </w:tc>
        <w:tc>
          <w:tcPr>
            <w:tcW w:w="931" w:type="dxa"/>
            <w:vAlign w:val="center"/>
          </w:tcPr>
          <w:p w14:paraId="16601BA5">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eastAsiaTheme="majorEastAsia"/>
              </w:rPr>
            </w:pPr>
          </w:p>
        </w:tc>
        <w:tc>
          <w:tcPr>
            <w:tcW w:w="4152" w:type="dxa"/>
            <w:vAlign w:val="center"/>
          </w:tcPr>
          <w:p w14:paraId="5DD67784">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eastAsiaTheme="majorEastAsia"/>
              </w:rPr>
            </w:pPr>
          </w:p>
        </w:tc>
        <w:tc>
          <w:tcPr>
            <w:tcW w:w="959" w:type="dxa"/>
            <w:shd w:val="clear" w:color="auto" w:fill="auto"/>
            <w:vAlign w:val="center"/>
          </w:tcPr>
          <w:p w14:paraId="4075F3FE">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1249" w:type="dxa"/>
            <w:shd w:val="clear" w:color="auto" w:fill="auto"/>
            <w:vAlign w:val="center"/>
          </w:tcPr>
          <w:p w14:paraId="4C0CE59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585" w:type="dxa"/>
            <w:vAlign w:val="center"/>
          </w:tcPr>
          <w:p w14:paraId="090E9FA5">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4760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1A8018F3">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r>
              <w:rPr>
                <w:rFonts w:hint="eastAsia" w:ascii="Times New Roman" w:hAnsi="Times New Roman" w:eastAsiaTheme="majorEastAsia"/>
                <w:lang w:val="en-US" w:eastAsia="zh-CN"/>
              </w:rPr>
              <w:t>10</w:t>
            </w:r>
          </w:p>
        </w:tc>
        <w:tc>
          <w:tcPr>
            <w:tcW w:w="931" w:type="dxa"/>
            <w:shd w:val="clear" w:color="auto" w:fill="auto"/>
            <w:vAlign w:val="center"/>
          </w:tcPr>
          <w:p w14:paraId="0EEFB34A">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4152" w:type="dxa"/>
            <w:shd w:val="clear" w:color="auto" w:fill="auto"/>
            <w:vAlign w:val="center"/>
          </w:tcPr>
          <w:p w14:paraId="2C06921F">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959" w:type="dxa"/>
            <w:shd w:val="clear" w:color="auto" w:fill="auto"/>
            <w:vAlign w:val="center"/>
          </w:tcPr>
          <w:p w14:paraId="1E9FBCE7">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1249" w:type="dxa"/>
            <w:shd w:val="clear" w:color="auto" w:fill="auto"/>
            <w:vAlign w:val="center"/>
          </w:tcPr>
          <w:p w14:paraId="56D957AD">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585" w:type="dxa"/>
            <w:shd w:val="clear" w:color="auto" w:fill="auto"/>
            <w:vAlign w:val="center"/>
          </w:tcPr>
          <w:p w14:paraId="4820F92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cs="Times New Roman" w:eastAsiaTheme="majorEastAsia"/>
                <w:sz w:val="21"/>
                <w:lang w:val="en-US" w:eastAsia="zh-CN" w:bidi="ar-SA"/>
              </w:rPr>
            </w:pPr>
          </w:p>
        </w:tc>
      </w:tr>
      <w:tr w14:paraId="06555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16120317">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r>
              <w:rPr>
                <w:rFonts w:hint="eastAsia" w:ascii="Times New Roman" w:hAnsi="Times New Roman" w:eastAsiaTheme="majorEastAsia"/>
                <w:lang w:val="en-US" w:eastAsia="zh-CN"/>
              </w:rPr>
              <w:t>11</w:t>
            </w:r>
          </w:p>
        </w:tc>
        <w:tc>
          <w:tcPr>
            <w:tcW w:w="931" w:type="dxa"/>
            <w:shd w:val="clear" w:color="auto" w:fill="auto"/>
            <w:vAlign w:val="center"/>
          </w:tcPr>
          <w:p w14:paraId="6E536689">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4152" w:type="dxa"/>
            <w:shd w:val="clear" w:color="auto" w:fill="auto"/>
            <w:vAlign w:val="center"/>
          </w:tcPr>
          <w:p w14:paraId="067CE91F">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959" w:type="dxa"/>
            <w:shd w:val="clear" w:color="auto" w:fill="auto"/>
            <w:vAlign w:val="center"/>
          </w:tcPr>
          <w:p w14:paraId="558A3559">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1249" w:type="dxa"/>
            <w:shd w:val="clear" w:color="auto" w:fill="auto"/>
            <w:vAlign w:val="center"/>
          </w:tcPr>
          <w:p w14:paraId="2D916BBF">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585" w:type="dxa"/>
            <w:shd w:val="clear" w:color="auto" w:fill="auto"/>
            <w:vAlign w:val="center"/>
          </w:tcPr>
          <w:p w14:paraId="1772C899">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cs="Times New Roman" w:eastAsiaTheme="majorEastAsia"/>
                <w:sz w:val="21"/>
                <w:lang w:val="en-US" w:eastAsia="zh-CN" w:bidi="ar-SA"/>
              </w:rPr>
            </w:pPr>
          </w:p>
        </w:tc>
      </w:tr>
      <w:tr w14:paraId="0154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68D7764B">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r>
              <w:rPr>
                <w:rFonts w:hint="eastAsia" w:ascii="Times New Roman" w:hAnsi="Times New Roman" w:eastAsiaTheme="majorEastAsia"/>
                <w:lang w:val="en-US" w:eastAsia="zh-CN"/>
              </w:rPr>
              <w:t>12</w:t>
            </w:r>
          </w:p>
        </w:tc>
        <w:tc>
          <w:tcPr>
            <w:tcW w:w="931" w:type="dxa"/>
            <w:vAlign w:val="center"/>
          </w:tcPr>
          <w:p w14:paraId="2F0E712F">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hint="eastAsia" w:ascii="Times New Roman" w:hAnsi="Times New Roman" w:eastAsiaTheme="majorEastAsia"/>
                <w:lang w:eastAsia="zh-CN"/>
              </w:rPr>
            </w:pPr>
          </w:p>
        </w:tc>
        <w:tc>
          <w:tcPr>
            <w:tcW w:w="4152" w:type="dxa"/>
            <w:shd w:val="clear" w:color="auto" w:fill="auto"/>
            <w:vAlign w:val="center"/>
          </w:tcPr>
          <w:p w14:paraId="619AFCD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959" w:type="dxa"/>
            <w:shd w:val="clear" w:color="auto" w:fill="auto"/>
            <w:vAlign w:val="center"/>
          </w:tcPr>
          <w:p w14:paraId="2D2107A8">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1249" w:type="dxa"/>
            <w:shd w:val="clear" w:color="auto" w:fill="auto"/>
            <w:vAlign w:val="center"/>
          </w:tcPr>
          <w:p w14:paraId="30EB06DB">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585" w:type="dxa"/>
            <w:vAlign w:val="center"/>
          </w:tcPr>
          <w:p w14:paraId="2E278EAA">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5DFA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70B563B2">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r>
              <w:rPr>
                <w:rFonts w:hint="eastAsia" w:ascii="Times New Roman" w:hAnsi="Times New Roman" w:eastAsiaTheme="majorEastAsia"/>
                <w:lang w:val="en-US" w:eastAsia="zh-CN"/>
              </w:rPr>
              <w:t>13</w:t>
            </w:r>
          </w:p>
        </w:tc>
        <w:tc>
          <w:tcPr>
            <w:tcW w:w="931" w:type="dxa"/>
            <w:vAlign w:val="center"/>
          </w:tcPr>
          <w:p w14:paraId="700423B9">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hint="eastAsia" w:ascii="Times New Roman" w:hAnsi="Times New Roman" w:eastAsiaTheme="majorEastAsia"/>
                <w:lang w:eastAsia="zh-CN"/>
              </w:rPr>
            </w:pPr>
          </w:p>
        </w:tc>
        <w:tc>
          <w:tcPr>
            <w:tcW w:w="4152" w:type="dxa"/>
            <w:shd w:val="clear" w:color="auto" w:fill="auto"/>
            <w:vAlign w:val="center"/>
          </w:tcPr>
          <w:p w14:paraId="36414AE0">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959" w:type="dxa"/>
            <w:shd w:val="clear" w:color="auto" w:fill="auto"/>
            <w:vAlign w:val="center"/>
          </w:tcPr>
          <w:p w14:paraId="768E5DF3">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1249" w:type="dxa"/>
            <w:shd w:val="clear" w:color="auto" w:fill="auto"/>
            <w:vAlign w:val="center"/>
          </w:tcPr>
          <w:p w14:paraId="2099E4F4">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585" w:type="dxa"/>
            <w:vAlign w:val="center"/>
          </w:tcPr>
          <w:p w14:paraId="7F80B5C1">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p>
        </w:tc>
      </w:tr>
      <w:tr w14:paraId="3E235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0F1D4EAA">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r>
              <w:rPr>
                <w:rFonts w:hint="eastAsia" w:ascii="Times New Roman" w:hAnsi="Times New Roman" w:eastAsiaTheme="majorEastAsia"/>
                <w:lang w:val="en-US" w:eastAsia="zh-CN"/>
              </w:rPr>
              <w:t>14</w:t>
            </w:r>
          </w:p>
        </w:tc>
        <w:tc>
          <w:tcPr>
            <w:tcW w:w="931" w:type="dxa"/>
            <w:shd w:val="clear" w:color="auto" w:fill="auto"/>
            <w:vAlign w:val="center"/>
          </w:tcPr>
          <w:p w14:paraId="7426A824">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4152" w:type="dxa"/>
            <w:shd w:val="clear" w:color="auto" w:fill="auto"/>
            <w:vAlign w:val="center"/>
          </w:tcPr>
          <w:p w14:paraId="6A406B04">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ascii="Times New Roman" w:hAnsi="Times New Roman" w:cs="Times New Roman" w:eastAsiaTheme="majorEastAsia"/>
                <w:sz w:val="21"/>
                <w:lang w:val="en-US" w:eastAsia="zh-CN" w:bidi="ar-SA"/>
              </w:rPr>
            </w:pPr>
          </w:p>
        </w:tc>
        <w:tc>
          <w:tcPr>
            <w:tcW w:w="959" w:type="dxa"/>
            <w:shd w:val="clear" w:color="auto" w:fill="auto"/>
            <w:vAlign w:val="center"/>
          </w:tcPr>
          <w:p w14:paraId="03C0D803">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249" w:type="dxa"/>
            <w:shd w:val="clear" w:color="auto" w:fill="auto"/>
            <w:vAlign w:val="center"/>
          </w:tcPr>
          <w:p w14:paraId="091F50B6">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585" w:type="dxa"/>
            <w:shd w:val="clear" w:color="auto" w:fill="auto"/>
            <w:vAlign w:val="center"/>
          </w:tcPr>
          <w:p w14:paraId="1595DEE6">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cs="Times New Roman" w:eastAsiaTheme="majorEastAsia"/>
                <w:sz w:val="21"/>
                <w:lang w:val="en-US" w:eastAsia="zh-CN" w:bidi="ar-SA"/>
              </w:rPr>
            </w:pPr>
          </w:p>
        </w:tc>
      </w:tr>
      <w:tr w14:paraId="5D21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14:paraId="1E052EA3">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eastAsiaTheme="majorEastAsia"/>
                <w:lang w:val="en-US" w:eastAsia="zh-CN"/>
              </w:rPr>
            </w:pPr>
            <w:r>
              <w:rPr>
                <w:rFonts w:hint="eastAsia" w:ascii="Times New Roman" w:hAnsi="Times New Roman" w:eastAsiaTheme="majorEastAsia"/>
                <w:lang w:val="en-US" w:eastAsia="zh-CN"/>
              </w:rPr>
              <w:t>15</w:t>
            </w:r>
          </w:p>
        </w:tc>
        <w:tc>
          <w:tcPr>
            <w:tcW w:w="931" w:type="dxa"/>
            <w:shd w:val="clear" w:color="auto" w:fill="auto"/>
            <w:vAlign w:val="center"/>
          </w:tcPr>
          <w:p w14:paraId="7725D0BC">
            <w:pPr>
              <w:pStyle w:val="14"/>
              <w:keepNext w:val="0"/>
              <w:keepLines w:val="0"/>
              <w:pageBreakBefore w:val="0"/>
              <w:kinsoku/>
              <w:wordWrap/>
              <w:overflowPunct/>
              <w:topLinePunct w:val="0"/>
              <w:bidi w:val="0"/>
              <w:adjustRightInd w:val="0"/>
              <w:snapToGrid w:val="0"/>
              <w:spacing w:line="36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4152" w:type="dxa"/>
            <w:shd w:val="clear" w:color="auto" w:fill="auto"/>
            <w:vAlign w:val="center"/>
          </w:tcPr>
          <w:p w14:paraId="7BD2E34D">
            <w:pPr>
              <w:keepNext w:val="0"/>
              <w:keepLines w:val="0"/>
              <w:pageBreakBefore w:val="0"/>
              <w:kinsoku/>
              <w:wordWrap/>
              <w:overflowPunct/>
              <w:topLinePunct w:val="0"/>
              <w:bidi w:val="0"/>
              <w:adjustRightInd w:val="0"/>
              <w:snapToGrid w:val="0"/>
              <w:spacing w:line="240" w:lineRule="auto"/>
              <w:jc w:val="center"/>
              <w:textAlignment w:val="auto"/>
              <w:rPr>
                <w:rFonts w:ascii="Times New Roman" w:hAnsi="Times New Roman" w:cs="Times New Roman" w:eastAsiaTheme="majorEastAsia"/>
                <w:kern w:val="0"/>
                <w:sz w:val="21"/>
                <w:szCs w:val="20"/>
                <w:lang w:val="en-US" w:eastAsia="zh-CN" w:bidi="ar-SA"/>
              </w:rPr>
            </w:pPr>
          </w:p>
        </w:tc>
        <w:tc>
          <w:tcPr>
            <w:tcW w:w="959" w:type="dxa"/>
            <w:shd w:val="clear" w:color="auto" w:fill="auto"/>
            <w:vAlign w:val="center"/>
          </w:tcPr>
          <w:p w14:paraId="0DFB0A06">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249" w:type="dxa"/>
            <w:shd w:val="clear" w:color="auto" w:fill="auto"/>
            <w:vAlign w:val="center"/>
          </w:tcPr>
          <w:p w14:paraId="43E3477D">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eastAsia" w:ascii="Times New Roman" w:hAnsi="Times New Roman" w:cs="Times New Roman" w:eastAsiaTheme="majorEastAsia"/>
                <w:sz w:val="21"/>
                <w:lang w:val="en-US" w:eastAsia="zh-CN" w:bidi="ar-SA"/>
              </w:rPr>
            </w:pPr>
          </w:p>
        </w:tc>
        <w:tc>
          <w:tcPr>
            <w:tcW w:w="1585" w:type="dxa"/>
            <w:shd w:val="clear" w:color="auto" w:fill="auto"/>
            <w:vAlign w:val="center"/>
          </w:tcPr>
          <w:p w14:paraId="5211CF29">
            <w:pPr>
              <w:pStyle w:val="14"/>
              <w:keepNext w:val="0"/>
              <w:keepLines w:val="0"/>
              <w:pageBreakBefore w:val="0"/>
              <w:kinsoku/>
              <w:wordWrap/>
              <w:overflowPunct/>
              <w:topLinePunct w:val="0"/>
              <w:bidi w:val="0"/>
              <w:adjustRightInd w:val="0"/>
              <w:snapToGrid w:val="0"/>
              <w:spacing w:line="240" w:lineRule="auto"/>
              <w:ind w:firstLine="0" w:firstLineChars="0"/>
              <w:contextualSpacing/>
              <w:jc w:val="center"/>
              <w:textAlignment w:val="auto"/>
              <w:rPr>
                <w:rFonts w:hint="default" w:ascii="Times New Roman" w:hAnsi="Times New Roman" w:cs="Times New Roman" w:eastAsiaTheme="majorEastAsia"/>
                <w:sz w:val="21"/>
                <w:lang w:val="en-US" w:eastAsia="zh-CN" w:bidi="ar-SA"/>
              </w:rPr>
            </w:pPr>
          </w:p>
        </w:tc>
      </w:tr>
      <w:tr w14:paraId="47B9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570" w:type="dxa"/>
            <w:gridSpan w:val="6"/>
            <w:vAlign w:val="center"/>
          </w:tcPr>
          <w:p w14:paraId="682EAD34">
            <w:pPr>
              <w:pStyle w:val="14"/>
              <w:adjustRightInd w:val="0"/>
              <w:spacing w:line="360" w:lineRule="auto"/>
              <w:ind w:firstLine="0" w:firstLineChars="0"/>
              <w:contextualSpacing/>
              <w:jc w:val="center"/>
              <w:rPr>
                <w:rFonts w:ascii="Times New Roman" w:hAnsi="Times New Roman"/>
                <w:szCs w:val="21"/>
              </w:rPr>
            </w:pPr>
            <w:r>
              <w:rPr>
                <w:rFonts w:hint="eastAsia" w:ascii="Times New Roman" w:hAnsi="Times New Roman"/>
                <w:szCs w:val="21"/>
              </w:rPr>
              <w:t>编制情况</w:t>
            </w:r>
          </w:p>
        </w:tc>
      </w:tr>
      <w:tr w14:paraId="7FCC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86E152A">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szCs w:val="21"/>
              </w:rPr>
              <w:t>1、编制过程简介</w:t>
            </w:r>
          </w:p>
        </w:tc>
      </w:tr>
      <w:tr w14:paraId="39B96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94754CA">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cs="Helvetica"/>
                <w:shd w:val="clear" w:color="auto" w:fill="FFFFFF"/>
              </w:rPr>
            </w:pPr>
            <w:r>
              <w:rPr>
                <w:rFonts w:hint="eastAsia" w:ascii="Times New Roman" w:hAnsi="Times New Roman" w:cs="Helvetica"/>
                <w:shd w:val="clear" w:color="auto" w:fill="FFFFFF"/>
              </w:rPr>
              <w:t>（1）成立标准编制小组</w:t>
            </w:r>
          </w:p>
          <w:p w14:paraId="2F2E2FE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cs="Helvetica"/>
                <w:color w:val="auto"/>
                <w:shd w:val="clear" w:color="auto" w:fill="FFFFFF"/>
              </w:rPr>
            </w:pPr>
            <w:r>
              <w:rPr>
                <w:rFonts w:hint="eastAsia" w:ascii="Times New Roman" w:hAnsi="Times New Roman" w:cs="Helvetica"/>
                <w:shd w:val="clear" w:color="auto" w:fill="FFFFFF"/>
              </w:rPr>
              <w:t>根据《安徽省市场监督管理局关于下达2024年第三批安徽省地方标准制修订计划的通知》〔皖市监函（2024）377号〕，由安徽省（水利部淮河水利委员会）水利科学研究院（安徽省水利工程质量检测中心站）等单位承担起草安徽省地方标准《河湖长制能效提级县成效评估规范》的工作。起草单位成立了标准编制小组，明确了参与单位及人员的工作任务和职责分工</w:t>
            </w:r>
            <w:bookmarkStart w:id="30" w:name="_GoBack"/>
            <w:bookmarkEnd w:id="30"/>
            <w:r>
              <w:rPr>
                <w:rFonts w:hint="eastAsia" w:ascii="Times New Roman" w:hAnsi="Times New Roman" w:cs="Helvetica"/>
                <w:color w:val="auto"/>
                <w:shd w:val="clear" w:color="auto" w:fill="FFFFFF"/>
              </w:rPr>
              <w:t>。</w:t>
            </w:r>
          </w:p>
          <w:p w14:paraId="316DAE2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cs="Helvetica"/>
                <w:color w:val="auto"/>
                <w:shd w:val="clear" w:color="auto" w:fill="FFFFFF"/>
              </w:rPr>
            </w:pPr>
            <w:r>
              <w:rPr>
                <w:rFonts w:hint="eastAsia" w:ascii="Times New Roman" w:hAnsi="Times New Roman" w:cs="Helvetica"/>
                <w:color w:val="auto"/>
                <w:shd w:val="clear" w:color="auto" w:fill="FFFFFF"/>
              </w:rPr>
              <w:t>（2）形成标准内部讨论稿</w:t>
            </w:r>
          </w:p>
          <w:p w14:paraId="411920F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Times New Roman" w:hAnsi="Times New Roman" w:cs="Helvetica"/>
                <w:shd w:val="clear" w:color="auto" w:fill="FFFFFF"/>
                <w:lang w:eastAsia="zh-CN"/>
              </w:rPr>
            </w:pPr>
            <w:r>
              <w:rPr>
                <w:rFonts w:hint="eastAsia" w:ascii="Times New Roman" w:hAnsi="Times New Roman" w:cs="Helvetica"/>
                <w:shd w:val="clear" w:color="auto" w:fill="FFFFFF"/>
              </w:rPr>
              <w:t>2024年1月-2024年3月，标准编制小组编制了项目</w:t>
            </w:r>
            <w:r>
              <w:rPr>
                <w:rFonts w:hint="eastAsia" w:ascii="Times New Roman" w:hAnsi="Times New Roman" w:cs="Helvetica"/>
                <w:shd w:val="clear" w:color="auto" w:fill="FFFFFF"/>
                <w:lang w:eastAsia="zh-CN"/>
              </w:rPr>
              <w:t>工作方案</w:t>
            </w:r>
            <w:r>
              <w:rPr>
                <w:rFonts w:hint="eastAsia" w:ascii="Times New Roman" w:hAnsi="Times New Roman" w:cs="Helvetica"/>
                <w:shd w:val="clear" w:color="auto" w:fill="FFFFFF"/>
              </w:rPr>
              <w:t>，并组织了专家审查，讨论了标准制定的总体思路，确定了标准的基本框架和</w:t>
            </w:r>
            <w:r>
              <w:rPr>
                <w:rFonts w:hint="eastAsia" w:ascii="Times New Roman" w:hAnsi="Times New Roman" w:cs="Helvetica"/>
                <w:shd w:val="clear" w:color="auto" w:fill="FFFFFF"/>
                <w:lang w:eastAsia="zh-CN"/>
              </w:rPr>
              <w:t>主要技术</w:t>
            </w:r>
            <w:r>
              <w:rPr>
                <w:rFonts w:hint="eastAsia" w:ascii="Times New Roman" w:hAnsi="Times New Roman" w:cs="Helvetica"/>
                <w:shd w:val="clear" w:color="auto" w:fill="FFFFFF"/>
              </w:rPr>
              <w:t>内容</w:t>
            </w:r>
            <w:r>
              <w:rPr>
                <w:rFonts w:hint="eastAsia" w:ascii="Times New Roman" w:hAnsi="Times New Roman" w:cs="Helvetica"/>
                <w:shd w:val="clear" w:color="auto" w:fill="FFFFFF"/>
                <w:lang w:eastAsia="zh-CN"/>
              </w:rPr>
              <w:t>；</w:t>
            </w:r>
            <w:r>
              <w:rPr>
                <w:rFonts w:hint="eastAsia" w:ascii="Times New Roman" w:hAnsi="Times New Roman" w:cs="Helvetica"/>
                <w:shd w:val="clear" w:color="auto" w:fill="FFFFFF"/>
                <w:lang w:val="en-US" w:eastAsia="zh-CN"/>
              </w:rPr>
              <w:t>2024年6月，安徽省全面推行河长制办公室印发关于征求《河湖长制“能效”提级县建设成效评估工作方案（试行）（征求意见稿）》意见的函，就标准主要技术内容，征求了省级河长会议成员单位、各市河长办，以及厅河湖长制工作领导小组各成员处室、厅直有关单位意见，共收到15条意见建议，采纳9条；未采纳或部分采纳6条，已充分沟通并协商一致。</w:t>
            </w:r>
            <w:r>
              <w:rPr>
                <w:rFonts w:hint="eastAsia" w:ascii="Times New Roman" w:hAnsi="Times New Roman" w:cs="Helvetica"/>
                <w:shd w:val="clear" w:color="auto" w:fill="FFFFFF"/>
              </w:rPr>
              <w:t>2024年</w:t>
            </w:r>
            <w:r>
              <w:rPr>
                <w:rFonts w:hint="eastAsia" w:ascii="Times New Roman" w:hAnsi="Times New Roman" w:cs="Helvetica"/>
                <w:shd w:val="clear" w:color="auto" w:fill="FFFFFF"/>
                <w:lang w:val="en-US" w:eastAsia="zh-CN"/>
              </w:rPr>
              <w:t>7月-9</w:t>
            </w:r>
            <w:r>
              <w:rPr>
                <w:rFonts w:hint="eastAsia" w:ascii="Times New Roman" w:hAnsi="Times New Roman" w:cs="Helvetica"/>
                <w:shd w:val="clear" w:color="auto" w:fill="FFFFFF"/>
              </w:rPr>
              <w:t>月</w:t>
            </w:r>
            <w:r>
              <w:rPr>
                <w:rFonts w:hint="eastAsia" w:ascii="Times New Roman" w:hAnsi="Times New Roman" w:cs="Helvetica"/>
                <w:shd w:val="clear" w:color="auto" w:fill="FFFFFF"/>
                <w:lang w:eastAsia="zh-CN"/>
              </w:rPr>
              <w:t>，</w:t>
            </w:r>
            <w:r>
              <w:rPr>
                <w:rFonts w:hint="eastAsia" w:ascii="Times New Roman" w:hAnsi="Times New Roman" w:cs="Helvetica"/>
                <w:shd w:val="clear" w:color="auto" w:fill="FFFFFF"/>
              </w:rPr>
              <w:t>安徽省（水利部淮河水利委员会）水利科学研究院（安徽省水利工程质量检测中心站）</w:t>
            </w:r>
            <w:r>
              <w:rPr>
                <w:rFonts w:hint="eastAsia" w:ascii="Times New Roman" w:hAnsi="Times New Roman" w:cs="Helvetica"/>
                <w:shd w:val="clear" w:color="auto" w:fill="FFFFFF"/>
                <w:lang w:eastAsia="zh-CN"/>
              </w:rPr>
              <w:t>根据前期确定的主要技术内容，起草完成标准内部讨论稿。</w:t>
            </w:r>
          </w:p>
          <w:p w14:paraId="580F562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cs="Helvetica"/>
                <w:shd w:val="clear" w:color="auto" w:fill="FFFFFF"/>
              </w:rPr>
            </w:pPr>
            <w:r>
              <w:rPr>
                <w:rFonts w:hint="eastAsia" w:ascii="Times New Roman" w:hAnsi="Times New Roman" w:cs="Helvetica"/>
                <w:shd w:val="clear" w:color="auto" w:fill="FFFFFF"/>
              </w:rPr>
              <w:t>（3）形成标准征求意见稿</w:t>
            </w:r>
          </w:p>
          <w:p w14:paraId="41AA498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rPr>
            </w:pPr>
            <w:r>
              <w:rPr>
                <w:rFonts w:hint="eastAsia" w:ascii="Times New Roman" w:hAnsi="Times New Roman" w:cs="Helvetica"/>
                <w:shd w:val="clear" w:color="auto" w:fill="FFFFFF"/>
              </w:rPr>
              <w:t>2024年10月，为确保标准的实用性、科学性和可操作性，安徽省（水利部淮河水利委员会）水利科学研究院（安徽省水利工程质量检测中心站）组织召开</w:t>
            </w:r>
            <w:r>
              <w:rPr>
                <w:rFonts w:hint="eastAsia" w:ascii="Times New Roman" w:hAnsi="Times New Roman" w:cs="Helvetica"/>
                <w:shd w:val="clear" w:color="auto" w:fill="FFFFFF"/>
                <w:lang w:eastAsia="zh-CN"/>
              </w:rPr>
              <w:t>多轮</w:t>
            </w:r>
            <w:r>
              <w:rPr>
                <w:rFonts w:hint="eastAsia" w:ascii="Times New Roman" w:hAnsi="Times New Roman" w:cs="Helvetica"/>
                <w:shd w:val="clear" w:color="auto" w:fill="FFFFFF"/>
              </w:rPr>
              <w:t>讨论稿内部审查会，对讨论稿逐条进行了讨论，修改完善后形成了征求意见稿。</w:t>
            </w:r>
          </w:p>
        </w:tc>
      </w:tr>
      <w:tr w14:paraId="73E7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017CE4A">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szCs w:val="21"/>
              </w:rPr>
              <w:t>2、制定标准的必要性和意义</w:t>
            </w:r>
          </w:p>
        </w:tc>
      </w:tr>
      <w:tr w14:paraId="38B7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8BD6F2D">
            <w:pPr>
              <w:pStyle w:val="14"/>
              <w:keepNext w:val="0"/>
              <w:keepLines w:val="0"/>
              <w:pageBreakBefore w:val="0"/>
              <w:kinsoku/>
              <w:wordWrap/>
              <w:overflowPunct/>
              <w:topLinePunct w:val="0"/>
              <w:bidi w:val="0"/>
              <w:adjustRightInd w:val="0"/>
              <w:snapToGrid w:val="0"/>
              <w:spacing w:line="240" w:lineRule="auto"/>
              <w:ind w:firstLine="0" w:firstLineChars="0"/>
              <w:contextualSpacing/>
              <w:textAlignment w:val="auto"/>
              <w:rPr>
                <w:rFonts w:ascii="Times New Roman" w:hAnsi="Times New Roman"/>
                <w:b/>
                <w:color w:val="auto"/>
                <w:szCs w:val="21"/>
              </w:rPr>
            </w:pPr>
            <w:r>
              <w:rPr>
                <w:rFonts w:hint="eastAsia" w:ascii="Times New Roman" w:hAnsi="Times New Roman"/>
                <w:b/>
                <w:color w:val="auto"/>
                <w:szCs w:val="21"/>
              </w:rPr>
              <w:t>必要性：</w:t>
            </w:r>
          </w:p>
          <w:p w14:paraId="45EF4808">
            <w:pPr>
              <w:keepNext w:val="0"/>
              <w:keepLines w:val="0"/>
              <w:pageBreakBefore w:val="0"/>
              <w:kinsoku/>
              <w:wordWrap/>
              <w:overflowPunct/>
              <w:topLinePunct w:val="0"/>
              <w:bidi w:val="0"/>
              <w:adjustRightInd w:val="0"/>
              <w:snapToGrid w:val="0"/>
              <w:spacing w:line="240" w:lineRule="auto"/>
              <w:ind w:firstLine="420" w:firstLineChars="200"/>
              <w:textAlignment w:val="auto"/>
              <w:rPr>
                <w:rFonts w:hint="eastAsia" w:ascii="Times New Roman" w:hAnsi="Times New Roman"/>
                <w:b w:val="0"/>
                <w:bCs/>
                <w:color w:val="auto"/>
              </w:rPr>
            </w:pPr>
            <w:r>
              <w:rPr>
                <w:rFonts w:hint="eastAsia" w:ascii="Times New Roman" w:hAnsi="Times New Roman"/>
                <w:b w:val="0"/>
                <w:bCs/>
                <w:color w:val="auto"/>
              </w:rPr>
              <w:t>河湖长制已进入全面强化、标本兼治、打造幸福河湖的3.0版本，河湖长制工作正处于由“有名有责”向“有能有效”转变的重要阶段。幸福河湖建设既是贯彻落实习近平总书记伟大号召的具体行动，也加快推动河湖长制3.0版打造的目标任务和重要抓手。牢牢把握人民群众对美好生活的向往，将一条河流、一个湖泊、一个流域、一片区域真正建成幸福河湖，助推河湖长制“能效”提级依然任重道远。</w:t>
            </w:r>
          </w:p>
          <w:p w14:paraId="013AE374">
            <w:pPr>
              <w:keepNext w:val="0"/>
              <w:keepLines w:val="0"/>
              <w:pageBreakBefore w:val="0"/>
              <w:kinsoku/>
              <w:wordWrap/>
              <w:overflowPunct/>
              <w:topLinePunct w:val="0"/>
              <w:bidi w:val="0"/>
              <w:adjustRightInd w:val="0"/>
              <w:snapToGrid w:val="0"/>
              <w:spacing w:line="240" w:lineRule="auto"/>
              <w:ind w:firstLine="420" w:firstLineChars="200"/>
              <w:textAlignment w:val="auto"/>
              <w:rPr>
                <w:rFonts w:hint="eastAsia" w:ascii="Times New Roman" w:hAnsi="Times New Roman"/>
                <w:b w:val="0"/>
                <w:bCs/>
                <w:color w:val="auto"/>
              </w:rPr>
            </w:pPr>
            <w:r>
              <w:rPr>
                <w:rFonts w:hint="eastAsia" w:ascii="Times New Roman" w:hAnsi="Times New Roman"/>
                <w:b w:val="0"/>
                <w:bCs/>
                <w:color w:val="auto"/>
              </w:rPr>
              <w:t>为全面落实党中央、国务院关于强化河湖长制的决策部署，按照省委、省政府关于全面推行河长制的部署要求，总结推广近年来幸福河湖示范建设经验做法，探索实践河湖长制“有能有效”实现路径。2022年5月，安徽省河长办印发《关于开展河湖长制能效提级县建设的通知》，在全国创新提出建设河湖长制“能效”提级县；2023年2月，安徽省河长办印发《关于开展第二批河湖长制能效提级县建设的通知》，开展第二批河湖长制能效提级县建设。制定《河湖长制能效提级县成效评估规范》有助于进一步明确河湖长制能效提级的创建标准和要求，助力河湖长制提档升级。</w:t>
            </w:r>
          </w:p>
          <w:p w14:paraId="705310C2">
            <w:pPr>
              <w:keepNext w:val="0"/>
              <w:keepLines w:val="0"/>
              <w:pageBreakBefore w:val="0"/>
              <w:kinsoku/>
              <w:wordWrap/>
              <w:overflowPunct/>
              <w:topLinePunct w:val="0"/>
              <w:bidi w:val="0"/>
              <w:adjustRightInd w:val="0"/>
              <w:snapToGrid w:val="0"/>
              <w:spacing w:line="240" w:lineRule="auto"/>
              <w:ind w:firstLine="420" w:firstLineChars="200"/>
              <w:textAlignment w:val="auto"/>
              <w:rPr>
                <w:rFonts w:ascii="Times New Roman" w:hAnsi="Times New Roman"/>
                <w:b w:val="0"/>
                <w:bCs/>
                <w:color w:val="auto"/>
              </w:rPr>
            </w:pPr>
            <w:r>
              <w:rPr>
                <w:rFonts w:hint="eastAsia" w:ascii="Times New Roman" w:hAnsi="Times New Roman"/>
                <w:b w:val="0"/>
                <w:bCs/>
                <w:color w:val="auto"/>
              </w:rPr>
              <w:t>开展“能效”提级县建设，是我省推动河湖长制“有能有效”的重要举措和有益创新。2024年1月28日，全省水利工作会议明确，今年将持续推进河湖长制“能效”提级县建设。目前，我省第一批河湖长制能效提级县建设正处于评</w:t>
            </w:r>
            <w:r>
              <w:rPr>
                <w:rFonts w:hint="eastAsia" w:ascii="Times New Roman" w:hAnsi="Times New Roman"/>
                <w:b w:val="0"/>
                <w:bCs/>
                <w:color w:val="auto"/>
                <w:lang w:eastAsia="zh-CN"/>
              </w:rPr>
              <w:t>估</w:t>
            </w:r>
            <w:r>
              <w:rPr>
                <w:rFonts w:hint="eastAsia" w:ascii="Times New Roman" w:hAnsi="Times New Roman"/>
                <w:b w:val="0"/>
                <w:bCs/>
                <w:color w:val="auto"/>
              </w:rPr>
              <w:t>阶段，第二批正处于创建阶段，第三批处于申报阶段。通过起草《河湖长制能效提级县成效评估规范》，明确开展河湖长制能效提级建设所需达到的各项条件，对能效提级成效进行科学核验，以达到规范河湖长制能效提级建设工作的目的，切实体现河湖长制发展成效，维护河湖健康、保障国家水安全，提升社会综合服务水平，使得人民幸福感、获得感、安全感进一步增强。</w:t>
            </w:r>
          </w:p>
          <w:p w14:paraId="6B2571A9">
            <w:pPr>
              <w:pStyle w:val="14"/>
              <w:keepNext w:val="0"/>
              <w:keepLines w:val="0"/>
              <w:pageBreakBefore w:val="0"/>
              <w:kinsoku/>
              <w:wordWrap/>
              <w:overflowPunct/>
              <w:topLinePunct w:val="0"/>
              <w:bidi w:val="0"/>
              <w:adjustRightInd w:val="0"/>
              <w:snapToGrid w:val="0"/>
              <w:spacing w:line="240" w:lineRule="auto"/>
              <w:ind w:firstLine="0" w:firstLineChars="0"/>
              <w:contextualSpacing/>
              <w:textAlignment w:val="auto"/>
              <w:rPr>
                <w:rFonts w:ascii="Times New Roman" w:hAnsi="Times New Roman"/>
                <w:b/>
                <w:color w:val="auto"/>
                <w:szCs w:val="21"/>
              </w:rPr>
            </w:pPr>
            <w:r>
              <w:rPr>
                <w:rFonts w:hint="eastAsia" w:ascii="Times New Roman" w:hAnsi="Times New Roman"/>
                <w:b/>
                <w:color w:val="auto"/>
                <w:szCs w:val="21"/>
              </w:rPr>
              <w:t>意义：</w:t>
            </w:r>
          </w:p>
          <w:p w14:paraId="46DD284B">
            <w:pPr>
              <w:keepNext w:val="0"/>
              <w:keepLines w:val="0"/>
              <w:pageBreakBefore w:val="0"/>
              <w:kinsoku/>
              <w:wordWrap/>
              <w:overflowPunct/>
              <w:topLinePunct w:val="0"/>
              <w:bidi w:val="0"/>
              <w:adjustRightInd w:val="0"/>
              <w:snapToGrid w:val="0"/>
              <w:spacing w:line="240" w:lineRule="auto"/>
              <w:ind w:firstLine="420" w:firstLineChars="200"/>
              <w:textAlignment w:val="auto"/>
              <w:rPr>
                <w:rFonts w:ascii="Times New Roman" w:hAnsi="Times New Roman"/>
                <w:color w:val="auto"/>
              </w:rPr>
            </w:pPr>
            <w:r>
              <w:rPr>
                <w:rFonts w:hint="eastAsia" w:ascii="Times New Roman" w:hAnsi="Times New Roman"/>
                <w:color w:val="auto"/>
                <w:shd w:val="clear" w:color="auto" w:fill="FFFFFF"/>
              </w:rPr>
              <w:t>《河湖长制能效提级县成效评估规范》以有河湖长制能效提级县建设任务的县（市、区）</w:t>
            </w:r>
            <w:r>
              <w:rPr>
                <w:rFonts w:hint="eastAsia" w:ascii="Times New Roman" w:hAnsi="Times New Roman"/>
                <w:color w:val="auto"/>
                <w:shd w:val="clear" w:color="auto" w:fill="FFFFFF"/>
                <w:lang w:eastAsia="zh-CN"/>
              </w:rPr>
              <w:t>为评估对象</w:t>
            </w:r>
            <w:r>
              <w:rPr>
                <w:rFonts w:hint="eastAsia" w:ascii="Times New Roman" w:hAnsi="Times New Roman"/>
                <w:color w:val="auto"/>
                <w:shd w:val="clear" w:color="auto" w:fill="FFFFFF"/>
              </w:rPr>
              <w:t>，规定了河湖长制能效提级县术语和定义、基本要求、评估指标、评估方法、评估流程与方式、评估报告编制等，意义总结如下：</w:t>
            </w:r>
          </w:p>
          <w:p w14:paraId="4E79BA16">
            <w:pPr>
              <w:keepNext w:val="0"/>
              <w:keepLines w:val="0"/>
              <w:pageBreakBefore w:val="0"/>
              <w:kinsoku/>
              <w:wordWrap/>
              <w:overflowPunct/>
              <w:topLinePunct w:val="0"/>
              <w:bidi w:val="0"/>
              <w:adjustRightInd w:val="0"/>
              <w:snapToGrid w:val="0"/>
              <w:spacing w:line="240" w:lineRule="auto"/>
              <w:ind w:firstLine="422"/>
              <w:textAlignment w:val="auto"/>
              <w:rPr>
                <w:rFonts w:ascii="Times New Roman" w:hAnsi="Times New Roman"/>
                <w:color w:val="auto"/>
                <w:shd w:val="clear" w:color="auto" w:fill="FFFFFF"/>
              </w:rPr>
            </w:pPr>
            <w:r>
              <w:rPr>
                <w:rFonts w:hint="eastAsia" w:ascii="Times New Roman" w:hAnsi="Times New Roman"/>
                <w:color w:val="auto"/>
                <w:shd w:val="clear" w:color="auto" w:fill="FFFFFF"/>
                <w:lang w:eastAsia="zh-CN"/>
              </w:rPr>
              <w:t>（</w:t>
            </w:r>
            <w:r>
              <w:rPr>
                <w:rFonts w:hint="eastAsia" w:ascii="Times New Roman" w:hAnsi="Times New Roman"/>
                <w:color w:val="auto"/>
                <w:shd w:val="clear" w:color="auto" w:fill="FFFFFF"/>
                <w:lang w:val="en-US" w:eastAsia="zh-CN"/>
              </w:rPr>
              <w:t>1</w:t>
            </w:r>
            <w:r>
              <w:rPr>
                <w:rFonts w:hint="eastAsia" w:ascii="Times New Roman" w:hAnsi="Times New Roman"/>
                <w:color w:val="auto"/>
                <w:shd w:val="clear" w:color="auto" w:fill="FFFFFF"/>
                <w:lang w:eastAsia="zh-CN"/>
              </w:rPr>
              <w:t>）填补标准空白。</w:t>
            </w:r>
            <w:r>
              <w:rPr>
                <w:rFonts w:hint="eastAsia" w:ascii="Times New Roman" w:hAnsi="Times New Roman"/>
                <w:color w:val="auto"/>
                <w:shd w:val="clear" w:color="auto" w:fill="FFFFFF"/>
              </w:rPr>
              <w:t>该</w:t>
            </w:r>
            <w:r>
              <w:rPr>
                <w:rFonts w:hint="eastAsia" w:ascii="Times New Roman" w:hAnsi="Times New Roman"/>
                <w:color w:val="auto"/>
                <w:shd w:val="clear" w:color="auto" w:fill="FFFFFF"/>
                <w:lang w:eastAsia="zh-CN"/>
              </w:rPr>
              <w:t>文件</w:t>
            </w:r>
            <w:r>
              <w:rPr>
                <w:rFonts w:hint="eastAsia" w:ascii="Times New Roman" w:hAnsi="Times New Roman"/>
                <w:color w:val="auto"/>
                <w:shd w:val="clear" w:color="auto" w:fill="FFFFFF"/>
              </w:rPr>
              <w:t>的编制印发将填补安徽省</w:t>
            </w:r>
            <w:r>
              <w:rPr>
                <w:rFonts w:hint="eastAsia" w:ascii="Times New Roman" w:hAnsi="Times New Roman"/>
                <w:color w:val="auto"/>
                <w:shd w:val="clear" w:color="auto" w:fill="FFFFFF"/>
                <w:lang w:eastAsia="zh-CN"/>
              </w:rPr>
              <w:t>河湖长制能效提级县有关</w:t>
            </w:r>
            <w:r>
              <w:rPr>
                <w:rFonts w:hint="eastAsia" w:ascii="Times New Roman" w:hAnsi="Times New Roman"/>
                <w:color w:val="auto"/>
                <w:shd w:val="clear" w:color="auto" w:fill="FFFFFF"/>
              </w:rPr>
              <w:t>规范和标准的空白，</w:t>
            </w:r>
            <w:r>
              <w:rPr>
                <w:rFonts w:hint="eastAsia" w:ascii="Times New Roman" w:hAnsi="Times New Roman"/>
                <w:color w:val="auto"/>
                <w:shd w:val="clear" w:color="auto" w:fill="FFFFFF"/>
                <w:lang w:eastAsia="zh-CN"/>
              </w:rPr>
              <w:t>对安徽省河湖长制能效提级县的建设进行规范和指导</w:t>
            </w:r>
            <w:r>
              <w:rPr>
                <w:rFonts w:hint="eastAsia" w:ascii="Times New Roman" w:hAnsi="Times New Roman"/>
                <w:color w:val="auto"/>
                <w:shd w:val="clear" w:color="auto" w:fill="FFFFFF"/>
              </w:rPr>
              <w:t>。</w:t>
            </w:r>
          </w:p>
          <w:p w14:paraId="1A08FA9A">
            <w:pPr>
              <w:keepNext w:val="0"/>
              <w:keepLines w:val="0"/>
              <w:pageBreakBefore w:val="0"/>
              <w:kinsoku/>
              <w:wordWrap/>
              <w:overflowPunct/>
              <w:topLinePunct w:val="0"/>
              <w:bidi w:val="0"/>
              <w:adjustRightInd w:val="0"/>
              <w:snapToGrid w:val="0"/>
              <w:spacing w:line="240" w:lineRule="auto"/>
              <w:ind w:firstLine="422"/>
              <w:textAlignment w:val="auto"/>
              <w:rPr>
                <w:rFonts w:ascii="Times New Roman" w:hAnsi="Times New Roman"/>
                <w:color w:val="auto"/>
                <w:shd w:val="clear" w:color="auto" w:fill="FFFFFF"/>
              </w:rPr>
            </w:pPr>
            <w:r>
              <w:rPr>
                <w:rFonts w:hint="eastAsia" w:ascii="Times New Roman" w:hAnsi="Times New Roman"/>
                <w:b w:val="0"/>
                <w:bCs/>
                <w:color w:val="auto"/>
                <w:shd w:val="clear" w:color="auto" w:fill="FFFFFF"/>
                <w:lang w:eastAsia="zh-CN"/>
              </w:rPr>
              <w:t>（</w:t>
            </w:r>
            <w:r>
              <w:rPr>
                <w:rFonts w:hint="eastAsia" w:ascii="Times New Roman" w:hAnsi="Times New Roman"/>
                <w:b w:val="0"/>
                <w:bCs/>
                <w:color w:val="auto"/>
                <w:shd w:val="clear" w:color="auto" w:fill="FFFFFF"/>
                <w:lang w:val="en-US" w:eastAsia="zh-CN"/>
              </w:rPr>
              <w:t>2</w:t>
            </w:r>
            <w:r>
              <w:rPr>
                <w:rFonts w:hint="eastAsia" w:ascii="Times New Roman" w:hAnsi="Times New Roman"/>
                <w:b w:val="0"/>
                <w:bCs/>
                <w:color w:val="auto"/>
                <w:shd w:val="clear" w:color="auto" w:fill="FFFFFF"/>
                <w:lang w:eastAsia="zh-CN"/>
              </w:rPr>
              <w:t>）</w:t>
            </w:r>
            <w:r>
              <w:rPr>
                <w:rFonts w:hint="eastAsia" w:ascii="Times New Roman" w:hAnsi="Times New Roman"/>
                <w:b w:val="0"/>
                <w:bCs/>
                <w:color w:val="auto"/>
                <w:shd w:val="clear" w:color="auto" w:fill="FFFFFF"/>
              </w:rPr>
              <w:t>提供</w:t>
            </w:r>
            <w:r>
              <w:rPr>
                <w:rFonts w:hint="eastAsia" w:ascii="Times New Roman" w:hAnsi="Times New Roman"/>
                <w:b w:val="0"/>
                <w:bCs/>
                <w:color w:val="auto"/>
                <w:shd w:val="clear" w:color="auto" w:fill="FFFFFF"/>
                <w:lang w:eastAsia="zh-CN"/>
              </w:rPr>
              <w:t>工作</w:t>
            </w:r>
            <w:r>
              <w:rPr>
                <w:rFonts w:hint="eastAsia" w:ascii="Times New Roman" w:hAnsi="Times New Roman"/>
                <w:b w:val="0"/>
                <w:bCs/>
                <w:color w:val="auto"/>
                <w:shd w:val="clear" w:color="auto" w:fill="FFFFFF"/>
              </w:rPr>
              <w:t>依据</w:t>
            </w:r>
            <w:r>
              <w:rPr>
                <w:rFonts w:hint="eastAsia" w:ascii="Times New Roman" w:hAnsi="Times New Roman"/>
                <w:b w:val="0"/>
                <w:bCs/>
                <w:color w:val="auto"/>
                <w:shd w:val="clear" w:color="auto" w:fill="FFFFFF"/>
                <w:lang w:eastAsia="zh-CN"/>
              </w:rPr>
              <w:t>。</w:t>
            </w:r>
            <w:r>
              <w:rPr>
                <w:rFonts w:hint="eastAsia" w:ascii="Times New Roman" w:hAnsi="Times New Roman"/>
                <w:color w:val="auto"/>
                <w:shd w:val="clear" w:color="auto" w:fill="FFFFFF"/>
              </w:rPr>
              <w:t>该</w:t>
            </w:r>
            <w:r>
              <w:rPr>
                <w:rFonts w:hint="eastAsia" w:ascii="Times New Roman" w:hAnsi="Times New Roman"/>
                <w:color w:val="auto"/>
                <w:shd w:val="clear" w:color="auto" w:fill="FFFFFF"/>
                <w:lang w:eastAsia="zh-CN"/>
              </w:rPr>
              <w:t>文件成果直接服务于我省河湖长制能效提级工作涉及的各个主体、各个环节、各个阶段，</w:t>
            </w:r>
            <w:r>
              <w:rPr>
                <w:rFonts w:hint="eastAsia" w:ascii="Times New Roman" w:hAnsi="Times New Roman"/>
                <w:color w:val="auto"/>
                <w:shd w:val="clear" w:color="auto" w:fill="FFFFFF"/>
              </w:rPr>
              <w:t>为安徽省</w:t>
            </w:r>
            <w:r>
              <w:rPr>
                <w:rFonts w:hint="eastAsia" w:ascii="Times New Roman" w:hAnsi="Times New Roman"/>
                <w:color w:val="auto"/>
                <w:shd w:val="clear" w:color="auto" w:fill="FFFFFF"/>
                <w:lang w:eastAsia="zh-CN"/>
              </w:rPr>
              <w:t>河湖长制能效提级县建设工作提供依据。</w:t>
            </w:r>
          </w:p>
          <w:p w14:paraId="332A9848">
            <w:pPr>
              <w:keepNext w:val="0"/>
              <w:keepLines w:val="0"/>
              <w:pageBreakBefore w:val="0"/>
              <w:kinsoku/>
              <w:wordWrap/>
              <w:overflowPunct/>
              <w:topLinePunct w:val="0"/>
              <w:bidi w:val="0"/>
              <w:adjustRightInd w:val="0"/>
              <w:snapToGrid w:val="0"/>
              <w:spacing w:line="240" w:lineRule="auto"/>
              <w:ind w:firstLine="422"/>
              <w:textAlignment w:val="auto"/>
              <w:rPr>
                <w:rFonts w:ascii="Times New Roman" w:hAnsi="Times New Roman"/>
                <w:b/>
                <w:szCs w:val="21"/>
              </w:rPr>
            </w:pPr>
            <w:r>
              <w:rPr>
                <w:rFonts w:hint="eastAsia" w:ascii="Times New Roman" w:hAnsi="Times New Roman"/>
                <w:b w:val="0"/>
                <w:bCs/>
                <w:color w:val="auto"/>
                <w:shd w:val="clear" w:color="auto" w:fill="FFFFFF"/>
              </w:rPr>
              <w:t>（</w:t>
            </w:r>
            <w:r>
              <w:rPr>
                <w:rFonts w:hint="eastAsia" w:ascii="Times New Roman" w:hAnsi="Times New Roman"/>
                <w:b w:val="0"/>
                <w:bCs/>
                <w:color w:val="auto"/>
                <w:shd w:val="clear" w:color="auto" w:fill="FFFFFF"/>
                <w:lang w:val="en-US" w:eastAsia="zh-CN"/>
              </w:rPr>
              <w:t>3</w:t>
            </w:r>
            <w:r>
              <w:rPr>
                <w:rFonts w:hint="eastAsia" w:ascii="Times New Roman" w:hAnsi="Times New Roman"/>
                <w:b w:val="0"/>
                <w:bCs/>
                <w:color w:val="auto"/>
                <w:shd w:val="clear" w:color="auto" w:fill="FFFFFF"/>
              </w:rPr>
              <w:t>）</w:t>
            </w:r>
            <w:r>
              <w:rPr>
                <w:rFonts w:hint="eastAsia" w:ascii="Times New Roman" w:hAnsi="Times New Roman"/>
                <w:b w:val="0"/>
                <w:bCs/>
                <w:color w:val="auto"/>
                <w:shd w:val="clear" w:color="auto" w:fill="FFFFFF"/>
                <w:lang w:eastAsia="zh-CN"/>
              </w:rPr>
              <w:t>突显安徽特色。</w:t>
            </w:r>
            <w:r>
              <w:rPr>
                <w:rFonts w:hint="eastAsia" w:ascii="Times New Roman" w:hAnsi="Times New Roman"/>
                <w:b w:val="0"/>
                <w:bCs/>
                <w:color w:val="auto"/>
                <w:shd w:val="clear" w:color="auto" w:fill="FFFFFF"/>
              </w:rPr>
              <w:t>该</w:t>
            </w:r>
            <w:r>
              <w:rPr>
                <w:rFonts w:hint="eastAsia" w:ascii="Times New Roman" w:hAnsi="Times New Roman"/>
                <w:color w:val="auto"/>
                <w:shd w:val="clear" w:color="auto" w:fill="FFFFFF"/>
                <w:lang w:eastAsia="zh-CN"/>
              </w:rPr>
              <w:t>文件</w:t>
            </w:r>
            <w:r>
              <w:rPr>
                <w:rFonts w:hint="eastAsia" w:ascii="Times New Roman" w:hAnsi="Times New Roman"/>
                <w:color w:val="auto"/>
                <w:shd w:val="clear" w:color="auto" w:fill="FFFFFF"/>
              </w:rPr>
              <w:t>结合安徽省实际情况进行特色化编制，</w:t>
            </w:r>
            <w:r>
              <w:rPr>
                <w:rFonts w:hint="eastAsia" w:ascii="Times New Roman" w:hAnsi="Times New Roman"/>
                <w:color w:val="auto"/>
                <w:shd w:val="clear" w:color="auto" w:fill="FFFFFF"/>
                <w:lang w:eastAsia="zh-CN"/>
              </w:rPr>
              <w:t>能效提级县建设是我省为探索打造河湖长制升级版的创新做法，在指标设置和赋分时，充分考虑了安徽的地域特色，有关内容</w:t>
            </w:r>
            <w:r>
              <w:rPr>
                <w:rFonts w:hint="eastAsia" w:ascii="Times New Roman" w:hAnsi="Times New Roman"/>
                <w:color w:val="auto"/>
                <w:shd w:val="clear" w:color="auto" w:fill="FFFFFF"/>
              </w:rPr>
              <w:t>可为其他省市</w:t>
            </w:r>
            <w:r>
              <w:rPr>
                <w:rFonts w:hint="eastAsia" w:ascii="Times New Roman" w:hAnsi="Times New Roman"/>
                <w:color w:val="auto"/>
                <w:shd w:val="clear" w:color="auto" w:fill="FFFFFF"/>
                <w:lang w:eastAsia="zh-CN"/>
              </w:rPr>
              <w:t>探索河湖长制升级版打造</w:t>
            </w:r>
            <w:r>
              <w:rPr>
                <w:rFonts w:hint="eastAsia" w:ascii="Times New Roman" w:hAnsi="Times New Roman"/>
                <w:color w:val="auto"/>
                <w:shd w:val="clear" w:color="auto" w:fill="FFFFFF"/>
              </w:rPr>
              <w:t>提供直观明确、适宜的参照样本</w:t>
            </w:r>
            <w:r>
              <w:rPr>
                <w:rFonts w:hint="eastAsia" w:ascii="Times New Roman" w:hAnsi="Times New Roman"/>
                <w:color w:val="auto"/>
                <w:shd w:val="clear" w:color="auto" w:fill="FFFFFF"/>
                <w:lang w:eastAsia="zh-CN"/>
              </w:rPr>
              <w:t>与借鉴参考</w:t>
            </w:r>
            <w:r>
              <w:rPr>
                <w:rFonts w:hint="eastAsia" w:ascii="Times New Roman" w:hAnsi="Times New Roman"/>
                <w:color w:val="auto"/>
                <w:shd w:val="clear" w:color="auto" w:fill="FFFFFF"/>
              </w:rPr>
              <w:t>。</w:t>
            </w:r>
          </w:p>
        </w:tc>
      </w:tr>
      <w:tr w14:paraId="20FC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9CB452C">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szCs w:val="21"/>
              </w:rPr>
              <w:t>3、制定标准的原则和依据，与现行法律法规、标准的关系</w:t>
            </w:r>
          </w:p>
        </w:tc>
      </w:tr>
      <w:tr w14:paraId="48E9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519D944C">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color w:val="auto"/>
              </w:rPr>
            </w:pPr>
            <w:r>
              <w:rPr>
                <w:rFonts w:hint="eastAsia" w:ascii="Times New Roman" w:hAnsi="Times New Roman"/>
                <w:color w:val="auto"/>
              </w:rPr>
              <w:t>标准编制遵循“科学性、实用性、统一性、规范性”的原则，并注重标准的可操作性。</w:t>
            </w:r>
          </w:p>
          <w:p w14:paraId="3E8F99AE">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color w:val="auto"/>
              </w:rPr>
            </w:pPr>
            <w:r>
              <w:rPr>
                <w:rFonts w:hint="eastAsia" w:ascii="Times New Roman" w:hAnsi="Times New Roman"/>
                <w:color w:val="auto"/>
                <w:lang w:eastAsia="zh-CN"/>
              </w:rPr>
              <w:t>（</w:t>
            </w:r>
            <w:r>
              <w:rPr>
                <w:rFonts w:hint="eastAsia" w:ascii="Times New Roman" w:hAnsi="Times New Roman"/>
                <w:color w:val="auto"/>
                <w:lang w:val="en-US" w:eastAsia="zh-CN"/>
              </w:rPr>
              <w:t>1</w:t>
            </w:r>
            <w:r>
              <w:rPr>
                <w:rFonts w:hint="eastAsia" w:ascii="Times New Roman" w:hAnsi="Times New Roman"/>
                <w:color w:val="auto"/>
                <w:lang w:eastAsia="zh-CN"/>
              </w:rPr>
              <w:t>）</w:t>
            </w:r>
            <w:r>
              <w:rPr>
                <w:rFonts w:hint="eastAsia" w:ascii="Times New Roman" w:hAnsi="Times New Roman"/>
                <w:color w:val="auto"/>
              </w:rPr>
              <w:t>认真贯彻国家有关法律法规和方针政策。标准中的所有规定，均不与现行法律和法规相违背。</w:t>
            </w:r>
          </w:p>
          <w:p w14:paraId="6670F75D">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color w:val="auto"/>
              </w:rPr>
            </w:pPr>
            <w:r>
              <w:rPr>
                <w:rFonts w:hint="eastAsia" w:ascii="Times New Roman" w:hAnsi="Times New Roman"/>
                <w:color w:val="auto"/>
                <w:lang w:eastAsia="zh-CN"/>
              </w:rPr>
              <w:t>（</w:t>
            </w:r>
            <w:r>
              <w:rPr>
                <w:rFonts w:hint="eastAsia" w:ascii="Times New Roman" w:hAnsi="Times New Roman"/>
                <w:color w:val="auto"/>
                <w:lang w:val="en-US" w:eastAsia="zh-CN"/>
              </w:rPr>
              <w:t>2</w:t>
            </w:r>
            <w:r>
              <w:rPr>
                <w:rFonts w:hint="eastAsia" w:ascii="Times New Roman" w:hAnsi="Times New Roman"/>
                <w:color w:val="auto"/>
                <w:lang w:eastAsia="zh-CN"/>
              </w:rPr>
              <w:t>）</w:t>
            </w:r>
            <w:r>
              <w:rPr>
                <w:rFonts w:hint="eastAsia" w:ascii="Times New Roman" w:hAnsi="Times New Roman"/>
                <w:color w:val="auto"/>
              </w:rPr>
              <w:t>充分考虑使用要求，并兼顾全社会的综合效益。</w:t>
            </w:r>
          </w:p>
          <w:p w14:paraId="6DBCE8A0">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color w:val="auto"/>
              </w:rPr>
            </w:pPr>
            <w:r>
              <w:rPr>
                <w:rFonts w:hint="eastAsia" w:ascii="Times New Roman" w:hAnsi="Times New Roman"/>
                <w:color w:val="auto"/>
                <w:lang w:eastAsia="zh-CN"/>
              </w:rPr>
              <w:t>（</w:t>
            </w:r>
            <w:r>
              <w:rPr>
                <w:rFonts w:hint="eastAsia" w:ascii="Times New Roman" w:hAnsi="Times New Roman"/>
                <w:color w:val="auto"/>
                <w:lang w:val="en-US" w:eastAsia="zh-CN"/>
              </w:rPr>
              <w:t>3</w:t>
            </w:r>
            <w:r>
              <w:rPr>
                <w:rFonts w:hint="eastAsia" w:ascii="Times New Roman" w:hAnsi="Times New Roman"/>
                <w:color w:val="auto"/>
                <w:lang w:eastAsia="zh-CN"/>
              </w:rPr>
              <w:t>）</w:t>
            </w:r>
            <w:r>
              <w:rPr>
                <w:rFonts w:hint="eastAsia" w:ascii="Times New Roman" w:hAnsi="Times New Roman"/>
                <w:color w:val="auto"/>
              </w:rPr>
              <w:t>合理利用国家资源，推广先进技术成果，在符合使用要求的情况下，有利于标准对象的简化、选优、通用和互换，做到技术上先进、经济上合理。</w:t>
            </w:r>
          </w:p>
          <w:p w14:paraId="657FB02A">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color w:val="auto"/>
              </w:rPr>
            </w:pPr>
            <w:r>
              <w:rPr>
                <w:rFonts w:hint="eastAsia" w:ascii="Times New Roman" w:hAnsi="Times New Roman"/>
                <w:color w:val="auto"/>
                <w:lang w:eastAsia="zh-CN"/>
              </w:rPr>
              <w:t>（</w:t>
            </w:r>
            <w:r>
              <w:rPr>
                <w:rFonts w:hint="eastAsia" w:ascii="Times New Roman" w:hAnsi="Times New Roman"/>
                <w:color w:val="auto"/>
                <w:lang w:val="en-US" w:eastAsia="zh-CN"/>
              </w:rPr>
              <w:t>4</w:t>
            </w:r>
            <w:r>
              <w:rPr>
                <w:rFonts w:hint="eastAsia" w:ascii="Times New Roman" w:hAnsi="Times New Roman"/>
                <w:color w:val="auto"/>
                <w:lang w:eastAsia="zh-CN"/>
              </w:rPr>
              <w:t>）</w:t>
            </w:r>
            <w:r>
              <w:rPr>
                <w:rFonts w:hint="eastAsia" w:ascii="Times New Roman" w:hAnsi="Times New Roman"/>
                <w:color w:val="auto"/>
              </w:rPr>
              <w:t>相关标准要协调配套。制定标准要考虑有利于标准体系的建立和不断完善。</w:t>
            </w:r>
          </w:p>
          <w:p w14:paraId="06ECAABD">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ascii="Times New Roman" w:hAnsi="Times New Roman"/>
                <w:color w:val="auto"/>
              </w:rPr>
            </w:pPr>
            <w:r>
              <w:rPr>
                <w:rFonts w:hint="eastAsia" w:ascii="Times New Roman" w:hAnsi="Times New Roman"/>
                <w:color w:val="auto"/>
                <w:lang w:eastAsia="zh-CN"/>
              </w:rPr>
              <w:t>（</w:t>
            </w:r>
            <w:r>
              <w:rPr>
                <w:rFonts w:hint="eastAsia" w:ascii="Times New Roman" w:hAnsi="Times New Roman"/>
                <w:color w:val="auto"/>
                <w:lang w:val="en-US" w:eastAsia="zh-CN"/>
              </w:rPr>
              <w:t>5</w:t>
            </w:r>
            <w:r>
              <w:rPr>
                <w:rFonts w:hint="eastAsia" w:ascii="Times New Roman" w:hAnsi="Times New Roman"/>
                <w:color w:val="auto"/>
                <w:lang w:eastAsia="zh-CN"/>
              </w:rPr>
              <w:t>）</w:t>
            </w:r>
            <w:r>
              <w:rPr>
                <w:rFonts w:hint="eastAsia" w:ascii="Times New Roman" w:hAnsi="Times New Roman"/>
                <w:color w:val="auto"/>
              </w:rPr>
              <w:t>有利于保障社会安全和人民身体健康，保护消费者利益，保护环境。</w:t>
            </w:r>
          </w:p>
          <w:p w14:paraId="3642393E">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ascii="Times New Roman" w:hAnsi="Times New Roman"/>
              </w:rPr>
            </w:pPr>
            <w:r>
              <w:rPr>
                <w:rFonts w:hint="eastAsia" w:ascii="Times New Roman" w:hAnsi="Times New Roman"/>
              </w:rPr>
              <w:t>本</w:t>
            </w:r>
            <w:r>
              <w:rPr>
                <w:rFonts w:hint="eastAsia" w:ascii="Times New Roman" w:hAnsi="Times New Roman"/>
                <w:lang w:eastAsia="zh-CN"/>
              </w:rPr>
              <w:t>文件</w:t>
            </w:r>
            <w:r>
              <w:rPr>
                <w:rFonts w:hint="eastAsia" w:ascii="Times New Roman" w:hAnsi="Times New Roman"/>
              </w:rPr>
              <w:t>内容通过文中的规范性引用而构成本文件必不可少的条款。其中，凡是标注日期的引用文件,仅该日期对应的版本适用于本文件。不注日期的引用文件，其最新版本(包括所有的修改单)适用于本文件。</w:t>
            </w:r>
          </w:p>
          <w:p w14:paraId="750B2F6F">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rPr>
            </w:pPr>
            <w:r>
              <w:rPr>
                <w:rFonts w:hint="eastAsia" w:ascii="Times New Roman" w:hAnsi="Times New Roman"/>
              </w:rPr>
              <w:t>GB 3838 地表水环境质量标准</w:t>
            </w:r>
          </w:p>
          <w:p w14:paraId="7C1E3C41">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rPr>
            </w:pPr>
            <w:r>
              <w:rPr>
                <w:rFonts w:hint="eastAsia" w:ascii="Times New Roman" w:hAnsi="Times New Roman"/>
              </w:rPr>
              <w:t>GB 50201 防洪标准</w:t>
            </w:r>
          </w:p>
          <w:p w14:paraId="696DC6BE">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rPr>
            </w:pPr>
            <w:r>
              <w:rPr>
                <w:rFonts w:hint="eastAsia" w:ascii="Times New Roman" w:hAnsi="Times New Roman"/>
              </w:rPr>
              <w:t>SL 219 水环境监测规范</w:t>
            </w:r>
          </w:p>
          <w:p w14:paraId="12F014D1">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rPr>
            </w:pPr>
            <w:r>
              <w:rPr>
                <w:rFonts w:hint="eastAsia" w:ascii="Times New Roman" w:hAnsi="Times New Roman"/>
              </w:rPr>
              <w:t>SL 395 地表水资源质量评价技术规程</w:t>
            </w:r>
          </w:p>
          <w:p w14:paraId="0477CB1D">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rPr>
            </w:pPr>
            <w:r>
              <w:rPr>
                <w:rFonts w:hint="eastAsia" w:ascii="Times New Roman" w:hAnsi="Times New Roman"/>
              </w:rPr>
              <w:t>SL 723 治涝标准</w:t>
            </w:r>
          </w:p>
          <w:p w14:paraId="5B45C061">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rPr>
            </w:pPr>
            <w:r>
              <w:rPr>
                <w:rFonts w:hint="eastAsia" w:ascii="Times New Roman" w:hAnsi="Times New Roman"/>
              </w:rPr>
              <w:t>SL/T 793 河湖健康评估技术导则</w:t>
            </w:r>
          </w:p>
          <w:p w14:paraId="4B331A04">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rPr>
            </w:pPr>
            <w:r>
              <w:rPr>
                <w:rFonts w:hint="eastAsia" w:ascii="Times New Roman" w:hAnsi="Times New Roman"/>
              </w:rPr>
              <w:t>DB34/T 4412  河长湖长公示牌管理规范</w:t>
            </w:r>
          </w:p>
          <w:p w14:paraId="7B93E5E2">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hint="eastAsia" w:ascii="Times New Roman" w:hAnsi="Times New Roman"/>
              </w:rPr>
            </w:pPr>
            <w:r>
              <w:rPr>
                <w:rFonts w:hint="eastAsia" w:ascii="Times New Roman" w:hAnsi="Times New Roman"/>
              </w:rPr>
              <w:t>DB34/T 4413  河湖长制工作导则</w:t>
            </w:r>
          </w:p>
          <w:p w14:paraId="23132ADD">
            <w:pPr>
              <w:pStyle w:val="14"/>
              <w:keepNext w:val="0"/>
              <w:keepLines w:val="0"/>
              <w:pageBreakBefore w:val="0"/>
              <w:widowControl/>
              <w:kinsoku/>
              <w:wordWrap/>
              <w:overflowPunct/>
              <w:topLinePunct w:val="0"/>
              <w:autoSpaceDE w:val="0"/>
              <w:autoSpaceDN w:val="0"/>
              <w:bidi w:val="0"/>
              <w:adjustRightInd/>
              <w:snapToGrid w:val="0"/>
              <w:spacing w:line="240" w:lineRule="auto"/>
              <w:textAlignment w:val="auto"/>
              <w:rPr>
                <w:rFonts w:ascii="Times New Roman" w:hAnsi="Times New Roman"/>
              </w:rPr>
            </w:pPr>
            <w:r>
              <w:rPr>
                <w:rFonts w:hint="eastAsia" w:ascii="Times New Roman" w:hAnsi="Times New Roman"/>
              </w:rPr>
              <w:t>DB34/T 4493  幸福河湖评价导则</w:t>
            </w:r>
          </w:p>
        </w:tc>
      </w:tr>
      <w:tr w14:paraId="1658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F45EED8">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szCs w:val="21"/>
              </w:rPr>
              <w:t>4、主要条款的说明，主要技术指标、参数、试验验证的论述（</w:t>
            </w:r>
            <w:r>
              <w:rPr>
                <w:rFonts w:hint="eastAsia" w:ascii="Times New Roman" w:hAnsi="Times New Roman"/>
                <w:b/>
                <w:szCs w:val="21"/>
              </w:rPr>
              <w:t>详细说明</w:t>
            </w:r>
            <w:r>
              <w:rPr>
                <w:rFonts w:hint="eastAsia" w:ascii="Times New Roman" w:hAnsi="Times New Roman"/>
                <w:szCs w:val="21"/>
              </w:rPr>
              <w:t>）</w:t>
            </w:r>
          </w:p>
        </w:tc>
      </w:tr>
      <w:tr w14:paraId="2CCA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6" w:hRule="atLeast"/>
          <w:jc w:val="center"/>
        </w:trPr>
        <w:tc>
          <w:tcPr>
            <w:tcW w:w="9570" w:type="dxa"/>
            <w:gridSpan w:val="6"/>
            <w:vAlign w:val="center"/>
          </w:tcPr>
          <w:p w14:paraId="7E90F8A6">
            <w:pPr>
              <w:pStyle w:val="14"/>
              <w:adjustRightInd w:val="0"/>
              <w:spacing w:line="360" w:lineRule="auto"/>
              <w:ind w:firstLine="0" w:firstLineChars="0"/>
              <w:contextualSpacing/>
              <w:rPr>
                <w:rFonts w:ascii="Times New Roman" w:hAnsi="Times New Roman"/>
                <w:b/>
                <w:szCs w:val="21"/>
              </w:rPr>
            </w:pPr>
            <w:r>
              <w:rPr>
                <w:rFonts w:hint="eastAsia" w:ascii="Times New Roman" w:hAnsi="Times New Roman"/>
                <w:b/>
                <w:szCs w:val="21"/>
              </w:rPr>
              <w:t>主要条款：</w:t>
            </w:r>
          </w:p>
          <w:p w14:paraId="1EBFF50B">
            <w:pPr>
              <w:pStyle w:val="14"/>
              <w:keepNext w:val="0"/>
              <w:keepLines w:val="0"/>
              <w:pageBreakBefore w:val="0"/>
              <w:widowControl/>
              <w:kinsoku/>
              <w:wordWrap/>
              <w:overflowPunct/>
              <w:topLinePunct w:val="0"/>
              <w:autoSpaceDE w:val="0"/>
              <w:autoSpaceDN w:val="0"/>
              <w:bidi w:val="0"/>
              <w:adjustRightInd w:val="0"/>
              <w:snapToGrid w:val="0"/>
              <w:spacing w:line="240" w:lineRule="auto"/>
              <w:contextualSpacing/>
              <w:textAlignment w:val="auto"/>
              <w:rPr>
                <w:rFonts w:hint="default" w:ascii="Times New Roman" w:hAnsi="Times New Roman"/>
                <w:szCs w:val="21"/>
                <w:lang w:val="en-US" w:eastAsia="zh-CN"/>
              </w:rPr>
            </w:pPr>
            <w:r>
              <w:rPr>
                <w:rFonts w:hint="eastAsia" w:ascii="Times New Roman" w:hAnsi="Times New Roman"/>
                <w:color w:val="auto"/>
                <w:szCs w:val="21"/>
                <w:lang w:eastAsia="zh-CN"/>
              </w:rPr>
              <w:t>本文件共分为</w:t>
            </w:r>
            <w:r>
              <w:rPr>
                <w:rFonts w:hint="eastAsia" w:ascii="Times New Roman" w:hAnsi="Times New Roman"/>
                <w:color w:val="auto"/>
                <w:szCs w:val="21"/>
                <w:lang w:val="en-US" w:eastAsia="zh-CN"/>
              </w:rPr>
              <w:t>8章和4个附录，章节由范围、规范性引用文件、</w:t>
            </w:r>
            <w:r>
              <w:rPr>
                <w:rFonts w:hint="eastAsia" w:ascii="Times New Roman" w:hAnsi="Times New Roman"/>
                <w:color w:val="auto"/>
                <w:szCs w:val="21"/>
              </w:rPr>
              <w:t>术语和定义、基本要求、评估指标、评估方法、评估流程与方式、评估报告编制</w:t>
            </w:r>
            <w:r>
              <w:rPr>
                <w:rFonts w:hint="eastAsia" w:ascii="Times New Roman" w:hAnsi="Times New Roman"/>
                <w:color w:val="auto"/>
                <w:szCs w:val="21"/>
                <w:lang w:val="en-US" w:eastAsia="zh-CN"/>
              </w:rPr>
              <w:t>组成，其中评估指标、评估方法、评估流程与方式为主要技术内容。</w:t>
            </w:r>
          </w:p>
          <w:p w14:paraId="20B57BC3">
            <w:pPr>
              <w:pStyle w:val="14"/>
              <w:keepNext w:val="0"/>
              <w:keepLines w:val="0"/>
              <w:pageBreakBefore w:val="0"/>
              <w:widowControl/>
              <w:kinsoku/>
              <w:wordWrap/>
              <w:overflowPunct/>
              <w:topLinePunct w:val="0"/>
              <w:autoSpaceDE w:val="0"/>
              <w:autoSpaceDN w:val="0"/>
              <w:bidi w:val="0"/>
              <w:adjustRightInd w:val="0"/>
              <w:snapToGrid w:val="0"/>
              <w:spacing w:line="240" w:lineRule="auto"/>
              <w:contextualSpacing/>
              <w:textAlignment w:val="auto"/>
              <w:rPr>
                <w:rFonts w:hint="eastAsia" w:ascii="Times New Roman" w:hAnsi="Times New Roman"/>
                <w:kern w:val="2"/>
                <w:szCs w:val="21"/>
              </w:rPr>
            </w:pPr>
            <w:r>
              <w:rPr>
                <w:rFonts w:hint="eastAsia" w:ascii="Times New Roman" w:hAnsi="Times New Roman"/>
                <w:szCs w:val="21"/>
              </w:rPr>
              <w:t>本文件适用于河湖长制能效提级县建设成效评估工作</w:t>
            </w:r>
            <w:r>
              <w:rPr>
                <w:rFonts w:hint="eastAsia" w:ascii="Times New Roman" w:hAnsi="Times New Roman"/>
                <w:kern w:val="2"/>
                <w:szCs w:val="21"/>
              </w:rPr>
              <w:t>。</w:t>
            </w:r>
          </w:p>
          <w:p w14:paraId="3AF3DF47">
            <w:pPr>
              <w:pStyle w:val="14"/>
              <w:keepNext w:val="0"/>
              <w:keepLines w:val="0"/>
              <w:pageBreakBefore w:val="0"/>
              <w:widowControl/>
              <w:kinsoku/>
              <w:wordWrap/>
              <w:overflowPunct/>
              <w:topLinePunct w:val="0"/>
              <w:autoSpaceDE w:val="0"/>
              <w:autoSpaceDN w:val="0"/>
              <w:bidi w:val="0"/>
              <w:adjustRightInd w:val="0"/>
              <w:snapToGrid/>
              <w:spacing w:line="360" w:lineRule="auto"/>
              <w:ind w:firstLine="0" w:firstLineChars="0"/>
              <w:contextualSpacing/>
              <w:textAlignment w:val="auto"/>
              <w:rPr>
                <w:rFonts w:hint="eastAsia" w:ascii="Times New Roman" w:hAnsi="Times New Roman"/>
                <w:b/>
                <w:szCs w:val="21"/>
                <w:lang w:eastAsia="zh-CN"/>
              </w:rPr>
            </w:pPr>
            <w:r>
              <w:rPr>
                <w:rFonts w:hint="eastAsia" w:ascii="Times New Roman" w:hAnsi="Times New Roman"/>
                <w:b/>
                <w:szCs w:val="21"/>
                <w:lang w:eastAsia="zh-CN"/>
              </w:rPr>
              <w:t>主要技术参数：</w:t>
            </w:r>
          </w:p>
          <w:p w14:paraId="3F3128E9">
            <w:pPr>
              <w:pStyle w:val="14"/>
              <w:keepNext w:val="0"/>
              <w:keepLines w:val="0"/>
              <w:pageBreakBefore w:val="0"/>
              <w:widowControl/>
              <w:kinsoku/>
              <w:wordWrap/>
              <w:overflowPunct/>
              <w:topLinePunct w:val="0"/>
              <w:autoSpaceDE w:val="0"/>
              <w:autoSpaceDN w:val="0"/>
              <w:bidi w:val="0"/>
              <w:adjustRightInd w:val="0"/>
              <w:snapToGrid/>
              <w:spacing w:line="360" w:lineRule="auto"/>
              <w:ind w:firstLine="0" w:firstLineChars="0"/>
              <w:contextualSpacing/>
              <w:textAlignment w:val="auto"/>
              <w:rPr>
                <w:rFonts w:hint="eastAsia" w:ascii="Times New Roman" w:hAnsi="Times New Roman" w:eastAsia="黑体" w:cs="黑体"/>
                <w:b w:val="0"/>
                <w:bCs/>
                <w:szCs w:val="21"/>
                <w:lang w:eastAsia="zh-CN"/>
              </w:rPr>
            </w:pPr>
            <w:r>
              <w:rPr>
                <w:rFonts w:hint="eastAsia" w:ascii="Times New Roman" w:hAnsi="Times New Roman" w:eastAsia="黑体" w:cs="黑体"/>
                <w:b w:val="0"/>
                <w:bCs/>
                <w:szCs w:val="21"/>
                <w:lang w:val="en-US" w:eastAsia="zh-CN"/>
              </w:rPr>
              <w:t>5</w:t>
            </w:r>
            <w:r>
              <w:rPr>
                <w:rFonts w:hint="eastAsia" w:ascii="Times New Roman" w:hAnsi="Times New Roman" w:eastAsia="黑体" w:cs="黑体"/>
                <w:b w:val="0"/>
                <w:bCs/>
                <w:szCs w:val="21"/>
                <w:lang w:eastAsia="zh-CN"/>
              </w:rPr>
              <w:t>　评估指标</w:t>
            </w:r>
          </w:p>
          <w:p w14:paraId="006A6FBB">
            <w:pPr>
              <w:pStyle w:val="14"/>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contextualSpacing/>
              <w:textAlignment w:val="auto"/>
              <w:rPr>
                <w:rFonts w:hint="eastAsia" w:ascii="Times New Roman" w:hAnsi="Times New Roman"/>
                <w:b w:val="0"/>
                <w:bCs/>
                <w:szCs w:val="21"/>
                <w:lang w:eastAsia="zh-CN"/>
              </w:rPr>
            </w:pPr>
            <w:r>
              <w:rPr>
                <w:rFonts w:hint="eastAsia" w:ascii="Times New Roman" w:hAnsi="Times New Roman" w:eastAsia="黑体" w:cs="黑体"/>
                <w:b w:val="0"/>
                <w:bCs/>
                <w:szCs w:val="21"/>
                <w:lang w:val="en-US" w:eastAsia="zh-CN"/>
              </w:rPr>
              <w:t xml:space="preserve">5.1 </w:t>
            </w:r>
            <w:r>
              <w:rPr>
                <w:rFonts w:hint="eastAsia" w:ascii="Times New Roman" w:hAnsi="Times New Roman"/>
                <w:b w:val="0"/>
                <w:bCs/>
                <w:szCs w:val="21"/>
                <w:lang w:eastAsia="zh-CN"/>
              </w:rPr>
              <w:t>河湖长制能效提级县成效评估实行百分制，评估指标体系及分值见表1。</w:t>
            </w:r>
          </w:p>
          <w:p w14:paraId="3972B10C">
            <w:pPr>
              <w:pStyle w:val="14"/>
              <w:keepNext w:val="0"/>
              <w:keepLines w:val="0"/>
              <w:pageBreakBefore w:val="0"/>
              <w:widowControl/>
              <w:kinsoku/>
              <w:wordWrap/>
              <w:overflowPunct/>
              <w:topLinePunct w:val="0"/>
              <w:autoSpaceDE w:val="0"/>
              <w:autoSpaceDN w:val="0"/>
              <w:bidi w:val="0"/>
              <w:adjustRightInd w:val="0"/>
              <w:snapToGrid w:val="0"/>
              <w:spacing w:line="240" w:lineRule="auto"/>
              <w:contextualSpacing/>
              <w:textAlignment w:val="auto"/>
              <w:rPr>
                <w:rFonts w:hint="eastAsia" w:ascii="Times New Roman" w:hAnsi="Times New Roman"/>
                <w:b w:val="0"/>
                <w:bCs/>
                <w:szCs w:val="21"/>
                <w:lang w:eastAsia="zh-CN"/>
              </w:rPr>
            </w:pPr>
            <w:r>
              <w:rPr>
                <w:rFonts w:hint="eastAsia" w:ascii="Times New Roman" w:hAnsi="Times New Roman"/>
                <w:b w:val="0"/>
                <w:bCs/>
                <w:szCs w:val="21"/>
                <w:lang w:eastAsia="zh-CN"/>
              </w:rPr>
              <w:t>评估指标体系包括全面强化河湖管护机制、标本兼治复苏河湖生态和建设健康美丽幸福河湖3个准则层。</w:t>
            </w:r>
          </w:p>
          <w:p w14:paraId="4A8BD3CC">
            <w:pPr>
              <w:pStyle w:val="14"/>
              <w:keepNext w:val="0"/>
              <w:keepLines w:val="0"/>
              <w:pageBreakBefore w:val="0"/>
              <w:widowControl/>
              <w:kinsoku/>
              <w:wordWrap/>
              <w:overflowPunct/>
              <w:topLinePunct w:val="0"/>
              <w:autoSpaceDE w:val="0"/>
              <w:autoSpaceDN w:val="0"/>
              <w:bidi w:val="0"/>
              <w:adjustRightInd w:val="0"/>
              <w:snapToGrid w:val="0"/>
              <w:spacing w:line="240" w:lineRule="auto"/>
              <w:contextualSpacing/>
              <w:textAlignment w:val="auto"/>
              <w:rPr>
                <w:rFonts w:hint="eastAsia" w:ascii="Times New Roman" w:hAnsi="Times New Roman"/>
                <w:b w:val="0"/>
                <w:bCs/>
                <w:szCs w:val="21"/>
                <w:lang w:eastAsia="zh-CN"/>
              </w:rPr>
            </w:pPr>
            <w:r>
              <w:rPr>
                <w:rFonts w:hint="eastAsia" w:ascii="Times New Roman" w:hAnsi="Times New Roman"/>
                <w:b w:val="0"/>
                <w:bCs/>
                <w:szCs w:val="21"/>
                <w:lang w:eastAsia="zh-CN"/>
              </w:rPr>
              <w:t>全面强化河湖管护机制准则层包括河湖管护体系建设、“一河（湖）一策”编制实施、其他基础工作开展、重要河湖水域岸线智慧监管4项指标，标本兼治复苏河湖生态准则层包括防洪排涝工程体系建设、河湖自然岸线、河湖空间管控、水质状况、黑臭水体整治、面源污染治理、生态流量（水位）满足程度7项指标；建设健康美丽幸福河湖准则层包括幸福河湖建设、水文化载体建设、成效彰显、群众满意度4项指标。</w:t>
            </w:r>
          </w:p>
          <w:p w14:paraId="43496C92">
            <w:pPr>
              <w:pStyle w:val="23"/>
              <w:numPr>
                <w:ilvl w:val="3"/>
                <w:numId w:val="0"/>
              </w:numPr>
              <w:ind w:leftChars="0"/>
              <w:jc w:val="center"/>
              <w:rPr>
                <w:rFonts w:hint="eastAsia" w:ascii="Times New Roman" w:hAnsi="Times New Roman" w:eastAsia="黑体" w:cs="黑体"/>
                <w:b w:val="0"/>
                <w:bCs w:val="0"/>
                <w:color w:val="auto"/>
                <w:lang w:val="en-US" w:eastAsia="zh-CN"/>
              </w:rPr>
            </w:pPr>
            <w:r>
              <w:rPr>
                <w:rFonts w:hint="eastAsia" w:ascii="Times New Roman" w:hAnsi="Times New Roman" w:eastAsia="黑体" w:cs="黑体"/>
                <w:b w:val="0"/>
                <w:bCs w:val="0"/>
                <w:color w:val="auto"/>
                <w:lang w:val="en-US" w:eastAsia="zh-CN"/>
              </w:rPr>
              <w:t>表1  河湖长制能效提级县成效评估指标体系表</w:t>
            </w:r>
          </w:p>
          <w:tbl>
            <w:tblPr>
              <w:tblStyle w:val="8"/>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2545"/>
              <w:gridCol w:w="1262"/>
              <w:gridCol w:w="4673"/>
            </w:tblGrid>
            <w:tr w14:paraId="4844E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457" w:type="pct"/>
                  <w:vAlign w:val="center"/>
                </w:tcPr>
                <w:p w14:paraId="633451A4">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Times New Roman" w:hAnsi="Times New Roman" w:eastAsia="宋体" w:cs="Times New Roman"/>
                      <w:b/>
                      <w:bCs/>
                      <w:color w:val="auto"/>
                      <w:kern w:val="0"/>
                      <w:sz w:val="21"/>
                      <w:szCs w:val="20"/>
                      <w:lang w:val="en-US" w:eastAsia="zh-CN" w:bidi="ar-SA"/>
                    </w:rPr>
                  </w:pPr>
                  <w:r>
                    <w:rPr>
                      <w:rFonts w:hint="eastAsia" w:ascii="Times New Roman" w:hAnsi="Times New Roman" w:eastAsia="宋体" w:cs="Times New Roman"/>
                      <w:b/>
                      <w:bCs/>
                      <w:color w:val="auto"/>
                      <w:kern w:val="0"/>
                      <w:sz w:val="21"/>
                      <w:szCs w:val="20"/>
                      <w:lang w:val="en-US" w:eastAsia="zh-CN" w:bidi="ar-SA"/>
                    </w:rPr>
                    <w:t>准则层</w:t>
                  </w:r>
                </w:p>
              </w:tc>
              <w:tc>
                <w:tcPr>
                  <w:tcW w:w="1363" w:type="pct"/>
                  <w:vAlign w:val="center"/>
                </w:tcPr>
                <w:p w14:paraId="3AFD62EC">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Times New Roman" w:hAnsi="Times New Roman" w:eastAsia="宋体" w:cs="Times New Roman"/>
                      <w:b/>
                      <w:bCs/>
                      <w:color w:val="auto"/>
                      <w:kern w:val="0"/>
                      <w:sz w:val="21"/>
                      <w:szCs w:val="20"/>
                      <w:lang w:val="en-US" w:eastAsia="zh-CN" w:bidi="ar-SA"/>
                    </w:rPr>
                  </w:pPr>
                  <w:r>
                    <w:rPr>
                      <w:rFonts w:hint="eastAsia" w:ascii="Times New Roman" w:hAnsi="Times New Roman" w:eastAsia="宋体" w:cs="Times New Roman"/>
                      <w:b/>
                      <w:bCs/>
                      <w:color w:val="auto"/>
                      <w:kern w:val="0"/>
                      <w:sz w:val="21"/>
                      <w:szCs w:val="20"/>
                      <w:lang w:val="en-US" w:eastAsia="zh-CN" w:bidi="ar-SA"/>
                    </w:rPr>
                    <w:t>指标层</w:t>
                  </w:r>
                </w:p>
              </w:tc>
              <w:tc>
                <w:tcPr>
                  <w:tcW w:w="676" w:type="pct"/>
                  <w:vAlign w:val="center"/>
                </w:tcPr>
                <w:p w14:paraId="1EAE4057">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Times New Roman" w:hAnsi="Times New Roman" w:eastAsia="宋体" w:cs="Times New Roman"/>
                      <w:b/>
                      <w:bCs/>
                      <w:color w:val="auto"/>
                      <w:kern w:val="0"/>
                      <w:sz w:val="21"/>
                      <w:szCs w:val="20"/>
                      <w:lang w:val="en-US" w:eastAsia="zh-CN" w:bidi="ar-SA"/>
                    </w:rPr>
                  </w:pPr>
                  <w:r>
                    <w:rPr>
                      <w:rFonts w:hint="eastAsia" w:ascii="Times New Roman" w:hAnsi="Times New Roman" w:cs="Times New Roman"/>
                      <w:b/>
                      <w:bCs/>
                      <w:color w:val="auto"/>
                      <w:kern w:val="0"/>
                      <w:sz w:val="21"/>
                      <w:szCs w:val="20"/>
                      <w:lang w:val="en-US" w:eastAsia="zh-CN" w:bidi="ar-SA"/>
                    </w:rPr>
                    <w:t>指标层赋分权值</w:t>
                  </w:r>
                </w:p>
              </w:tc>
              <w:tc>
                <w:tcPr>
                  <w:tcW w:w="2502" w:type="pct"/>
                  <w:vAlign w:val="center"/>
                </w:tcPr>
                <w:p w14:paraId="2CFE7234">
                  <w:pPr>
                    <w:keepNext w:val="0"/>
                    <w:keepLines w:val="0"/>
                    <w:pageBreakBefore w:val="0"/>
                    <w:widowControl w:val="0"/>
                    <w:kinsoku/>
                    <w:wordWrap/>
                    <w:overflowPunct w:val="0"/>
                    <w:topLinePunct w:val="0"/>
                    <w:autoSpaceDE/>
                    <w:autoSpaceDN/>
                    <w:bidi w:val="0"/>
                    <w:adjustRightInd/>
                    <w:snapToGrid w:val="0"/>
                    <w:spacing w:line="240" w:lineRule="auto"/>
                    <w:jc w:val="center"/>
                    <w:textAlignment w:val="auto"/>
                    <w:outlineLvl w:val="0"/>
                    <w:rPr>
                      <w:rFonts w:hint="eastAsia" w:ascii="Times New Roman" w:hAnsi="Times New Roman" w:eastAsia="宋体" w:cs="Times New Roman"/>
                      <w:b/>
                      <w:bCs/>
                      <w:color w:val="auto"/>
                      <w:kern w:val="0"/>
                      <w:sz w:val="21"/>
                      <w:szCs w:val="20"/>
                      <w:lang w:val="en-US" w:eastAsia="zh-CN" w:bidi="ar-SA"/>
                    </w:rPr>
                  </w:pPr>
                  <w:r>
                    <w:rPr>
                      <w:rFonts w:hint="eastAsia" w:ascii="Times New Roman" w:hAnsi="Times New Roman" w:eastAsia="宋体" w:cs="Times New Roman"/>
                      <w:b/>
                      <w:bCs/>
                      <w:color w:val="auto"/>
                      <w:kern w:val="0"/>
                      <w:sz w:val="21"/>
                      <w:szCs w:val="20"/>
                      <w:lang w:val="en-US" w:eastAsia="zh-CN" w:bidi="ar-SA"/>
                    </w:rPr>
                    <w:t>指标解释</w:t>
                  </w:r>
                </w:p>
              </w:tc>
            </w:tr>
            <w:tr w14:paraId="67BEF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restart"/>
                  <w:vAlign w:val="center"/>
                </w:tcPr>
                <w:p w14:paraId="71C2F9BC">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全面强化河湖管护机制</w:t>
                  </w:r>
                </w:p>
                <w:p w14:paraId="712CD92D">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cs="Times New Roman"/>
                      <w:color w:val="auto"/>
                      <w:kern w:val="0"/>
                      <w:sz w:val="21"/>
                      <w:szCs w:val="20"/>
                      <w:lang w:val="en-US" w:eastAsia="zh-CN" w:bidi="ar-SA"/>
                    </w:rPr>
                    <w:t>（23分）</w:t>
                  </w:r>
                </w:p>
              </w:tc>
              <w:tc>
                <w:tcPr>
                  <w:tcW w:w="1363" w:type="pct"/>
                  <w:vAlign w:val="center"/>
                </w:tcPr>
                <w:p w14:paraId="39233AA9">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河湖管护体系建设</w:t>
                  </w:r>
                </w:p>
              </w:tc>
              <w:tc>
                <w:tcPr>
                  <w:tcW w:w="676" w:type="pct"/>
                  <w:vAlign w:val="center"/>
                </w:tcPr>
                <w:p w14:paraId="6F0362EB">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10</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1CBC7FC8">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主要评价河湖长制组织体系运行情况，河湖管护责任主体、人员、经费落实情况，管护制度建立落实情况。</w:t>
                  </w:r>
                </w:p>
              </w:tc>
            </w:tr>
            <w:tr w14:paraId="6C1F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45757D0D">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5D8BEF7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“一河（湖）一策”编制实施</w:t>
                  </w:r>
                </w:p>
              </w:tc>
              <w:tc>
                <w:tcPr>
                  <w:tcW w:w="676" w:type="pct"/>
                  <w:vAlign w:val="center"/>
                </w:tcPr>
                <w:p w14:paraId="52675FD3">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5</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62B50474">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主要评价“一河（湖）一策”编制实施情况。</w:t>
                  </w:r>
                </w:p>
              </w:tc>
            </w:tr>
            <w:tr w14:paraId="4187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15814E6D">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20F931A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其他基础工作开展</w:t>
                  </w:r>
                </w:p>
              </w:tc>
              <w:tc>
                <w:tcPr>
                  <w:tcW w:w="676" w:type="pct"/>
                  <w:vAlign w:val="center"/>
                </w:tcPr>
                <w:p w14:paraId="36C81D3E">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5</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458EF43A">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主要评价“一河（湖）一档”、河湖健康评价、健康档案、河长湖长公示牌设置，以及界桩、界碑、公告牌设立等基础工作情况。</w:t>
                  </w:r>
                </w:p>
              </w:tc>
            </w:tr>
            <w:tr w14:paraId="7616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7F650D9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5168BE5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重要河湖水域岸线智慧监管</w:t>
                  </w:r>
                </w:p>
              </w:tc>
              <w:tc>
                <w:tcPr>
                  <w:tcW w:w="676" w:type="pct"/>
                  <w:vAlign w:val="center"/>
                </w:tcPr>
                <w:p w14:paraId="1717465E">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3</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1847EF22">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主要评价县级河长湖长责任河湖水域岸线监管情况。</w:t>
                  </w:r>
                </w:p>
              </w:tc>
            </w:tr>
            <w:tr w14:paraId="47E4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restart"/>
                  <w:vAlign w:val="center"/>
                </w:tcPr>
                <w:p w14:paraId="269B8B26">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标本兼治复苏河湖生态</w:t>
                  </w:r>
                </w:p>
                <w:p w14:paraId="45B8CB9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cs="Times New Roman"/>
                      <w:color w:val="auto"/>
                      <w:kern w:val="0"/>
                      <w:sz w:val="21"/>
                      <w:szCs w:val="20"/>
                      <w:lang w:val="en-US" w:eastAsia="zh-CN" w:bidi="ar-SA"/>
                    </w:rPr>
                    <w:t>（44分）</w:t>
                  </w:r>
                </w:p>
              </w:tc>
              <w:tc>
                <w:tcPr>
                  <w:tcW w:w="1363" w:type="pct"/>
                  <w:shd w:val="clear" w:color="auto" w:fill="auto"/>
                  <w:vAlign w:val="center"/>
                </w:tcPr>
                <w:p w14:paraId="686C7AC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default"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防洪排涝工程体系建设</w:t>
                  </w:r>
                </w:p>
              </w:tc>
              <w:tc>
                <w:tcPr>
                  <w:tcW w:w="676" w:type="pct"/>
                  <w:vAlign w:val="center"/>
                </w:tcPr>
                <w:p w14:paraId="4B55844D">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5</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37C302BE">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主要评价县域内防洪排涝工程体系建设情况。</w:t>
                  </w:r>
                </w:p>
              </w:tc>
            </w:tr>
            <w:tr w14:paraId="49EBB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6E30F91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shd w:val="clear" w:color="auto" w:fill="auto"/>
                  <w:vAlign w:val="center"/>
                </w:tcPr>
                <w:p w14:paraId="62F806C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河湖自然岸线</w:t>
                  </w:r>
                </w:p>
              </w:tc>
              <w:tc>
                <w:tcPr>
                  <w:tcW w:w="676" w:type="pct"/>
                  <w:vAlign w:val="center"/>
                </w:tcPr>
                <w:p w14:paraId="35F7145F">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5</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7FA79F0F">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主要评价县级河长湖长责任河湖岸线自然状况。</w:t>
                  </w:r>
                </w:p>
              </w:tc>
            </w:tr>
            <w:tr w14:paraId="5A522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5A5F7E9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shd w:val="clear" w:color="auto" w:fill="auto"/>
                  <w:vAlign w:val="center"/>
                </w:tcPr>
                <w:p w14:paraId="324E7AA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河湖空间管控</w:t>
                  </w:r>
                </w:p>
              </w:tc>
              <w:tc>
                <w:tcPr>
                  <w:tcW w:w="676" w:type="pct"/>
                  <w:vAlign w:val="center"/>
                </w:tcPr>
                <w:p w14:paraId="1F65D2E4">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9</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3FCFCDA0">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主要评价河湖管理范围划定、岸线功能分区管控、涉河建设项目管理、“四乱”问题清理整治情况。</w:t>
                  </w:r>
                </w:p>
              </w:tc>
            </w:tr>
            <w:tr w14:paraId="1BB4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6C02EB8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0398760F">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水质状况</w:t>
                  </w:r>
                </w:p>
              </w:tc>
              <w:tc>
                <w:tcPr>
                  <w:tcW w:w="676" w:type="pct"/>
                  <w:vAlign w:val="center"/>
                </w:tcPr>
                <w:p w14:paraId="7F9EF0B8">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10</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1F2ED156">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主要评价县级河长湖长责任河湖水质状况。</w:t>
                  </w:r>
                </w:p>
              </w:tc>
            </w:tr>
            <w:tr w14:paraId="0683B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3D06378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55ED01D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黑臭水体整治</w:t>
                  </w:r>
                </w:p>
              </w:tc>
              <w:tc>
                <w:tcPr>
                  <w:tcW w:w="676" w:type="pct"/>
                  <w:vAlign w:val="center"/>
                </w:tcPr>
                <w:p w14:paraId="54868822">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5</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19A30C08">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主要评价城市、县城建成区、农村黑臭水体消除情况。</w:t>
                  </w:r>
                </w:p>
              </w:tc>
            </w:tr>
            <w:tr w14:paraId="7F5F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086D685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47F6270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面源污染治理</w:t>
                  </w:r>
                </w:p>
              </w:tc>
              <w:tc>
                <w:tcPr>
                  <w:tcW w:w="676" w:type="pct"/>
                  <w:vAlign w:val="center"/>
                </w:tcPr>
                <w:p w14:paraId="5404C8C0">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5</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592E2895">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主要评价秸秆综合利用、化肥利用、畜禽粪污综合利用等情况。</w:t>
                  </w:r>
                </w:p>
              </w:tc>
            </w:tr>
            <w:tr w14:paraId="4D98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58A0B5C8">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1DE0D199">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生态流量（水位）满足程度</w:t>
                  </w:r>
                </w:p>
              </w:tc>
              <w:tc>
                <w:tcPr>
                  <w:tcW w:w="676" w:type="pct"/>
                  <w:vAlign w:val="center"/>
                </w:tcPr>
                <w:p w14:paraId="73A3A91D">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5</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426DDD3D">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主要评价纳入管控的河湖生态流量（水位）、小水电生态流量满足程度。</w:t>
                  </w:r>
                </w:p>
              </w:tc>
            </w:tr>
            <w:tr w14:paraId="6F33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457" w:type="pct"/>
                  <w:vMerge w:val="restart"/>
                  <w:vAlign w:val="center"/>
                </w:tcPr>
                <w:p w14:paraId="362CAC72">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建设健康美丽幸福河湖</w:t>
                  </w:r>
                </w:p>
                <w:p w14:paraId="26CD6B6A">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cs="Times New Roman"/>
                      <w:color w:val="auto"/>
                      <w:kern w:val="0"/>
                      <w:sz w:val="21"/>
                      <w:szCs w:val="20"/>
                      <w:lang w:val="en-US" w:eastAsia="zh-CN" w:bidi="ar-SA"/>
                    </w:rPr>
                    <w:t>（33分）</w:t>
                  </w:r>
                </w:p>
              </w:tc>
              <w:tc>
                <w:tcPr>
                  <w:tcW w:w="1363" w:type="pct"/>
                  <w:vAlign w:val="center"/>
                </w:tcPr>
                <w:p w14:paraId="3522BC7B">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幸福河湖建设</w:t>
                  </w:r>
                </w:p>
              </w:tc>
              <w:tc>
                <w:tcPr>
                  <w:tcW w:w="676" w:type="pct"/>
                  <w:vAlign w:val="center"/>
                </w:tcPr>
                <w:p w14:paraId="6BBA157A">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10</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31C350E7">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主要评价省级以上幸福河湖建设情况。</w:t>
                  </w:r>
                </w:p>
              </w:tc>
            </w:tr>
            <w:tr w14:paraId="339D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61CDBF9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2C3B6F80">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水文化载体建设</w:t>
                  </w:r>
                </w:p>
              </w:tc>
              <w:tc>
                <w:tcPr>
                  <w:tcW w:w="676" w:type="pct"/>
                  <w:vAlign w:val="center"/>
                </w:tcPr>
                <w:p w14:paraId="2462940F">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6</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072EDA95">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主要评价县域内水文化载体建设、管理、利用情况。</w:t>
                  </w:r>
                </w:p>
              </w:tc>
            </w:tr>
            <w:tr w14:paraId="275E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51DBDBD0">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2998125C">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成效彰显</w:t>
                  </w:r>
                </w:p>
              </w:tc>
              <w:tc>
                <w:tcPr>
                  <w:tcW w:w="676" w:type="pct"/>
                  <w:vAlign w:val="center"/>
                </w:tcPr>
                <w:p w14:paraId="52CBBC5C">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9</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4BF0D945">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主要评价河湖长制及河湖治理保护、基层河湖管护、幸福河湖建设等方面典型经验、创新特色做法推广宣传情况。</w:t>
                  </w:r>
                </w:p>
              </w:tc>
            </w:tr>
            <w:tr w14:paraId="278C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57" w:type="pct"/>
                  <w:vMerge w:val="continue"/>
                  <w:vAlign w:val="center"/>
                </w:tcPr>
                <w:p w14:paraId="23CCF621">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p>
              </w:tc>
              <w:tc>
                <w:tcPr>
                  <w:tcW w:w="1363" w:type="pct"/>
                  <w:vAlign w:val="center"/>
                </w:tcPr>
                <w:p w14:paraId="1B5F4C66">
                  <w:pPr>
                    <w:keepNext w:val="0"/>
                    <w:keepLines w:val="0"/>
                    <w:pageBreakBefore w:val="0"/>
                    <w:widowControl w:val="0"/>
                    <w:kinsoku/>
                    <w:wordWrap/>
                    <w:topLinePunct w:val="0"/>
                    <w:autoSpaceDE/>
                    <w:autoSpaceDN/>
                    <w:bidi w:val="0"/>
                    <w:adjustRightInd/>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群众满意度</w:t>
                  </w:r>
                </w:p>
              </w:tc>
              <w:tc>
                <w:tcPr>
                  <w:tcW w:w="676" w:type="pct"/>
                  <w:vAlign w:val="center"/>
                </w:tcPr>
                <w:p w14:paraId="6DA862EA">
                  <w:pPr>
                    <w:keepNext w:val="0"/>
                    <w:keepLines w:val="0"/>
                    <w:pageBreakBefore w:val="0"/>
                    <w:widowControl w:val="0"/>
                    <w:kinsoku/>
                    <w:wordWrap/>
                    <w:topLinePunct w:val="0"/>
                    <w:autoSpaceDE/>
                    <w:autoSpaceDN/>
                    <w:bidi w:val="0"/>
                    <w:snapToGrid w:val="0"/>
                    <w:spacing w:line="240" w:lineRule="auto"/>
                    <w:jc w:val="center"/>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8</w:t>
                  </w:r>
                  <w:r>
                    <w:rPr>
                      <w:rFonts w:hint="eastAsia" w:ascii="Times New Roman" w:hAnsi="Times New Roman" w:cs="Times New Roman"/>
                      <w:color w:val="auto"/>
                      <w:kern w:val="0"/>
                      <w:sz w:val="21"/>
                      <w:szCs w:val="20"/>
                      <w:lang w:val="en-US" w:eastAsia="zh-CN" w:bidi="ar-SA"/>
                    </w:rPr>
                    <w:t>分</w:t>
                  </w:r>
                </w:p>
              </w:tc>
              <w:tc>
                <w:tcPr>
                  <w:tcW w:w="2502" w:type="pct"/>
                  <w:vAlign w:val="center"/>
                </w:tcPr>
                <w:p w14:paraId="5593018E">
                  <w:pPr>
                    <w:keepNext w:val="0"/>
                    <w:keepLines w:val="0"/>
                    <w:pageBreakBefore w:val="0"/>
                    <w:widowControl w:val="0"/>
                    <w:kinsoku/>
                    <w:wordWrap/>
                    <w:topLinePunct w:val="0"/>
                    <w:autoSpaceDE/>
                    <w:autoSpaceDN/>
                    <w:bidi w:val="0"/>
                    <w:adjustRightInd/>
                    <w:snapToGrid w:val="0"/>
                    <w:spacing w:line="240" w:lineRule="auto"/>
                    <w:jc w:val="both"/>
                    <w:textAlignment w:val="auto"/>
                    <w:outlineLvl w:val="2"/>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主要评价人民群众对河湖治理保护的满意程度。</w:t>
                  </w:r>
                </w:p>
              </w:tc>
            </w:tr>
          </w:tbl>
          <w:p w14:paraId="08EB31CC">
            <w:pPr>
              <w:pStyle w:val="26"/>
              <w:bidi w:val="0"/>
              <w:ind w:left="0" w:leftChars="0" w:firstLine="0" w:firstLineChars="0"/>
              <w:rPr>
                <w:rFonts w:hint="eastAsia" w:ascii="Times New Roman" w:hAnsi="Times New Roman"/>
                <w:lang w:val="zh-CN"/>
              </w:rPr>
            </w:pPr>
            <w:r>
              <w:rPr>
                <w:rFonts w:hint="eastAsia" w:ascii="Times New Roman" w:hAnsi="Times New Roman"/>
                <w:lang w:val="zh-CN" w:eastAsia="zh-CN"/>
              </w:rPr>
              <w:t>评估方法</w:t>
            </w:r>
          </w:p>
          <w:p w14:paraId="149E8D11">
            <w:pPr>
              <w:pStyle w:val="25"/>
              <w:bidi w:val="0"/>
              <w:ind w:left="0" w:leftChars="0" w:firstLine="0" w:firstLineChars="0"/>
              <w:rPr>
                <w:rFonts w:ascii="Times New Roman" w:hAnsi="Times New Roman"/>
              </w:rPr>
            </w:pPr>
            <w:r>
              <w:rPr>
                <w:rFonts w:hint="eastAsia" w:ascii="Times New Roman" w:hAnsi="Times New Roman"/>
                <w:lang w:val="en-US" w:eastAsia="zh-CN"/>
              </w:rPr>
              <w:t>全面强化河湖管护机制</w:t>
            </w:r>
          </w:p>
          <w:p w14:paraId="0ED18DF3">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河湖管护体系建设</w:t>
            </w:r>
          </w:p>
          <w:p w14:paraId="1DB667B4">
            <w:pPr>
              <w:pStyle w:val="13"/>
              <w:rPr>
                <w:rFonts w:hint="eastAsia" w:ascii="Times New Roman" w:hAnsi="Times New Roman"/>
                <w:color w:val="auto"/>
                <w:lang w:val="en-US" w:eastAsia="zh-CN"/>
              </w:rPr>
            </w:pPr>
            <w:r>
              <w:rPr>
                <w:rFonts w:hint="eastAsia" w:ascii="Times New Roman" w:hAnsi="Times New Roman"/>
                <w:color w:val="auto"/>
                <w:lang w:val="en-US" w:eastAsia="zh-CN"/>
              </w:rPr>
              <w:t>河湖管护体系建设分值10分。计分方式如下：</w:t>
            </w:r>
          </w:p>
          <w:p w14:paraId="7CADBD10">
            <w:pPr>
              <w:pStyle w:val="13"/>
              <w:rPr>
                <w:rFonts w:hint="default" w:ascii="Times New Roman" w:hAnsi="Times New Roman"/>
                <w:color w:val="auto"/>
                <w:lang w:val="en-US" w:eastAsia="zh-CN"/>
              </w:rPr>
            </w:pPr>
            <w:r>
              <w:rPr>
                <w:rFonts w:hint="eastAsia" w:ascii="Times New Roman" w:hAnsi="Times New Roman"/>
                <w:color w:val="auto"/>
                <w:lang w:val="en-US" w:eastAsia="zh-CN"/>
              </w:rPr>
              <w:t>——</w:t>
            </w:r>
            <w:r>
              <w:rPr>
                <w:rFonts w:hint="default" w:ascii="Times New Roman" w:hAnsi="Times New Roman"/>
                <w:color w:val="auto"/>
                <w:lang w:val="en-US" w:eastAsia="zh-CN"/>
              </w:rPr>
              <w:t>河湖长制组织体系运转有效，得2分。县级总河长未部署安排河湖治理保护工作，河湖长履职未达到规范要求，河湖长递补不及时，河长办统筹协调不力，成员单位分工协作、形成合力不足，发现1例扣0.2分</w:t>
            </w:r>
            <w:r>
              <w:rPr>
                <w:rFonts w:hint="eastAsia" w:ascii="Times New Roman" w:hAnsi="Times New Roman"/>
                <w:color w:val="auto"/>
                <w:lang w:val="en-US" w:eastAsia="zh-CN"/>
              </w:rPr>
              <w:t>。本条最多扣2分</w:t>
            </w:r>
            <w:r>
              <w:rPr>
                <w:rFonts w:hint="default" w:ascii="Times New Roman" w:hAnsi="Times New Roman"/>
                <w:color w:val="auto"/>
                <w:lang w:val="en-US" w:eastAsia="zh-CN"/>
              </w:rPr>
              <w:t>。</w:t>
            </w:r>
          </w:p>
          <w:p w14:paraId="166148E3">
            <w:pPr>
              <w:pStyle w:val="13"/>
              <w:rPr>
                <w:rFonts w:hint="default" w:ascii="Times New Roman" w:hAnsi="Times New Roman"/>
                <w:color w:val="auto"/>
                <w:lang w:val="en-US" w:eastAsia="zh-CN"/>
              </w:rPr>
            </w:pPr>
            <w:r>
              <w:rPr>
                <w:rFonts w:hint="eastAsia" w:ascii="Times New Roman" w:hAnsi="Times New Roman"/>
                <w:color w:val="auto"/>
                <w:lang w:val="en-US" w:eastAsia="zh-CN"/>
              </w:rPr>
              <w:t>——</w:t>
            </w:r>
            <w:r>
              <w:rPr>
                <w:rFonts w:hint="default" w:ascii="Times New Roman" w:hAnsi="Times New Roman"/>
                <w:color w:val="auto"/>
                <w:lang w:val="en-US" w:eastAsia="zh-CN"/>
              </w:rPr>
              <w:t>河湖管护体系建立并有效落实，得8分</w:t>
            </w:r>
            <w:r>
              <w:rPr>
                <w:rFonts w:hint="eastAsia" w:ascii="Times New Roman" w:hAnsi="Times New Roman"/>
                <w:color w:val="auto"/>
                <w:lang w:val="en-US" w:eastAsia="zh-CN"/>
              </w:rPr>
              <w:t>。</w:t>
            </w:r>
            <w:r>
              <w:rPr>
                <w:rFonts w:hint="default" w:ascii="Times New Roman" w:hAnsi="Times New Roman"/>
                <w:color w:val="auto"/>
                <w:lang w:val="en-US" w:eastAsia="zh-CN"/>
              </w:rPr>
              <w:t>河湖管护责任主体未落实，扣2分；管护人员未落实，扣2分；管护经费未落实，扣2分；河湖保洁、巡查、维修养护等日常管护制度不完善或未落实，扣2分。</w:t>
            </w:r>
          </w:p>
          <w:p w14:paraId="1C0578C8">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“一河（湖）一策”编制实施</w:t>
            </w:r>
          </w:p>
          <w:p w14:paraId="10A2746F">
            <w:pPr>
              <w:pStyle w:val="13"/>
              <w:rPr>
                <w:rFonts w:hint="eastAsia" w:ascii="Times New Roman" w:hAnsi="Times New Roman"/>
                <w:color w:val="auto"/>
                <w:lang w:val="en-US" w:eastAsia="zh-CN"/>
              </w:rPr>
            </w:pPr>
            <w:r>
              <w:rPr>
                <w:rFonts w:hint="eastAsia" w:ascii="Times New Roman" w:hAnsi="Times New Roman"/>
                <w:color w:val="auto"/>
                <w:lang w:val="en-US" w:eastAsia="zh-CN"/>
              </w:rPr>
              <w:t>“一河（湖）一策”编制实施分值5分。计分方式如下：</w:t>
            </w:r>
          </w:p>
          <w:p w14:paraId="62AEC64A">
            <w:pPr>
              <w:pStyle w:val="13"/>
              <w:rPr>
                <w:rFonts w:hint="eastAsia" w:ascii="Times New Roman" w:hAnsi="Times New Roman"/>
                <w:color w:val="auto"/>
                <w:lang w:val="en-US" w:eastAsia="zh-CN"/>
              </w:rPr>
            </w:pPr>
            <w:r>
              <w:rPr>
                <w:rFonts w:hint="eastAsia" w:ascii="Times New Roman" w:hAnsi="Times New Roman"/>
                <w:color w:val="auto"/>
                <w:lang w:val="en-US" w:eastAsia="zh-CN"/>
              </w:rPr>
              <w:t>——按规定滚动编制“一河（湖）一策”，得2分。未按规定组织编制，发现1例扣0.5分，最多扣1分；编制内容存在明显问题，发现1例扣0.2分，最多扣1分。</w:t>
            </w:r>
          </w:p>
          <w:p w14:paraId="60497DDF">
            <w:pPr>
              <w:pStyle w:val="13"/>
              <w:rPr>
                <w:rFonts w:hint="eastAsia" w:ascii="Times New Roman" w:hAnsi="Times New Roman"/>
                <w:color w:val="auto"/>
                <w:lang w:val="en-US" w:eastAsia="zh-CN"/>
              </w:rPr>
            </w:pPr>
            <w:r>
              <w:rPr>
                <w:rFonts w:hint="eastAsia" w:ascii="Times New Roman" w:hAnsi="Times New Roman"/>
                <w:color w:val="auto"/>
                <w:lang w:val="en-US" w:eastAsia="zh-CN"/>
              </w:rPr>
              <w:t>——近3年“一河（湖）一策”有效实施，得3分。目标未完成、任务措施未落实到位，发现1例扣0.2分。本条最多扣3分。</w:t>
            </w:r>
          </w:p>
          <w:p w14:paraId="0BD292E7">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其他基础工作开展</w:t>
            </w:r>
          </w:p>
          <w:p w14:paraId="4A3EDBC0">
            <w:pPr>
              <w:pStyle w:val="13"/>
              <w:rPr>
                <w:rFonts w:hint="eastAsia" w:ascii="Times New Roman" w:hAnsi="Times New Roman"/>
                <w:color w:val="auto"/>
                <w:lang w:val="en-US" w:eastAsia="zh-CN"/>
              </w:rPr>
            </w:pPr>
            <w:r>
              <w:rPr>
                <w:rFonts w:hint="eastAsia" w:ascii="Times New Roman" w:hAnsi="Times New Roman"/>
                <w:color w:val="auto"/>
                <w:lang w:val="en-US" w:eastAsia="zh-CN"/>
              </w:rPr>
              <w:t>其他基础工作开展分值5分。计分方式如下：</w:t>
            </w:r>
          </w:p>
          <w:p w14:paraId="54E2A3F9">
            <w:pPr>
              <w:pStyle w:val="13"/>
              <w:rPr>
                <w:rFonts w:hint="eastAsia" w:ascii="Times New Roman" w:hAnsi="Times New Roman"/>
                <w:color w:val="auto"/>
                <w:lang w:val="en-US" w:eastAsia="zh-CN"/>
              </w:rPr>
            </w:pPr>
            <w:r>
              <w:rPr>
                <w:rFonts w:hint="eastAsia" w:ascii="Times New Roman" w:hAnsi="Times New Roman"/>
                <w:color w:val="auto"/>
                <w:lang w:val="en-US" w:eastAsia="zh-CN"/>
              </w:rPr>
              <w:t>——“一河（湖）一档”填报规范，得1分。填报不规范，发现1例扣0.1分。本条最多扣1分。</w:t>
            </w:r>
          </w:p>
          <w:p w14:paraId="587A4D55">
            <w:pPr>
              <w:pStyle w:val="13"/>
              <w:rPr>
                <w:rFonts w:hint="eastAsia" w:ascii="Times New Roman" w:hAnsi="Times New Roman"/>
                <w:color w:val="auto"/>
                <w:lang w:val="en-US" w:eastAsia="zh-CN"/>
              </w:rPr>
            </w:pPr>
            <w:r>
              <w:rPr>
                <w:rFonts w:hint="eastAsia" w:ascii="Times New Roman" w:hAnsi="Times New Roman"/>
                <w:color w:val="auto"/>
                <w:lang w:val="en-US" w:eastAsia="zh-CN"/>
              </w:rPr>
              <w:t>——按规定完成河湖健康评价、建立河湖健康档案，得2分。其中：未按规定开展河湖健康评价、未完成健康档案建立任务，发现1例扣0.2分，最多扣1分；明显不符合技术规范，发现1例扣0.1分，最多扣1分。</w:t>
            </w:r>
          </w:p>
          <w:p w14:paraId="6A447E10">
            <w:pPr>
              <w:pStyle w:val="13"/>
              <w:rPr>
                <w:rFonts w:hint="eastAsia" w:ascii="Times New Roman" w:hAnsi="Times New Roman"/>
                <w:color w:val="auto"/>
                <w:lang w:val="en-US" w:eastAsia="zh-CN"/>
              </w:rPr>
            </w:pPr>
            <w:r>
              <w:rPr>
                <w:rFonts w:hint="eastAsia" w:ascii="Times New Roman" w:hAnsi="Times New Roman"/>
                <w:color w:val="auto"/>
                <w:lang w:val="en-US" w:eastAsia="zh-CN"/>
              </w:rPr>
              <w:t>——河长湖长公示牌，以及界桩、界碑、公告牌等设置规范，得2分。设置不规范、有损坏，或有关信息更新不及时、不准确，发现1例扣0.1分。本条最多扣2分。</w:t>
            </w:r>
          </w:p>
          <w:p w14:paraId="6BDF3470">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重要河湖水域岸线智慧监管</w:t>
            </w:r>
          </w:p>
          <w:p w14:paraId="66856DF1">
            <w:pPr>
              <w:pStyle w:val="13"/>
              <w:rPr>
                <w:rFonts w:hint="eastAsia" w:ascii="Times New Roman" w:hAnsi="Times New Roman"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重要河湖水域岸线智慧监管</w:t>
            </w:r>
            <w:r>
              <w:rPr>
                <w:rFonts w:hint="eastAsia" w:ascii="Times New Roman" w:hAnsi="Times New Roman"/>
                <w:color w:val="auto"/>
                <w:lang w:val="en-US" w:eastAsia="zh-CN"/>
              </w:rPr>
              <w:t>分值3分。计分方式如下：</w:t>
            </w:r>
          </w:p>
          <w:p w14:paraId="4956FE95">
            <w:pPr>
              <w:pStyle w:val="13"/>
              <w:rPr>
                <w:rFonts w:hint="eastAsia" w:ascii="Times New Roman" w:hAnsi="Times New Roman"/>
                <w:color w:val="auto"/>
                <w:lang w:val="en-US" w:eastAsia="zh-CN"/>
              </w:rPr>
            </w:pPr>
            <w:r>
              <w:rPr>
                <w:rFonts w:hint="eastAsia" w:ascii="Times New Roman" w:hAnsi="Times New Roman"/>
                <w:color w:val="auto"/>
                <w:lang w:val="en-US" w:eastAsia="zh-CN"/>
              </w:rPr>
              <w:t>——通过卫星、无人机等遥感技术，或视频监控等手段进行智慧监管，得3分。其中：河湖智慧监管覆盖率低于80%的，每低10个百分点扣0.5分，最多扣2分；集镇段（乡镇政府所在地）智慧监管未覆盖，发现1处扣0.2分，最多扣1分。</w:t>
            </w:r>
          </w:p>
          <w:p w14:paraId="34F0D04D">
            <w:pPr>
              <w:pStyle w:val="25"/>
              <w:bidi w:val="0"/>
              <w:ind w:left="0" w:leftChars="0" w:firstLine="0" w:firstLineChars="0"/>
              <w:rPr>
                <w:rFonts w:ascii="Times New Roman" w:hAnsi="Times New Roman"/>
                <w:color w:val="auto"/>
              </w:rPr>
            </w:pPr>
            <w:r>
              <w:rPr>
                <w:rFonts w:hint="eastAsia" w:ascii="Times New Roman" w:hAnsi="Times New Roman"/>
                <w:color w:val="auto"/>
                <w:lang w:val="en-US" w:eastAsia="zh-CN"/>
              </w:rPr>
              <w:t>标本兼治复苏河湖生态</w:t>
            </w:r>
          </w:p>
          <w:p w14:paraId="26B98DA1">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防洪排涝工程体系建设</w:t>
            </w:r>
          </w:p>
          <w:p w14:paraId="677E00A8">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防洪排涝工程体系建设分值5分</w:t>
            </w:r>
            <w:r>
              <w:rPr>
                <w:rFonts w:hint="eastAsia" w:ascii="Times New Roman" w:hAnsi="Times New Roman"/>
                <w:color w:val="auto"/>
                <w:lang w:val="en-US" w:eastAsia="zh-CN"/>
              </w:rPr>
              <w:t>。计分方式如下：</w:t>
            </w:r>
          </w:p>
          <w:p w14:paraId="2D106C25">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color w:val="auto"/>
                <w:lang w:val="en-US" w:eastAsia="zh-CN"/>
              </w:rPr>
              <w:t>——</w:t>
            </w:r>
            <w:r>
              <w:rPr>
                <w:rFonts w:hint="eastAsia" w:ascii="Times New Roman" w:hAnsi="Times New Roman" w:eastAsia="宋体" w:cs="Times New Roman"/>
                <w:color w:val="auto"/>
                <w:kern w:val="0"/>
                <w:sz w:val="21"/>
                <w:szCs w:val="20"/>
                <w:lang w:val="en-US" w:eastAsia="zh-CN" w:bidi="ar-SA"/>
              </w:rPr>
              <w:t>县域内城市建成区、乡镇沿河镇区、万亩以上圩区等防洪排涝达标，得5分。其中：城市建成区防洪排涝未达标，扣2分；乡镇沿河镇区防洪排涝未达标，发现1处扣0.5分，最多扣2分；万亩以上圩区防洪排涝未达标，发现1处扣0.2分，最多扣1分。</w:t>
            </w:r>
          </w:p>
          <w:p w14:paraId="3BD12012">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河湖自然岸线</w:t>
            </w:r>
          </w:p>
          <w:p w14:paraId="44B21C15">
            <w:pPr>
              <w:pStyle w:val="13"/>
              <w:rPr>
                <w:rFonts w:hint="eastAsia" w:ascii="Times New Roman" w:hAnsi="Times New Roman" w:eastAsia="宋体" w:cs="Times New Roman"/>
                <w:color w:val="auto"/>
                <w:sz w:val="21"/>
                <w:lang w:val="en-US" w:eastAsia="zh-CN" w:bidi="ar-SA"/>
              </w:rPr>
            </w:pPr>
            <w:r>
              <w:rPr>
                <w:rFonts w:hint="eastAsia" w:ascii="Times New Roman" w:hAnsi="Times New Roman" w:eastAsia="宋体" w:cs="Times New Roman"/>
                <w:color w:val="auto"/>
                <w:sz w:val="21"/>
                <w:lang w:val="en-US" w:eastAsia="zh-CN" w:bidi="ar-SA"/>
              </w:rPr>
              <w:t>河湖自然岸线</w:t>
            </w:r>
            <w:r>
              <w:rPr>
                <w:rFonts w:hint="eastAsia" w:ascii="Times New Roman" w:hAnsi="Times New Roman"/>
                <w:color w:val="auto"/>
                <w:lang w:val="en-US" w:eastAsia="zh-CN"/>
              </w:rPr>
              <w:t>分值5分。计分方式如下：</w:t>
            </w:r>
          </w:p>
          <w:p w14:paraId="29B03317">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color w:val="auto"/>
                <w:lang w:val="en-US" w:eastAsia="zh-CN"/>
              </w:rPr>
              <w:t>——</w:t>
            </w:r>
            <w:r>
              <w:rPr>
                <w:rFonts w:hint="eastAsia" w:ascii="Times New Roman" w:hAnsi="Times New Roman" w:eastAsia="宋体" w:cs="Times New Roman"/>
                <w:color w:val="auto"/>
                <w:kern w:val="0"/>
                <w:sz w:val="21"/>
                <w:szCs w:val="20"/>
                <w:lang w:val="en-US" w:eastAsia="zh-CN" w:bidi="ar-SA"/>
              </w:rPr>
              <w:t>河湖岸线自然状况良好、植被覆盖度较高，得5分。其中：自然岸线及人工生态岸线占比未达70%，每低10个百分点扣0.5分，最多扣2分；滨岸带植被覆盖度未达75%的，每低5个百分点扣0.4分，最多扣2分；河湖</w:t>
            </w:r>
            <w:r>
              <w:rPr>
                <w:rFonts w:hint="eastAsia" w:ascii="Times New Roman" w:hAnsi="Times New Roman" w:cs="Times New Roman"/>
                <w:color w:val="auto"/>
                <w:kern w:val="0"/>
                <w:sz w:val="21"/>
                <w:szCs w:val="20"/>
                <w:lang w:val="en-US" w:eastAsia="zh-CN" w:bidi="ar-SA"/>
              </w:rPr>
              <w:t>岸线</w:t>
            </w:r>
            <w:r>
              <w:rPr>
                <w:rFonts w:hint="eastAsia" w:ascii="Times New Roman" w:hAnsi="Times New Roman" w:eastAsia="宋体" w:cs="Times New Roman"/>
                <w:color w:val="auto"/>
                <w:kern w:val="0"/>
                <w:sz w:val="21"/>
                <w:szCs w:val="20"/>
                <w:lang w:val="en-US" w:eastAsia="zh-CN" w:bidi="ar-SA"/>
              </w:rPr>
              <w:t>存在过度“硬化、白化”等问题，发现1处扣0.2分，最多扣1分。</w:t>
            </w:r>
          </w:p>
          <w:p w14:paraId="24B17649">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河湖空间管控</w:t>
            </w:r>
          </w:p>
          <w:p w14:paraId="754F6597">
            <w:pPr>
              <w:pStyle w:val="13"/>
              <w:rPr>
                <w:rFonts w:hint="eastAsia" w:ascii="Times New Roman" w:hAnsi="Times New Roman" w:eastAsia="宋体" w:cs="Times New Roman"/>
                <w:color w:val="auto"/>
                <w:sz w:val="21"/>
                <w:lang w:val="en-US" w:eastAsia="zh-CN" w:bidi="ar-SA"/>
              </w:rPr>
            </w:pPr>
            <w:r>
              <w:rPr>
                <w:rFonts w:hint="eastAsia" w:ascii="Times New Roman" w:hAnsi="Times New Roman" w:cs="Times New Roman"/>
                <w:color w:val="auto"/>
                <w:sz w:val="21"/>
                <w:lang w:val="en-US" w:eastAsia="zh-CN" w:bidi="ar-SA"/>
              </w:rPr>
              <w:t>河湖空间管控</w:t>
            </w:r>
            <w:r>
              <w:rPr>
                <w:rFonts w:hint="eastAsia" w:ascii="Times New Roman" w:hAnsi="Times New Roman"/>
                <w:color w:val="auto"/>
                <w:lang w:val="en-US" w:eastAsia="zh-CN"/>
              </w:rPr>
              <w:t>分值9分。计分方式如下：</w:t>
            </w:r>
          </w:p>
          <w:p w14:paraId="4266AC84">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color w:val="auto"/>
                <w:lang w:val="en-US" w:eastAsia="zh-CN"/>
              </w:rPr>
              <w:t>——</w:t>
            </w:r>
            <w:r>
              <w:rPr>
                <w:rFonts w:hint="eastAsia" w:ascii="Times New Roman" w:hAnsi="Times New Roman" w:eastAsia="宋体" w:cs="Times New Roman"/>
                <w:color w:val="auto"/>
                <w:kern w:val="0"/>
                <w:sz w:val="21"/>
                <w:szCs w:val="20"/>
                <w:lang w:val="en-US" w:eastAsia="zh-CN" w:bidi="ar-SA"/>
              </w:rPr>
              <w:t>河湖空间管控有序，得4分。其中：未按照规定完成河湖管理范围划定成果上图，发现1例扣0.2分，最多扣1分；岸线功能分区划分不满足规定，岸线管控不符合要求，发现1例扣0.5分，最多扣1分；涉河建设项目批建不符，发现1例扣0.5分，最多扣2分。</w:t>
            </w:r>
          </w:p>
          <w:p w14:paraId="490B6CD5">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color w:val="auto"/>
                <w:lang w:val="en-US" w:eastAsia="zh-CN"/>
              </w:rPr>
              <w:t>——乱占、乱采、乱堆、乱建等河湖</w:t>
            </w:r>
            <w:r>
              <w:rPr>
                <w:rFonts w:hint="eastAsia" w:ascii="Times New Roman" w:hAnsi="Times New Roman" w:eastAsia="宋体" w:cs="Times New Roman"/>
                <w:color w:val="auto"/>
                <w:kern w:val="0"/>
                <w:sz w:val="21"/>
                <w:szCs w:val="20"/>
                <w:lang w:val="en-US" w:eastAsia="zh-CN" w:bidi="ar-SA"/>
              </w:rPr>
              <w:t>“四乱”问题动态清零，涉河湖问题按照规定分类处置，得5分。其中：“四乱”问题销号率未达100%，每低10个百分点扣0.5分，最多扣2分；省级以上督查暗访发现问题，每发现1个一般问题扣0.5分，每发现1个严重问题扣1分，最多扣3分。</w:t>
            </w:r>
          </w:p>
          <w:p w14:paraId="4ACADA3A">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水质状况</w:t>
            </w:r>
          </w:p>
          <w:p w14:paraId="446F802D">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水质状况分值10分。</w:t>
            </w:r>
            <w:r>
              <w:rPr>
                <w:rFonts w:hint="eastAsia" w:ascii="Times New Roman" w:hAnsi="Times New Roman"/>
                <w:color w:val="auto"/>
                <w:lang w:val="en-US" w:eastAsia="zh-CN"/>
              </w:rPr>
              <w:t>计分方式如下：</w:t>
            </w:r>
          </w:p>
          <w:p w14:paraId="211FB9C8">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——水质达到目标，得8分。其中：国控断面年度水质未达到目标，每有1个扣4分；省控断面年度水质未达到目标，每有1个扣2分。</w:t>
            </w:r>
            <w:r>
              <w:rPr>
                <w:rFonts w:hint="eastAsia" w:ascii="Times New Roman" w:hAnsi="Times New Roman"/>
                <w:color w:val="auto"/>
                <w:lang w:val="en-US" w:eastAsia="zh-CN"/>
              </w:rPr>
              <w:t>本条最多扣8分。</w:t>
            </w:r>
          </w:p>
          <w:p w14:paraId="513BBBCE">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水质稳定向好，得2分。其中：国控断面年度水质达到目标水质但水质类别下降，每有1个扣1分；省控断面年度水质达到目标但水质类别下降，每有1个扣0.5分；年度水质出现Ⅳ类，每发现1例扣0.5分。水质由I类降到II类，不扣分。</w:t>
            </w:r>
            <w:r>
              <w:rPr>
                <w:rFonts w:hint="eastAsia" w:ascii="Times New Roman" w:hAnsi="Times New Roman"/>
                <w:color w:val="auto"/>
                <w:lang w:val="en-US" w:eastAsia="zh-CN"/>
              </w:rPr>
              <w:t>本条最多扣2分。</w:t>
            </w:r>
          </w:p>
          <w:p w14:paraId="58F84C43">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黑臭水体整治</w:t>
            </w:r>
          </w:p>
          <w:p w14:paraId="76C9093A">
            <w:pPr>
              <w:pStyle w:val="13"/>
              <w:rPr>
                <w:rFonts w:hint="eastAsia" w:ascii="Times New Roman" w:hAnsi="Times New Roman" w:eastAsia="宋体" w:cs="Times New Roman"/>
                <w:color w:val="auto"/>
                <w:sz w:val="21"/>
                <w:lang w:val="en-US" w:eastAsia="zh-CN" w:bidi="ar-SA"/>
              </w:rPr>
            </w:pPr>
            <w:r>
              <w:rPr>
                <w:rFonts w:hint="eastAsia" w:ascii="Times New Roman" w:hAnsi="Times New Roman" w:eastAsia="宋体" w:cs="Times New Roman"/>
                <w:color w:val="auto"/>
                <w:sz w:val="21"/>
                <w:lang w:val="en-US" w:eastAsia="zh-CN" w:bidi="ar-SA"/>
              </w:rPr>
              <w:t>黑臭水体整治</w:t>
            </w:r>
            <w:r>
              <w:rPr>
                <w:rFonts w:hint="eastAsia" w:ascii="Times New Roman" w:hAnsi="Times New Roman"/>
                <w:color w:val="auto"/>
                <w:lang w:val="en-US" w:eastAsia="zh-CN"/>
              </w:rPr>
              <w:t>分值5分。计分方式如下：</w:t>
            </w:r>
          </w:p>
          <w:p w14:paraId="07504455">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——对市辖区：城市黑臭水体保持长治久清，得2分；发现1条存在返黑返臭现象，扣2分。对县级市、县：县城建成区黑臭水体达到“初见成效”整治效果，得2分；发现1条未达到“初见成效”整治效果，扣2分。</w:t>
            </w:r>
          </w:p>
          <w:p w14:paraId="4739641F">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农村黑臭水体全面消除，或消除比例完成下达任务且高于全省平均值10个百分点，得3分。其中：农村黑臭水体消除比例未完成下达任务或完成下达任务但低于全省平均值，不得分；完成下达任务且高于全省平均值，未达到全省平均值10个百分点，每低1个百分点扣0.3分。</w:t>
            </w:r>
            <w:r>
              <w:rPr>
                <w:rFonts w:hint="eastAsia" w:ascii="Times New Roman" w:hAnsi="Times New Roman"/>
                <w:color w:val="auto"/>
                <w:lang w:val="en-US" w:eastAsia="zh-CN"/>
              </w:rPr>
              <w:t>本条最多扣3分。</w:t>
            </w:r>
          </w:p>
          <w:p w14:paraId="7601E19C">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面源污染治理</w:t>
            </w:r>
          </w:p>
          <w:p w14:paraId="082DBCAD">
            <w:pPr>
              <w:pStyle w:val="13"/>
              <w:rPr>
                <w:rFonts w:hint="eastAsia" w:ascii="Times New Roman" w:hAnsi="Times New Roman" w:eastAsia="宋体" w:cs="Times New Roman"/>
                <w:color w:val="auto"/>
                <w:sz w:val="21"/>
                <w:lang w:val="en-US" w:eastAsia="zh-CN" w:bidi="ar-SA"/>
              </w:rPr>
            </w:pPr>
            <w:r>
              <w:rPr>
                <w:rFonts w:hint="eastAsia" w:ascii="Times New Roman" w:hAnsi="Times New Roman" w:eastAsia="宋体" w:cs="Times New Roman"/>
                <w:color w:val="auto"/>
                <w:sz w:val="21"/>
                <w:lang w:val="en-US" w:eastAsia="zh-CN" w:bidi="ar-SA"/>
              </w:rPr>
              <w:t>面源污染治理</w:t>
            </w:r>
            <w:r>
              <w:rPr>
                <w:rFonts w:hint="eastAsia" w:ascii="Times New Roman" w:hAnsi="Times New Roman"/>
                <w:color w:val="auto"/>
                <w:lang w:val="en-US" w:eastAsia="zh-CN"/>
              </w:rPr>
              <w:t>分值5分。计分方式如下：</w:t>
            </w:r>
          </w:p>
          <w:p w14:paraId="0626DA8A">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——秸秆综合利用</w:t>
            </w:r>
            <w:r>
              <w:rPr>
                <w:rFonts w:hint="eastAsia" w:ascii="Times New Roman" w:hAnsi="Times New Roman" w:cs="Times New Roman"/>
                <w:color w:val="auto"/>
                <w:kern w:val="0"/>
                <w:sz w:val="21"/>
                <w:szCs w:val="20"/>
                <w:lang w:val="en-US" w:eastAsia="zh-CN" w:bidi="ar-SA"/>
              </w:rPr>
              <w:t>率高于省、市平均值的</w:t>
            </w:r>
            <w:r>
              <w:rPr>
                <w:rFonts w:hint="eastAsia" w:ascii="Times New Roman" w:hAnsi="Times New Roman" w:eastAsia="宋体" w:cs="Times New Roman"/>
                <w:color w:val="auto"/>
                <w:kern w:val="0"/>
                <w:sz w:val="21"/>
                <w:szCs w:val="20"/>
                <w:lang w:val="en-US" w:eastAsia="zh-CN" w:bidi="ar-SA"/>
              </w:rPr>
              <w:t>，得</w:t>
            </w:r>
            <w:r>
              <w:rPr>
                <w:rFonts w:hint="eastAsia" w:ascii="Times New Roman" w:hAnsi="Times New Roman" w:cs="Times New Roman"/>
                <w:color w:val="auto"/>
                <w:kern w:val="0"/>
                <w:sz w:val="21"/>
                <w:szCs w:val="20"/>
                <w:lang w:val="en-US" w:eastAsia="zh-CN" w:bidi="ar-SA"/>
              </w:rPr>
              <w:t>2</w:t>
            </w:r>
            <w:r>
              <w:rPr>
                <w:rFonts w:hint="eastAsia" w:ascii="Times New Roman" w:hAnsi="Times New Roman" w:eastAsia="宋体" w:cs="Times New Roman"/>
                <w:color w:val="auto"/>
                <w:kern w:val="0"/>
                <w:sz w:val="21"/>
                <w:szCs w:val="20"/>
                <w:lang w:val="en-US" w:eastAsia="zh-CN" w:bidi="ar-SA"/>
              </w:rPr>
              <w:t>分</w:t>
            </w:r>
            <w:r>
              <w:rPr>
                <w:rFonts w:hint="eastAsia" w:ascii="Times New Roman" w:hAnsi="Times New Roman" w:cs="Times New Roman"/>
                <w:color w:val="auto"/>
                <w:kern w:val="0"/>
                <w:sz w:val="21"/>
                <w:szCs w:val="20"/>
                <w:lang w:val="en-US" w:eastAsia="zh-CN" w:bidi="ar-SA"/>
              </w:rPr>
              <w:t>；</w:t>
            </w:r>
            <w:r>
              <w:rPr>
                <w:rFonts w:hint="eastAsia" w:ascii="Times New Roman" w:hAnsi="Times New Roman" w:eastAsia="宋体" w:cs="Times New Roman"/>
                <w:color w:val="auto"/>
                <w:kern w:val="0"/>
                <w:sz w:val="21"/>
                <w:szCs w:val="20"/>
                <w:lang w:val="en-US" w:eastAsia="zh-CN" w:bidi="ar-SA"/>
              </w:rPr>
              <w:t>介于省、市平均值之间或持平于省、市平均值，扣1分</w:t>
            </w:r>
            <w:r>
              <w:rPr>
                <w:rFonts w:hint="eastAsia" w:ascii="Times New Roman" w:hAnsi="Times New Roman" w:cs="Times New Roman"/>
                <w:color w:val="auto"/>
                <w:kern w:val="0"/>
                <w:sz w:val="21"/>
                <w:szCs w:val="20"/>
                <w:lang w:val="en-US" w:eastAsia="zh-CN" w:bidi="ar-SA"/>
              </w:rPr>
              <w:t>；</w:t>
            </w:r>
            <w:r>
              <w:rPr>
                <w:rFonts w:hint="eastAsia" w:ascii="Times New Roman" w:hAnsi="Times New Roman" w:eastAsia="宋体" w:cs="Times New Roman"/>
                <w:color w:val="auto"/>
                <w:kern w:val="0"/>
                <w:sz w:val="21"/>
                <w:szCs w:val="20"/>
                <w:lang w:val="en-US" w:eastAsia="zh-CN" w:bidi="ar-SA"/>
              </w:rPr>
              <w:t>低于省、市平均值，扣2分</w:t>
            </w:r>
            <w:r>
              <w:rPr>
                <w:rFonts w:hint="eastAsia" w:ascii="Times New Roman" w:hAnsi="Times New Roman" w:cs="Times New Roman"/>
                <w:color w:val="auto"/>
                <w:kern w:val="0"/>
                <w:sz w:val="21"/>
                <w:szCs w:val="20"/>
                <w:lang w:val="en-US" w:eastAsia="zh-CN" w:bidi="ar-SA"/>
              </w:rPr>
              <w:t>。</w:t>
            </w:r>
          </w:p>
          <w:p w14:paraId="7FAFCF64">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——主要农作物测土配方施肥技术覆盖率</w:t>
            </w:r>
            <w:r>
              <w:rPr>
                <w:rFonts w:hint="eastAsia" w:ascii="Times New Roman" w:hAnsi="Times New Roman" w:cs="Times New Roman"/>
                <w:color w:val="auto"/>
                <w:kern w:val="0"/>
                <w:sz w:val="21"/>
                <w:szCs w:val="20"/>
                <w:lang w:val="en-US" w:eastAsia="zh-CN" w:bidi="ar-SA"/>
              </w:rPr>
              <w:t>高于省、市平均值的</w:t>
            </w:r>
            <w:r>
              <w:rPr>
                <w:rFonts w:hint="eastAsia" w:ascii="Times New Roman" w:hAnsi="Times New Roman" w:eastAsia="宋体" w:cs="Times New Roman"/>
                <w:color w:val="auto"/>
                <w:kern w:val="0"/>
                <w:sz w:val="21"/>
                <w:szCs w:val="20"/>
                <w:lang w:val="en-US" w:eastAsia="zh-CN" w:bidi="ar-SA"/>
              </w:rPr>
              <w:t>，得</w:t>
            </w:r>
            <w:r>
              <w:rPr>
                <w:rFonts w:hint="eastAsia" w:ascii="Times New Roman" w:hAnsi="Times New Roman" w:cs="Times New Roman"/>
                <w:color w:val="auto"/>
                <w:kern w:val="0"/>
                <w:sz w:val="21"/>
                <w:szCs w:val="20"/>
                <w:lang w:val="en-US" w:eastAsia="zh-CN" w:bidi="ar-SA"/>
              </w:rPr>
              <w:t>2</w:t>
            </w:r>
            <w:r>
              <w:rPr>
                <w:rFonts w:hint="eastAsia" w:ascii="Times New Roman" w:hAnsi="Times New Roman" w:eastAsia="宋体" w:cs="Times New Roman"/>
                <w:color w:val="auto"/>
                <w:kern w:val="0"/>
                <w:sz w:val="21"/>
                <w:szCs w:val="20"/>
                <w:lang w:val="en-US" w:eastAsia="zh-CN" w:bidi="ar-SA"/>
              </w:rPr>
              <w:t>分</w:t>
            </w:r>
            <w:r>
              <w:rPr>
                <w:rFonts w:hint="eastAsia" w:ascii="Times New Roman" w:hAnsi="Times New Roman" w:cs="Times New Roman"/>
                <w:color w:val="auto"/>
                <w:kern w:val="0"/>
                <w:sz w:val="21"/>
                <w:szCs w:val="20"/>
                <w:lang w:val="en-US" w:eastAsia="zh-CN" w:bidi="ar-SA"/>
              </w:rPr>
              <w:t>；</w:t>
            </w:r>
            <w:r>
              <w:rPr>
                <w:rFonts w:hint="eastAsia" w:ascii="Times New Roman" w:hAnsi="Times New Roman" w:eastAsia="宋体" w:cs="Times New Roman"/>
                <w:color w:val="auto"/>
                <w:kern w:val="0"/>
                <w:sz w:val="21"/>
                <w:szCs w:val="20"/>
                <w:lang w:val="en-US" w:eastAsia="zh-CN" w:bidi="ar-SA"/>
              </w:rPr>
              <w:t>介于省、市平均值之间或持平于省、市平均值，扣1分</w:t>
            </w:r>
            <w:r>
              <w:rPr>
                <w:rFonts w:hint="eastAsia" w:ascii="Times New Roman" w:hAnsi="Times New Roman" w:cs="Times New Roman"/>
                <w:color w:val="auto"/>
                <w:kern w:val="0"/>
                <w:sz w:val="21"/>
                <w:szCs w:val="20"/>
                <w:lang w:val="en-US" w:eastAsia="zh-CN" w:bidi="ar-SA"/>
              </w:rPr>
              <w:t>；</w:t>
            </w:r>
            <w:r>
              <w:rPr>
                <w:rFonts w:hint="eastAsia" w:ascii="Times New Roman" w:hAnsi="Times New Roman" w:eastAsia="宋体" w:cs="Times New Roman"/>
                <w:color w:val="auto"/>
                <w:kern w:val="0"/>
                <w:sz w:val="21"/>
                <w:szCs w:val="20"/>
                <w:lang w:val="en-US" w:eastAsia="zh-CN" w:bidi="ar-SA"/>
              </w:rPr>
              <w:t>低于省、市平均值，扣2分</w:t>
            </w:r>
            <w:r>
              <w:rPr>
                <w:rFonts w:hint="eastAsia" w:ascii="Times New Roman" w:hAnsi="Times New Roman" w:cs="Times New Roman"/>
                <w:color w:val="auto"/>
                <w:kern w:val="0"/>
                <w:sz w:val="21"/>
                <w:szCs w:val="20"/>
                <w:lang w:val="en-US" w:eastAsia="zh-CN" w:bidi="ar-SA"/>
              </w:rPr>
              <w:t>。</w:t>
            </w:r>
          </w:p>
          <w:p w14:paraId="5D79707E">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——畜禽粪污综合利用</w:t>
            </w:r>
            <w:r>
              <w:rPr>
                <w:rFonts w:hint="eastAsia" w:ascii="Times New Roman" w:hAnsi="Times New Roman" w:cs="Times New Roman"/>
                <w:color w:val="auto"/>
                <w:kern w:val="0"/>
                <w:sz w:val="21"/>
                <w:szCs w:val="20"/>
                <w:lang w:val="en-US" w:eastAsia="zh-CN" w:bidi="ar-SA"/>
              </w:rPr>
              <w:t>率高于省、市平均值的</w:t>
            </w:r>
            <w:r>
              <w:rPr>
                <w:rFonts w:hint="eastAsia" w:ascii="Times New Roman" w:hAnsi="Times New Roman" w:eastAsia="宋体" w:cs="Times New Roman"/>
                <w:color w:val="auto"/>
                <w:kern w:val="0"/>
                <w:sz w:val="21"/>
                <w:szCs w:val="20"/>
                <w:lang w:val="en-US" w:eastAsia="zh-CN" w:bidi="ar-SA"/>
              </w:rPr>
              <w:t>，得</w:t>
            </w:r>
            <w:r>
              <w:rPr>
                <w:rFonts w:hint="eastAsia" w:ascii="Times New Roman" w:hAnsi="Times New Roman" w:cs="Times New Roman"/>
                <w:color w:val="auto"/>
                <w:kern w:val="0"/>
                <w:sz w:val="21"/>
                <w:szCs w:val="20"/>
                <w:lang w:val="en-US" w:eastAsia="zh-CN" w:bidi="ar-SA"/>
              </w:rPr>
              <w:t>1</w:t>
            </w:r>
            <w:r>
              <w:rPr>
                <w:rFonts w:hint="eastAsia" w:ascii="Times New Roman" w:hAnsi="Times New Roman" w:eastAsia="宋体" w:cs="Times New Roman"/>
                <w:color w:val="auto"/>
                <w:kern w:val="0"/>
                <w:sz w:val="21"/>
                <w:szCs w:val="20"/>
                <w:lang w:val="en-US" w:eastAsia="zh-CN" w:bidi="ar-SA"/>
              </w:rPr>
              <w:t>分</w:t>
            </w:r>
            <w:r>
              <w:rPr>
                <w:rFonts w:hint="eastAsia" w:ascii="Times New Roman" w:hAnsi="Times New Roman" w:cs="Times New Roman"/>
                <w:color w:val="auto"/>
                <w:kern w:val="0"/>
                <w:sz w:val="21"/>
                <w:szCs w:val="20"/>
                <w:lang w:val="en-US" w:eastAsia="zh-CN" w:bidi="ar-SA"/>
              </w:rPr>
              <w:t>；</w:t>
            </w:r>
            <w:r>
              <w:rPr>
                <w:rFonts w:hint="eastAsia" w:ascii="Times New Roman" w:hAnsi="Times New Roman" w:eastAsia="宋体" w:cs="Times New Roman"/>
                <w:color w:val="auto"/>
                <w:kern w:val="0"/>
                <w:sz w:val="21"/>
                <w:szCs w:val="20"/>
                <w:lang w:val="en-US" w:eastAsia="zh-CN" w:bidi="ar-SA"/>
              </w:rPr>
              <w:t>低于全省畜禽粪污综合利用率，扣1分。</w:t>
            </w:r>
          </w:p>
          <w:p w14:paraId="4EC27DDE">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生态流量（水位）满足程度</w:t>
            </w:r>
          </w:p>
          <w:p w14:paraId="1DF2AA27">
            <w:pPr>
              <w:pStyle w:val="13"/>
              <w:rPr>
                <w:rFonts w:hint="eastAsia" w:ascii="Times New Roman" w:hAnsi="Times New Roman" w:eastAsia="宋体" w:cs="Times New Roman"/>
                <w:color w:val="auto"/>
                <w:sz w:val="21"/>
                <w:lang w:val="en-US" w:eastAsia="zh-CN" w:bidi="ar-SA"/>
              </w:rPr>
            </w:pPr>
            <w:r>
              <w:rPr>
                <w:rFonts w:hint="eastAsia" w:ascii="Times New Roman" w:hAnsi="Times New Roman" w:eastAsia="宋体" w:cs="Times New Roman"/>
                <w:color w:val="auto"/>
                <w:sz w:val="21"/>
                <w:lang w:val="en-US" w:eastAsia="zh-CN" w:bidi="ar-SA"/>
              </w:rPr>
              <w:t>生态流量（水位）满足程度</w:t>
            </w:r>
            <w:r>
              <w:rPr>
                <w:rFonts w:hint="eastAsia" w:ascii="Times New Roman" w:hAnsi="Times New Roman"/>
                <w:color w:val="auto"/>
                <w:lang w:val="en-US" w:eastAsia="zh-CN"/>
              </w:rPr>
              <w:t>分值5分。计分方式如下：</w:t>
            </w:r>
          </w:p>
          <w:p w14:paraId="7BE59F1A">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——河湖生态流量（水位）满足程度全部达标，得4分。未全部达标，按照未达标的河湖管控断面占比扣分。</w:t>
            </w:r>
          </w:p>
          <w:p w14:paraId="22DFF182">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——县域内90%以上的小水电站生态流量泄放达标，得1分。每低1个百分点扣0.1分，最多扣</w:t>
            </w:r>
            <w:r>
              <w:rPr>
                <w:rFonts w:hint="eastAsia" w:ascii="Times New Roman" w:hAnsi="Times New Roman" w:cs="Times New Roman"/>
                <w:color w:val="auto"/>
                <w:kern w:val="0"/>
                <w:sz w:val="21"/>
                <w:szCs w:val="20"/>
                <w:lang w:val="en-US" w:eastAsia="zh-CN" w:bidi="ar-SA"/>
              </w:rPr>
              <w:t>1</w:t>
            </w:r>
            <w:r>
              <w:rPr>
                <w:rFonts w:hint="eastAsia" w:ascii="Times New Roman" w:hAnsi="Times New Roman" w:eastAsia="宋体" w:cs="Times New Roman"/>
                <w:color w:val="auto"/>
                <w:kern w:val="0"/>
                <w:sz w:val="21"/>
                <w:szCs w:val="20"/>
                <w:lang w:val="en-US" w:eastAsia="zh-CN" w:bidi="ar-SA"/>
              </w:rPr>
              <w:t>分。</w:t>
            </w:r>
          </w:p>
          <w:p w14:paraId="19313C19">
            <w:pPr>
              <w:pStyle w:val="25"/>
              <w:bidi w:val="0"/>
              <w:ind w:left="0" w:leftChars="0" w:firstLine="0" w:firstLineChars="0"/>
              <w:rPr>
                <w:rFonts w:ascii="Times New Roman" w:hAnsi="Times New Roman"/>
                <w:color w:val="auto"/>
              </w:rPr>
            </w:pPr>
            <w:r>
              <w:rPr>
                <w:rFonts w:hint="eastAsia" w:ascii="Times New Roman" w:hAnsi="Times New Roman"/>
                <w:color w:val="auto"/>
                <w:lang w:val="en-US" w:eastAsia="zh-CN"/>
              </w:rPr>
              <w:t>建设健康美丽幸福河湖</w:t>
            </w:r>
          </w:p>
          <w:p w14:paraId="2741621D">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幸福河湖建设</w:t>
            </w:r>
          </w:p>
          <w:p w14:paraId="24FAB27F">
            <w:pPr>
              <w:pStyle w:val="13"/>
              <w:keepNext w:val="0"/>
              <w:keepLines w:val="0"/>
              <w:pageBreakBefore w:val="0"/>
              <w:widowControl/>
              <w:kinsoku/>
              <w:wordWrap/>
              <w:overflowPunct/>
              <w:topLinePunct w:val="0"/>
              <w:autoSpaceDE w:val="0"/>
              <w:autoSpaceDN w:val="0"/>
              <w:bidi w:val="0"/>
              <w:adjustRightInd/>
              <w:snapToGrid/>
              <w:ind w:firstLine="0" w:firstLineChars="0"/>
              <w:jc w:val="left"/>
              <w:textAlignment w:val="auto"/>
              <w:rPr>
                <w:rFonts w:hint="eastAsia" w:ascii="Times New Roman" w:hAnsi="Times New Roman" w:eastAsia="宋体" w:cs="Times New Roman"/>
                <w:color w:val="auto"/>
                <w:sz w:val="21"/>
                <w:lang w:val="en-US" w:eastAsia="zh-CN" w:bidi="ar-SA"/>
              </w:rPr>
            </w:pPr>
            <w:r>
              <w:rPr>
                <w:rFonts w:hint="eastAsia" w:ascii="Times New Roman" w:hAnsi="Times New Roman" w:eastAsia="黑体" w:cs="黑体"/>
                <w:b w:val="0"/>
                <w:bCs w:val="0"/>
                <w:color w:val="auto"/>
                <w:kern w:val="0"/>
                <w:sz w:val="21"/>
                <w:szCs w:val="20"/>
                <w:lang w:val="en-US" w:eastAsia="zh-CN" w:bidi="ar-SA"/>
              </w:rPr>
              <w:t xml:space="preserve">6.3.1.1 </w:t>
            </w:r>
            <w:r>
              <w:rPr>
                <w:rFonts w:hint="eastAsia" w:ascii="Times New Roman" w:hAnsi="Times New Roman" w:eastAsia="宋体" w:cs="Times New Roman"/>
                <w:color w:val="auto"/>
                <w:kern w:val="0"/>
                <w:sz w:val="21"/>
                <w:szCs w:val="20"/>
                <w:lang w:val="en-US" w:eastAsia="zh-CN" w:bidi="ar-SA"/>
              </w:rPr>
              <w:t>幸福河湖建设</w:t>
            </w:r>
            <w:r>
              <w:rPr>
                <w:rFonts w:hint="eastAsia" w:ascii="Times New Roman" w:hAnsi="Times New Roman"/>
                <w:color w:val="auto"/>
                <w:lang w:val="en-US" w:eastAsia="zh-CN"/>
              </w:rPr>
              <w:t>分值10分。计分方式如下：</w:t>
            </w:r>
          </w:p>
          <w:p w14:paraId="531D8AEF">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——建成省级幸福河湖数量比全省平均值多3个，得8分；多2个，得7分；多1个，得6分。</w:t>
            </w:r>
          </w:p>
          <w:p w14:paraId="43CBE921">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——探索开展全域幸福河湖建设，以乡镇或流域为单元建成1个全域幸福河湖，得2分，否则不得分。</w:t>
            </w:r>
          </w:p>
          <w:p w14:paraId="0A2D1232">
            <w:pPr>
              <w:pStyle w:val="13"/>
              <w:keepNext w:val="0"/>
              <w:keepLines w:val="0"/>
              <w:pageBreakBefore w:val="0"/>
              <w:widowControl/>
              <w:kinsoku/>
              <w:wordWrap/>
              <w:overflowPunct/>
              <w:topLinePunct w:val="0"/>
              <w:autoSpaceDE w:val="0"/>
              <w:autoSpaceDN w:val="0"/>
              <w:bidi w:val="0"/>
              <w:adjustRightInd/>
              <w:snapToGrid/>
              <w:ind w:firstLine="0" w:firstLineChars="0"/>
              <w:jc w:val="left"/>
              <w:textAlignment w:val="auto"/>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黑体" w:cs="黑体"/>
                <w:b w:val="0"/>
                <w:bCs w:val="0"/>
                <w:color w:val="auto"/>
                <w:kern w:val="0"/>
                <w:sz w:val="21"/>
                <w:szCs w:val="20"/>
                <w:lang w:val="en-US" w:eastAsia="zh-CN" w:bidi="ar-SA"/>
              </w:rPr>
              <w:t>6.3.1.2</w:t>
            </w:r>
            <w:r>
              <w:rPr>
                <w:rFonts w:hint="eastAsia" w:ascii="Times New Roman" w:hAnsi="Times New Roman" w:eastAsia="宋体" w:cs="Times New Roman"/>
                <w:color w:val="auto"/>
                <w:kern w:val="0"/>
                <w:sz w:val="21"/>
                <w:szCs w:val="20"/>
                <w:lang w:val="en-US" w:eastAsia="zh-CN" w:bidi="ar-SA"/>
              </w:rPr>
              <w:t xml:space="preserve"> 1个国家级</w:t>
            </w:r>
            <w:r>
              <w:rPr>
                <w:rFonts w:hint="eastAsia" w:ascii="Times New Roman" w:hAnsi="Times New Roman" w:cs="Times New Roman"/>
                <w:color w:val="auto"/>
                <w:kern w:val="0"/>
                <w:sz w:val="21"/>
                <w:szCs w:val="20"/>
                <w:lang w:val="en-US" w:eastAsia="zh-CN" w:bidi="ar-SA"/>
              </w:rPr>
              <w:t>幸福河湖可以折算为4个省级幸福河湖，1个</w:t>
            </w:r>
            <w:r>
              <w:rPr>
                <w:rFonts w:hint="eastAsia" w:ascii="Times New Roman" w:hAnsi="Times New Roman" w:eastAsia="宋体" w:cs="Times New Roman"/>
                <w:color w:val="auto"/>
                <w:kern w:val="0"/>
                <w:sz w:val="21"/>
                <w:szCs w:val="20"/>
                <w:lang w:val="en-US" w:eastAsia="zh-CN" w:bidi="ar-SA"/>
              </w:rPr>
              <w:t>流域级幸福河湖</w:t>
            </w:r>
            <w:r>
              <w:rPr>
                <w:rFonts w:hint="eastAsia" w:ascii="Times New Roman" w:hAnsi="Times New Roman" w:cs="Times New Roman"/>
                <w:color w:val="auto"/>
                <w:kern w:val="0"/>
                <w:sz w:val="21"/>
                <w:szCs w:val="20"/>
                <w:lang w:val="en-US" w:eastAsia="zh-CN" w:bidi="ar-SA"/>
              </w:rPr>
              <w:t>可</w:t>
            </w:r>
            <w:r>
              <w:rPr>
                <w:rFonts w:hint="eastAsia" w:ascii="Times New Roman" w:hAnsi="Times New Roman" w:eastAsia="宋体" w:cs="Times New Roman"/>
                <w:color w:val="auto"/>
                <w:kern w:val="0"/>
                <w:sz w:val="21"/>
                <w:szCs w:val="20"/>
                <w:lang w:val="en-US" w:eastAsia="zh-CN" w:bidi="ar-SA"/>
              </w:rPr>
              <w:t>折算为2个省级幸福河湖。全省平均值为（省级幸福河湖数量+流域级幸福河湖数量×2+国家级幸福河湖数量×4）/104后，向大取整的数值</w:t>
            </w:r>
            <w:r>
              <w:rPr>
                <w:rFonts w:hint="eastAsia" w:ascii="Times New Roman" w:hAnsi="Times New Roman" w:cs="Times New Roman"/>
                <w:color w:val="auto"/>
                <w:kern w:val="0"/>
                <w:sz w:val="21"/>
                <w:szCs w:val="20"/>
                <w:lang w:val="en-US" w:eastAsia="zh-CN" w:bidi="ar-SA"/>
              </w:rPr>
              <w:t>。</w:t>
            </w:r>
          </w:p>
          <w:p w14:paraId="1E1F7A4D">
            <w:pPr>
              <w:pStyle w:val="13"/>
              <w:ind w:left="0" w:leftChars="0" w:firstLine="0" w:firstLineChars="0"/>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黑体" w:cs="黑体"/>
                <w:b w:val="0"/>
                <w:bCs w:val="0"/>
                <w:color w:val="auto"/>
                <w:kern w:val="0"/>
                <w:sz w:val="21"/>
                <w:szCs w:val="20"/>
                <w:lang w:val="en-US" w:eastAsia="zh-CN" w:bidi="ar-SA"/>
              </w:rPr>
              <w:t>6.3.1.3</w:t>
            </w:r>
            <w:r>
              <w:rPr>
                <w:rFonts w:hint="eastAsia" w:ascii="Times New Roman" w:hAnsi="Times New Roman" w:eastAsia="宋体" w:cs="Times New Roman"/>
                <w:color w:val="auto"/>
                <w:kern w:val="0"/>
                <w:sz w:val="21"/>
                <w:szCs w:val="20"/>
                <w:lang w:val="en-US" w:eastAsia="zh-CN" w:bidi="ar-SA"/>
              </w:rPr>
              <w:t xml:space="preserve"> </w:t>
            </w:r>
            <w:r>
              <w:rPr>
                <w:rFonts w:hint="eastAsia" w:ascii="Times New Roman" w:hAnsi="Times New Roman" w:eastAsia="宋体" w:cs="宋体"/>
                <w:color w:val="auto"/>
                <w:spacing w:val="0"/>
                <w:sz w:val="21"/>
                <w:szCs w:val="21"/>
                <w:highlight w:val="none"/>
                <w:vertAlign w:val="baseline"/>
              </w:rPr>
              <w:t>同一条河湖建成不同层级幸福河湖，按照最高层级赋分，不重复计分</w:t>
            </w:r>
            <w:r>
              <w:rPr>
                <w:rFonts w:hint="eastAsia" w:ascii="Times New Roman" w:hAnsi="Times New Roman" w:cs="宋体"/>
                <w:color w:val="auto"/>
                <w:spacing w:val="0"/>
                <w:sz w:val="21"/>
                <w:szCs w:val="21"/>
                <w:highlight w:val="none"/>
                <w:vertAlign w:val="baseline"/>
                <w:lang w:eastAsia="zh-CN"/>
              </w:rPr>
              <w:t>；</w:t>
            </w:r>
            <w:r>
              <w:rPr>
                <w:rFonts w:hint="eastAsia" w:ascii="Times New Roman" w:hAnsi="Times New Roman" w:eastAsia="宋体" w:cs="宋体"/>
                <w:color w:val="auto"/>
                <w:spacing w:val="0"/>
                <w:sz w:val="21"/>
                <w:szCs w:val="21"/>
                <w:highlight w:val="none"/>
                <w:vertAlign w:val="baseline"/>
              </w:rPr>
              <w:t>对跨行政区的幸福河湖，该县（市、区）需承担主要建设任务</w:t>
            </w:r>
            <w:r>
              <w:rPr>
                <w:rFonts w:hint="eastAsia" w:ascii="Times New Roman" w:hAnsi="Times New Roman" w:eastAsia="宋体" w:cs="Times New Roman"/>
                <w:color w:val="auto"/>
                <w:kern w:val="0"/>
                <w:sz w:val="21"/>
                <w:szCs w:val="20"/>
                <w:lang w:val="en-US" w:eastAsia="zh-CN" w:bidi="ar-SA"/>
              </w:rPr>
              <w:t>。</w:t>
            </w:r>
          </w:p>
          <w:p w14:paraId="2B9839E1">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水文化载体建设</w:t>
            </w:r>
          </w:p>
          <w:p w14:paraId="7416A677">
            <w:pPr>
              <w:pStyle w:val="13"/>
              <w:rPr>
                <w:rFonts w:hint="eastAsia" w:ascii="Times New Roman" w:hAnsi="Times New Roman"/>
                <w:color w:val="auto"/>
                <w:lang w:val="en-US" w:eastAsia="zh-CN"/>
              </w:rPr>
            </w:pPr>
            <w:r>
              <w:rPr>
                <w:rFonts w:hint="eastAsia" w:ascii="Times New Roman" w:hAnsi="Times New Roman" w:cs="Times New Roman"/>
                <w:color w:val="auto"/>
                <w:kern w:val="0"/>
                <w:sz w:val="21"/>
                <w:szCs w:val="20"/>
                <w:lang w:val="en-US" w:eastAsia="zh-CN" w:bidi="ar-SA"/>
              </w:rPr>
              <w:t>水文化载体建设</w:t>
            </w:r>
            <w:r>
              <w:rPr>
                <w:rFonts w:hint="eastAsia" w:ascii="Times New Roman" w:hAnsi="Times New Roman"/>
                <w:color w:val="auto"/>
                <w:lang w:val="en-US" w:eastAsia="zh-CN"/>
              </w:rPr>
              <w:t>分值6分。计分方式如下：</w:t>
            </w:r>
          </w:p>
          <w:p w14:paraId="0C72A1E4">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县域内建设水文化展览馆、主题公园、教育基地等3类场所满足要求，得3分。其中：水文化展览馆展示包含水利工程文化、以水为载体的风俗习惯、治水历史、治水名人、有关水的价值观念等内容；主题公园建设包含河湖长制元素、水文化展示、水科普宣传等主题内容，且可供开展相关活动；教育基地包含水情教育基地、水土保持科技示范园、节水示范基地等，可面向社会公众普及水状况、水常识、水科技、水法规和水文化等知识。每少1类场所扣1分；以上场所未达到有关要求，每发现1处扣0.2分。</w:t>
            </w:r>
            <w:r>
              <w:rPr>
                <w:rFonts w:hint="eastAsia" w:ascii="Times New Roman" w:hAnsi="Times New Roman"/>
                <w:color w:val="auto"/>
                <w:lang w:val="en-US" w:eastAsia="zh-CN"/>
              </w:rPr>
              <w:t>本条最多扣3分。</w:t>
            </w:r>
          </w:p>
          <w:p w14:paraId="1E658ADD">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——两年来，利用以上场所开展相关宣传、学习等活动6次以上，总人次不低于500人次，得3分。其中：活动少于6次，每少1次扣0.5分，最多扣2分；总人次低于500人次，扣1分。</w:t>
            </w:r>
          </w:p>
          <w:p w14:paraId="40B0A4FE">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成效彰显</w:t>
            </w:r>
          </w:p>
          <w:p w14:paraId="5EB5EB09">
            <w:pPr>
              <w:pStyle w:val="13"/>
              <w:rPr>
                <w:rFonts w:hint="eastAsia" w:ascii="Times New Roman" w:hAnsi="Times New Roman"/>
                <w:color w:val="auto"/>
                <w:lang w:val="en-US" w:eastAsia="zh-CN"/>
              </w:rPr>
            </w:pPr>
            <w:r>
              <w:rPr>
                <w:rFonts w:hint="eastAsia" w:ascii="Times New Roman" w:hAnsi="Times New Roman" w:cs="Times New Roman"/>
                <w:color w:val="auto"/>
                <w:kern w:val="0"/>
                <w:sz w:val="21"/>
                <w:szCs w:val="20"/>
                <w:lang w:val="en-US" w:eastAsia="zh-CN" w:bidi="ar-SA"/>
              </w:rPr>
              <w:t>成效彰显</w:t>
            </w:r>
            <w:r>
              <w:rPr>
                <w:rFonts w:hint="eastAsia" w:ascii="Times New Roman" w:hAnsi="Times New Roman"/>
                <w:color w:val="auto"/>
                <w:lang w:val="en-US" w:eastAsia="zh-CN"/>
              </w:rPr>
              <w:t>分值9分，</w:t>
            </w:r>
            <w:r>
              <w:rPr>
                <w:rFonts w:hint="eastAsia" w:ascii="Times New Roman" w:hAnsi="Times New Roman" w:eastAsia="宋体" w:cs="宋体"/>
                <w:color w:val="auto"/>
                <w:spacing w:val="-6"/>
                <w:sz w:val="21"/>
                <w:szCs w:val="21"/>
                <w:vertAlign w:val="baseline"/>
                <w:lang w:val="en-US" w:eastAsia="zh-CN"/>
              </w:rPr>
              <w:t>同一项典型经验不重复计分</w:t>
            </w:r>
            <w:r>
              <w:rPr>
                <w:rFonts w:hint="eastAsia" w:ascii="Times New Roman" w:hAnsi="Times New Roman"/>
                <w:color w:val="auto"/>
                <w:lang w:val="en-US" w:eastAsia="zh-CN"/>
              </w:rPr>
              <w:t>。计分方式如下：</w:t>
            </w:r>
          </w:p>
          <w:p w14:paraId="1A931143">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通过能效提级县建设，形成一批典型经验，得4分。其中：典型经验获省级以上领导批示肯定，或国家部委、省委省政府肯定，每有1项得4分；在水利部河湖长制简报、《全面推行河湖长制典型案例汇编》，省委办《安徽信息》、省政府办《政务信息》、省委改革办《改革案例》刊登，每有1项得2分；流域机构、省河长办推广发布，每有1项得1分。</w:t>
            </w:r>
          </w:p>
          <w:p w14:paraId="78D43975">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典型经验得到推广宣传，得3分。其中：在水利部河湖司网页、省全面推行河长制网页、省河长制公众号等省级以上网页、媒体、微信公众号上宣传报道，每有1次得0.5分，最多得2分；短视频播放量累计超过10万，每有1个得0.5分，最多得1分。</w:t>
            </w:r>
          </w:p>
          <w:p w14:paraId="44550955">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助力经济社会发展成效明显，得2分。幸福河湖建设在促进城市品质活力提升、乡村全面振兴、打造群众身边休闲好去处、培育水文化与旅游、农业、体育、研学等融合发展新业态新模式方面，每获得一个省级以上品牌得0.5分。</w:t>
            </w:r>
          </w:p>
          <w:p w14:paraId="2D6CA79B">
            <w:pPr>
              <w:pStyle w:val="24"/>
              <w:bidi w:val="0"/>
              <w:ind w:left="0" w:leftChars="0" w:firstLine="0" w:firstLineChars="0"/>
              <w:rPr>
                <w:rFonts w:hint="eastAsia" w:ascii="Times New Roman" w:hAnsi="Times New Roman"/>
                <w:color w:val="auto"/>
                <w:lang w:val="en-US" w:eastAsia="zh-CN"/>
              </w:rPr>
            </w:pPr>
            <w:r>
              <w:rPr>
                <w:rFonts w:hint="eastAsia" w:ascii="Times New Roman" w:hAnsi="Times New Roman"/>
                <w:color w:val="auto"/>
                <w:lang w:val="en-US" w:eastAsia="zh-CN"/>
              </w:rPr>
              <w:t>群众满意度</w:t>
            </w:r>
          </w:p>
          <w:p w14:paraId="1E3490BD">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cs="Times New Roman"/>
                <w:color w:val="auto"/>
                <w:kern w:val="0"/>
                <w:sz w:val="21"/>
                <w:szCs w:val="20"/>
                <w:lang w:val="en-US" w:eastAsia="zh-CN" w:bidi="ar-SA"/>
              </w:rPr>
              <w:t>群众</w:t>
            </w:r>
            <w:r>
              <w:rPr>
                <w:rFonts w:hint="eastAsia" w:ascii="Times New Roman" w:hAnsi="Times New Roman" w:eastAsia="宋体" w:cs="Times New Roman"/>
                <w:color w:val="auto"/>
                <w:kern w:val="0"/>
                <w:sz w:val="21"/>
                <w:szCs w:val="20"/>
                <w:lang w:val="en-US" w:eastAsia="zh-CN" w:bidi="ar-SA"/>
              </w:rPr>
              <w:t>满意度分值8分</w:t>
            </w:r>
            <w:r>
              <w:rPr>
                <w:rFonts w:hint="eastAsia" w:ascii="Times New Roman" w:hAnsi="Times New Roman" w:cs="Times New Roman"/>
                <w:color w:val="auto"/>
                <w:kern w:val="0"/>
                <w:sz w:val="21"/>
                <w:szCs w:val="20"/>
                <w:lang w:val="en-US" w:eastAsia="zh-CN" w:bidi="ar-SA"/>
              </w:rPr>
              <w:t>，</w:t>
            </w:r>
            <w:r>
              <w:rPr>
                <w:rFonts w:hint="eastAsia" w:ascii="Times New Roman" w:hAnsi="Times New Roman" w:eastAsia="宋体" w:cs="宋体"/>
                <w:color w:val="auto"/>
                <w:spacing w:val="-6"/>
                <w:sz w:val="21"/>
                <w:szCs w:val="21"/>
                <w:vertAlign w:val="baseline"/>
                <w:lang w:val="en-US" w:eastAsia="zh-CN"/>
              </w:rPr>
              <w:t>调查对象应具代表性，调查份数不少于100份</w:t>
            </w:r>
            <w:r>
              <w:rPr>
                <w:rFonts w:hint="eastAsia" w:ascii="Times New Roman" w:hAnsi="Times New Roman" w:cs="宋体"/>
                <w:color w:val="auto"/>
                <w:spacing w:val="-6"/>
                <w:sz w:val="21"/>
                <w:szCs w:val="21"/>
                <w:vertAlign w:val="baseline"/>
                <w:lang w:val="en-US" w:eastAsia="zh-CN"/>
              </w:rPr>
              <w:t>，群众满意度调查表见附录A。</w:t>
            </w:r>
            <w:r>
              <w:rPr>
                <w:rFonts w:hint="eastAsia" w:ascii="Times New Roman" w:hAnsi="Times New Roman"/>
                <w:color w:val="auto"/>
                <w:lang w:val="en-US" w:eastAsia="zh-CN"/>
              </w:rPr>
              <w:t>计分方式如下：</w:t>
            </w:r>
          </w:p>
          <w:p w14:paraId="08A3093A">
            <w:pPr>
              <w:pStyle w:val="13"/>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——群众满意度得分95分以上，得8分。满意度得分低于95分，每低1分扣0.5分。</w:t>
            </w:r>
          </w:p>
          <w:p w14:paraId="0C04770A">
            <w:pPr>
              <w:pStyle w:val="25"/>
              <w:bidi w:val="0"/>
              <w:ind w:left="0" w:leftChars="0" w:firstLine="0" w:firstLineChars="0"/>
              <w:rPr>
                <w:rFonts w:ascii="Times New Roman" w:hAnsi="Times New Roman"/>
                <w:color w:val="auto"/>
              </w:rPr>
            </w:pPr>
            <w:r>
              <w:rPr>
                <w:rFonts w:hint="eastAsia" w:ascii="Times New Roman" w:hAnsi="Times New Roman"/>
                <w:color w:val="auto"/>
                <w:lang w:eastAsia="zh-CN"/>
              </w:rPr>
              <w:t>评估</w:t>
            </w:r>
            <w:r>
              <w:rPr>
                <w:rFonts w:hint="eastAsia" w:ascii="Times New Roman" w:hAnsi="Times New Roman"/>
                <w:color w:val="auto"/>
                <w:lang w:val="en-US" w:eastAsia="zh-CN"/>
              </w:rPr>
              <w:t>综合计算</w:t>
            </w:r>
          </w:p>
          <w:p w14:paraId="35AEFB2D">
            <w:pPr>
              <w:pStyle w:val="24"/>
              <w:bidi w:val="0"/>
              <w:ind w:left="0" w:leftChars="0" w:firstLine="0" w:firstLineChars="0"/>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按附录B填写河湖长制能效提级县赋分表，评估总分按照公式（1）计算：</w:t>
            </w:r>
          </w:p>
          <w:p w14:paraId="3367479A">
            <w:pPr>
              <w:pStyle w:val="13"/>
              <w:tabs>
                <w:tab w:val="left" w:pos="210"/>
                <w:tab w:val="left" w:pos="4200"/>
                <w:tab w:val="left" w:pos="9030"/>
                <w:tab w:val="left" w:pos="9240"/>
              </w:tabs>
              <w:ind w:left="0" w:leftChars="0" w:firstLine="2520" w:firstLineChars="1200"/>
              <w:rPr>
                <w:rFonts w:hint="default" w:ascii="Times New Roman" w:hAnsi="Times New Roman" w:cs="Times New Roman"/>
                <w:i/>
                <w:iCs/>
                <w:color w:val="auto"/>
                <w:sz w:val="21"/>
                <w:lang w:val="en-US" w:eastAsia="zh-CN" w:bidi="ar-SA"/>
              </w:rPr>
            </w:pPr>
            <m:oMath>
              <m:r>
                <m:rPr>
                  <m:sty m:val="p"/>
                </m:rPr>
                <w:rPr>
                  <w:rFonts w:hint="default" w:ascii="DejaVu Math TeX Gyre" w:hAnsi="DejaVu Math TeX Gyre" w:eastAsia="宋体" w:cs="Times New Roman"/>
                  <w:color w:val="auto"/>
                  <w:kern w:val="0"/>
                  <w:sz w:val="21"/>
                  <w:szCs w:val="20"/>
                  <w:lang w:val="en-US" w:eastAsia="zh-CN" w:bidi="ar-SA"/>
                </w:rPr>
                <m:t>S=M+E+F</m:t>
              </m:r>
            </m:oMath>
            <w:r>
              <w:rPr>
                <w:rFonts w:hint="eastAsia" w:ascii="Times New Roman" w:hAnsi="Times New Roman" w:cs="Times New Roman"/>
                <w:i/>
                <w:iCs/>
                <w:color w:val="auto"/>
                <w:sz w:val="21"/>
                <w:lang w:val="en-US" w:eastAsia="zh-CN" w:bidi="ar-SA"/>
              </w:rPr>
              <w:tab/>
            </w:r>
            <w:r>
              <w:rPr>
                <w:rFonts w:hint="eastAsia" w:ascii="Times New Roman" w:hAnsi="Times New Roman" w:cs="Times New Roman"/>
                <w:i/>
                <w:iCs/>
                <w:color w:val="auto"/>
                <w:sz w:val="21"/>
                <w:lang w:val="en-US" w:eastAsia="zh-CN" w:bidi="ar-SA"/>
              </w:rPr>
              <w:t xml:space="preserve">                      </w:t>
            </w:r>
            <w:r>
              <w:rPr>
                <w:rFonts w:hint="eastAsia" w:ascii="Times New Roman" w:hAnsi="Times New Roman" w:cs="Times New Roman"/>
                <w:i w:val="0"/>
                <w:iCs w:val="0"/>
                <w:color w:val="auto"/>
                <w:sz w:val="21"/>
                <w:lang w:val="en-US" w:eastAsia="zh-CN" w:bidi="ar-SA"/>
              </w:rPr>
              <w:t>（1）</w:t>
            </w:r>
          </w:p>
          <w:p w14:paraId="6DF32B50">
            <w:pPr>
              <w:pStyle w:val="13"/>
              <w:ind w:firstLine="420"/>
              <w:rPr>
                <w:rFonts w:hint="eastAsia" w:ascii="Times New Roman" w:hAnsi="Times New Roman"/>
                <w:color w:val="auto"/>
                <w:lang w:val="en-US" w:eastAsia="zh-CN"/>
              </w:rPr>
            </w:pPr>
            <w:r>
              <w:rPr>
                <w:rFonts w:hint="eastAsia" w:ascii="Times New Roman" w:hAnsi="Times New Roman"/>
                <w:color w:val="auto"/>
                <w:lang w:val="en-US" w:eastAsia="zh-CN"/>
              </w:rPr>
              <w:t>式中：</w:t>
            </w:r>
          </w:p>
          <w:p w14:paraId="0A0A5505">
            <w:pPr>
              <w:pStyle w:val="13"/>
              <w:ind w:firstLine="840" w:firstLineChars="400"/>
              <w:rPr>
                <w:rFonts w:hint="eastAsia" w:ascii="Times New Roman" w:hAnsi="Times New Roman"/>
                <w:color w:val="auto"/>
                <w:lang w:val="en-US" w:eastAsia="zh-CN"/>
              </w:rPr>
            </w:pPr>
            <w:r>
              <w:rPr>
                <w:rFonts w:hint="eastAsia" w:ascii="Times New Roman" w:hAnsi="Times New Roman"/>
                <w:i/>
                <w:iCs/>
                <w:color w:val="auto"/>
                <w:lang w:val="en-US" w:eastAsia="zh-CN"/>
              </w:rPr>
              <w:t>S</w:t>
            </w:r>
            <w:r>
              <w:rPr>
                <w:rFonts w:hint="eastAsia" w:ascii="Times New Roman" w:hAnsi="Times New Roman"/>
                <w:color w:val="auto"/>
                <w:lang w:val="en-US" w:eastAsia="zh-CN"/>
              </w:rPr>
              <w:t>——评估总分；</w:t>
            </w:r>
          </w:p>
          <w:p w14:paraId="21485131">
            <w:pPr>
              <w:pStyle w:val="13"/>
              <w:ind w:firstLine="840" w:firstLineChars="400"/>
              <w:rPr>
                <w:rFonts w:hint="eastAsia" w:ascii="Times New Roman" w:hAnsi="Times New Roman"/>
                <w:color w:val="auto"/>
                <w:lang w:val="en-US" w:eastAsia="zh-CN"/>
              </w:rPr>
            </w:pPr>
            <w:r>
              <w:rPr>
                <w:rFonts w:hint="eastAsia" w:ascii="Times New Roman" w:hAnsi="Times New Roman"/>
                <w:i/>
                <w:iCs/>
                <w:color w:val="auto"/>
                <w:lang w:val="en-US" w:eastAsia="zh-CN"/>
              </w:rPr>
              <w:t>M</w:t>
            </w:r>
            <w:r>
              <w:rPr>
                <w:rFonts w:hint="eastAsia" w:ascii="Times New Roman" w:hAnsi="Times New Roman"/>
                <w:color w:val="auto"/>
                <w:lang w:val="en-US" w:eastAsia="zh-CN"/>
              </w:rPr>
              <w:t>——全面强化河湖管护机制得分；</w:t>
            </w:r>
          </w:p>
          <w:p w14:paraId="4F85D523">
            <w:pPr>
              <w:pStyle w:val="13"/>
              <w:ind w:firstLine="840" w:firstLineChars="400"/>
              <w:rPr>
                <w:rFonts w:hint="eastAsia" w:ascii="Times New Roman" w:hAnsi="Times New Roman"/>
                <w:color w:val="auto"/>
                <w:lang w:val="en-US" w:eastAsia="zh-CN"/>
              </w:rPr>
            </w:pPr>
            <w:r>
              <w:rPr>
                <w:rFonts w:hint="eastAsia" w:ascii="Times New Roman" w:hAnsi="Times New Roman"/>
                <w:i/>
                <w:iCs/>
                <w:color w:val="auto"/>
                <w:lang w:val="en-US" w:eastAsia="zh-CN"/>
              </w:rPr>
              <w:t>E</w:t>
            </w:r>
            <w:r>
              <w:rPr>
                <w:rFonts w:hint="eastAsia" w:ascii="Times New Roman" w:hAnsi="Times New Roman"/>
                <w:color w:val="auto"/>
                <w:lang w:val="en-US" w:eastAsia="zh-CN"/>
              </w:rPr>
              <w:t>——标本兼治复苏河湖生态得分；</w:t>
            </w:r>
          </w:p>
          <w:p w14:paraId="2FC83142">
            <w:pPr>
              <w:pStyle w:val="13"/>
              <w:ind w:firstLine="840" w:firstLineChars="400"/>
              <w:rPr>
                <w:rFonts w:hint="eastAsia" w:ascii="Times New Roman" w:hAnsi="Times New Roman"/>
                <w:color w:val="auto"/>
                <w:lang w:val="en-US" w:eastAsia="zh-CN"/>
              </w:rPr>
            </w:pPr>
            <w:r>
              <w:rPr>
                <w:rFonts w:hint="eastAsia" w:ascii="Times New Roman" w:hAnsi="Times New Roman"/>
                <w:i/>
                <w:iCs/>
                <w:color w:val="auto"/>
                <w:lang w:val="en-US" w:eastAsia="zh-CN"/>
              </w:rPr>
              <w:t>F</w:t>
            </w:r>
            <w:r>
              <w:rPr>
                <w:rFonts w:hint="eastAsia" w:ascii="Times New Roman" w:hAnsi="Times New Roman"/>
                <w:color w:val="auto"/>
                <w:lang w:val="en-US" w:eastAsia="zh-CN"/>
              </w:rPr>
              <w:t>——建设健康美丽幸福河湖得分。</w:t>
            </w:r>
          </w:p>
          <w:p w14:paraId="612FB8FB">
            <w:pPr>
              <w:pStyle w:val="24"/>
              <w:bidi w:val="0"/>
              <w:ind w:left="0" w:leftChars="0" w:firstLine="0" w:firstLineChars="0"/>
              <w:rPr>
                <w:rFonts w:hint="eastAsia" w:ascii="Times New Roman" w:hAnsi="Times New Roman"/>
                <w:lang w:eastAsia="zh-CN"/>
              </w:rPr>
            </w:pPr>
            <w:r>
              <w:rPr>
                <w:rFonts w:hint="eastAsia" w:ascii="Times New Roman" w:hAnsi="Times New Roman" w:eastAsia="宋体" w:cs="Times New Roman"/>
                <w:color w:val="auto"/>
                <w:kern w:val="0"/>
                <w:sz w:val="21"/>
                <w:szCs w:val="20"/>
                <w:lang w:val="en-US" w:eastAsia="zh-CN" w:bidi="ar-SA"/>
              </w:rPr>
              <w:t>指标层存在合理缺项的，缺项的缺省分值以准则层的其他指标分值为基础加权分配到其他指标。</w:t>
            </w:r>
          </w:p>
        </w:tc>
      </w:tr>
      <w:tr w14:paraId="4D21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8B9DC51">
            <w:pPr>
              <w:pStyle w:val="14"/>
              <w:adjustRightInd w:val="0"/>
              <w:spacing w:line="360" w:lineRule="auto"/>
              <w:ind w:firstLine="0" w:firstLineChars="0"/>
              <w:contextualSpacing/>
              <w:rPr>
                <w:rFonts w:ascii="Times New Roman" w:hAnsi="Times New Roman"/>
                <w:szCs w:val="21"/>
              </w:rPr>
            </w:pPr>
            <w:bookmarkStart w:id="0" w:name="_Toc465074266"/>
            <w:bookmarkStart w:id="1" w:name="_Toc464902852"/>
            <w:bookmarkStart w:id="2" w:name="_Toc464905613"/>
            <w:bookmarkStart w:id="3" w:name="_Toc464905809"/>
            <w:bookmarkStart w:id="4" w:name="_Toc464905557"/>
            <w:r>
              <w:rPr>
                <w:rFonts w:hint="eastAsia" w:ascii="Times New Roman" w:hAnsi="Times New Roman"/>
                <w:szCs w:val="21"/>
              </w:rPr>
              <w:t>5、标准中如果涉及专利，应有明确的知识产权说明</w:t>
            </w:r>
            <w:bookmarkEnd w:id="0"/>
            <w:bookmarkEnd w:id="1"/>
            <w:bookmarkEnd w:id="2"/>
            <w:bookmarkEnd w:id="3"/>
            <w:bookmarkEnd w:id="4"/>
          </w:p>
        </w:tc>
      </w:tr>
      <w:tr w14:paraId="6C50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5C5DF5F">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szCs w:val="21"/>
              </w:rPr>
              <w:t>无</w:t>
            </w:r>
          </w:p>
        </w:tc>
      </w:tr>
      <w:tr w14:paraId="4541A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F841E47">
            <w:pPr>
              <w:pStyle w:val="14"/>
              <w:adjustRightInd w:val="0"/>
              <w:spacing w:line="360" w:lineRule="auto"/>
              <w:ind w:firstLine="0" w:firstLineChars="0"/>
              <w:contextualSpacing/>
              <w:rPr>
                <w:rFonts w:ascii="Times New Roman" w:hAnsi="Times New Roman"/>
                <w:szCs w:val="21"/>
              </w:rPr>
            </w:pPr>
            <w:bookmarkStart w:id="5" w:name="_Toc465074267"/>
            <w:bookmarkStart w:id="6" w:name="_Toc464905810"/>
            <w:bookmarkStart w:id="7" w:name="_Toc464905558"/>
            <w:bookmarkStart w:id="8" w:name="_Toc464902853"/>
            <w:bookmarkStart w:id="9" w:name="_Toc464905614"/>
            <w:r>
              <w:rPr>
                <w:rFonts w:hint="eastAsia" w:ascii="Times New Roman" w:hAnsi="Times New Roman"/>
                <w:szCs w:val="21"/>
              </w:rPr>
              <w:t>6、采用国际标准或国外先进标准的，说明采标程度，以及国内外同类标准水平的对比情况</w:t>
            </w:r>
            <w:bookmarkEnd w:id="5"/>
            <w:bookmarkEnd w:id="6"/>
            <w:bookmarkEnd w:id="7"/>
            <w:bookmarkEnd w:id="8"/>
            <w:bookmarkEnd w:id="9"/>
          </w:p>
        </w:tc>
      </w:tr>
      <w:tr w14:paraId="2C53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186B183">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szCs w:val="21"/>
              </w:rPr>
              <w:t>无</w:t>
            </w:r>
          </w:p>
        </w:tc>
      </w:tr>
      <w:tr w14:paraId="15F9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DCD64C0">
            <w:pPr>
              <w:pStyle w:val="14"/>
              <w:adjustRightInd w:val="0"/>
              <w:spacing w:line="360" w:lineRule="auto"/>
              <w:ind w:firstLine="0" w:firstLineChars="0"/>
              <w:contextualSpacing/>
              <w:rPr>
                <w:rFonts w:ascii="Times New Roman" w:hAnsi="Times New Roman"/>
                <w:szCs w:val="21"/>
              </w:rPr>
            </w:pPr>
            <w:bookmarkStart w:id="10" w:name="_Toc464902854"/>
            <w:bookmarkStart w:id="11" w:name="_Toc464905615"/>
            <w:bookmarkStart w:id="12" w:name="_Toc464905811"/>
            <w:bookmarkStart w:id="13" w:name="_Toc464905559"/>
            <w:bookmarkStart w:id="14" w:name="_Toc465074268"/>
            <w:r>
              <w:rPr>
                <w:rFonts w:hint="eastAsia" w:ascii="Times New Roman" w:hAnsi="Times New Roman"/>
                <w:szCs w:val="21"/>
              </w:rPr>
              <w:t>7、重大分歧意见的处理经过和依据</w:t>
            </w:r>
            <w:bookmarkEnd w:id="10"/>
            <w:bookmarkEnd w:id="11"/>
            <w:bookmarkEnd w:id="12"/>
            <w:bookmarkEnd w:id="13"/>
            <w:bookmarkEnd w:id="14"/>
          </w:p>
        </w:tc>
      </w:tr>
      <w:tr w14:paraId="4861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EFC81DB">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szCs w:val="21"/>
              </w:rPr>
              <w:t>无</w:t>
            </w:r>
          </w:p>
        </w:tc>
      </w:tr>
      <w:tr w14:paraId="2022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BFCA9E4">
            <w:pPr>
              <w:pStyle w:val="14"/>
              <w:adjustRightInd w:val="0"/>
              <w:spacing w:line="360" w:lineRule="auto"/>
              <w:ind w:firstLine="0" w:firstLineChars="0"/>
              <w:contextualSpacing/>
              <w:rPr>
                <w:rFonts w:ascii="Times New Roman" w:hAnsi="Times New Roman"/>
                <w:szCs w:val="21"/>
              </w:rPr>
            </w:pPr>
            <w:bookmarkStart w:id="15" w:name="_Toc464905812"/>
            <w:bookmarkStart w:id="16" w:name="_Toc464905616"/>
            <w:bookmarkStart w:id="17" w:name="_Toc464902855"/>
            <w:bookmarkStart w:id="18" w:name="_Toc465074269"/>
            <w:bookmarkStart w:id="19" w:name="_Toc464905560"/>
            <w:r>
              <w:rPr>
                <w:rFonts w:hint="eastAsia" w:ascii="Times New Roman" w:hAnsi="Times New Roman"/>
                <w:szCs w:val="21"/>
              </w:rPr>
              <w:t>8、贯彻标准的要求和措施建议（包括组织措施、技术措施、过渡办法、实施日期等）</w:t>
            </w:r>
            <w:bookmarkEnd w:id="15"/>
            <w:bookmarkEnd w:id="16"/>
            <w:bookmarkEnd w:id="17"/>
            <w:bookmarkEnd w:id="18"/>
            <w:bookmarkEnd w:id="19"/>
          </w:p>
        </w:tc>
      </w:tr>
      <w:tr w14:paraId="5F650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1549B1E">
            <w:pPr>
              <w:pStyle w:val="13"/>
              <w:rPr>
                <w:rFonts w:hint="eastAsia" w:ascii="Times New Roman" w:hAnsi="Times New Roman" w:cs="Times New Roman"/>
                <w:color w:val="auto"/>
                <w:kern w:val="0"/>
                <w:sz w:val="21"/>
                <w:szCs w:val="20"/>
                <w:lang w:val="en-US" w:eastAsia="zh-CN" w:bidi="ar-SA"/>
              </w:rPr>
            </w:pPr>
            <w:r>
              <w:rPr>
                <w:rFonts w:hint="eastAsia" w:ascii="Times New Roman" w:hAnsi="Times New Roman" w:cs="Times New Roman"/>
                <w:color w:val="auto"/>
                <w:kern w:val="0"/>
                <w:sz w:val="21"/>
                <w:szCs w:val="20"/>
                <w:lang w:val="en-US" w:eastAsia="zh-CN" w:bidi="ar-SA"/>
              </w:rPr>
              <w:t>为使标准能切实发挥技术指导作用，规范河湖长制能效提级县评估工作，充分发挥其应有的经济及社会效益，建议:</w:t>
            </w:r>
          </w:p>
          <w:p w14:paraId="6C53EBCC">
            <w:pPr>
              <w:pStyle w:val="13"/>
              <w:rPr>
                <w:rFonts w:hint="eastAsia" w:ascii="Times New Roman" w:hAnsi="Times New Roman" w:cs="Times New Roman"/>
                <w:color w:val="auto"/>
                <w:kern w:val="0"/>
                <w:sz w:val="21"/>
                <w:szCs w:val="20"/>
                <w:lang w:val="en-US" w:eastAsia="zh-CN" w:bidi="ar-SA"/>
              </w:rPr>
            </w:pPr>
            <w:r>
              <w:rPr>
                <w:rFonts w:hint="eastAsia" w:ascii="Times New Roman" w:hAnsi="Times New Roman" w:cs="Times New Roman"/>
                <w:color w:val="auto"/>
                <w:kern w:val="0"/>
                <w:sz w:val="21"/>
                <w:szCs w:val="20"/>
                <w:lang w:val="en-US" w:eastAsia="zh-CN" w:bidi="ar-SA"/>
              </w:rPr>
              <w:t>（1）由行业行政主管部门组织标准的贯彻实施，并对实施情况进行监督检查。</w:t>
            </w:r>
          </w:p>
          <w:p w14:paraId="23D2E3FC">
            <w:pPr>
              <w:pStyle w:val="13"/>
              <w:rPr>
                <w:rFonts w:hint="eastAsia" w:ascii="Times New Roman" w:hAnsi="Times New Roman" w:cs="Times New Roman"/>
                <w:color w:val="auto"/>
                <w:kern w:val="0"/>
                <w:sz w:val="21"/>
                <w:szCs w:val="20"/>
                <w:lang w:val="en-US" w:eastAsia="zh-CN" w:bidi="ar-SA"/>
              </w:rPr>
            </w:pPr>
            <w:r>
              <w:rPr>
                <w:rFonts w:hint="eastAsia" w:ascii="Times New Roman" w:hAnsi="Times New Roman" w:cs="Times New Roman"/>
                <w:color w:val="auto"/>
                <w:kern w:val="0"/>
                <w:sz w:val="21"/>
                <w:szCs w:val="20"/>
                <w:lang w:val="en-US" w:eastAsia="zh-CN" w:bidi="ar-SA"/>
              </w:rPr>
              <w:t>（2）做好标准的宣贯和实施工作，在全省范围内进行宣贯，每年至少开展1次讲座，组织从事河湖长制、河湖管理的相关人员100~200人参加，深入解读标准内容，使各有关单位掌握标准的各项技术要求</w:t>
            </w:r>
            <w:r>
              <w:rPr>
                <w:rFonts w:hint="eastAsia" w:ascii="Times New Roman" w:hAnsi="Times New Roman" w:eastAsiaTheme="minorEastAsia" w:cstheme="minorEastAsia"/>
                <w:color w:val="auto"/>
                <w:lang w:eastAsia="zh-CN"/>
              </w:rPr>
              <w:t>，并</w:t>
            </w:r>
            <w:r>
              <w:rPr>
                <w:rFonts w:hint="eastAsia" w:ascii="Times New Roman" w:hAnsi="Times New Roman" w:cs="Times New Roman"/>
                <w:color w:val="auto"/>
                <w:kern w:val="0"/>
                <w:sz w:val="21"/>
                <w:szCs w:val="20"/>
                <w:lang w:val="en-US" w:eastAsia="zh-CN" w:bidi="ar-SA"/>
              </w:rPr>
              <w:t>加强示范推广，</w:t>
            </w:r>
            <w:r>
              <w:rPr>
                <w:rFonts w:hint="eastAsia" w:ascii="Times New Roman" w:hAnsi="Times New Roman" w:eastAsiaTheme="minorEastAsia" w:cstheme="minorEastAsia"/>
                <w:color w:val="auto"/>
              </w:rPr>
              <w:t>保障</w:t>
            </w:r>
            <w:r>
              <w:rPr>
                <w:rFonts w:hint="eastAsia" w:ascii="Times New Roman" w:hAnsi="Times New Roman" w:eastAsiaTheme="minorEastAsia" w:cstheme="minorEastAsia"/>
                <w:color w:val="auto"/>
                <w:lang w:eastAsia="zh-CN"/>
              </w:rPr>
              <w:t>标准</w:t>
            </w:r>
            <w:r>
              <w:rPr>
                <w:rFonts w:hint="eastAsia" w:ascii="Times New Roman" w:hAnsi="Times New Roman" w:eastAsiaTheme="minorEastAsia" w:cstheme="minorEastAsia"/>
                <w:color w:val="auto"/>
              </w:rPr>
              <w:t>内各项规定的顺利落实</w:t>
            </w:r>
            <w:r>
              <w:rPr>
                <w:rFonts w:hint="eastAsia" w:ascii="Times New Roman" w:hAnsi="Times New Roman" w:cs="Times New Roman"/>
                <w:color w:val="auto"/>
                <w:kern w:val="0"/>
                <w:sz w:val="21"/>
                <w:szCs w:val="20"/>
                <w:lang w:val="en-US" w:eastAsia="zh-CN" w:bidi="ar-SA"/>
              </w:rPr>
              <w:t>。</w:t>
            </w:r>
          </w:p>
          <w:p w14:paraId="1543DF8C">
            <w:pPr>
              <w:pStyle w:val="13"/>
              <w:rPr>
                <w:rFonts w:ascii="Times New Roman" w:hAnsi="Times New Roman" w:eastAsiaTheme="minorEastAsia" w:cstheme="minorEastAsia"/>
              </w:rPr>
            </w:pPr>
            <w:r>
              <w:rPr>
                <w:rFonts w:hint="eastAsia" w:ascii="Times New Roman" w:hAnsi="Times New Roman" w:cs="Times New Roman"/>
                <w:color w:val="auto"/>
                <w:kern w:val="0"/>
                <w:sz w:val="21"/>
                <w:szCs w:val="20"/>
                <w:lang w:val="en-US" w:eastAsia="zh-CN" w:bidi="ar-SA"/>
              </w:rPr>
              <w:t>（3）做好跟踪调查河湖长制能效提级县建设全过程，定期对标准的执行情况、实施情况进行调查评估，及时发现标准在执行中的问题，以便在修订时修改完善，不断优化完善标准，提高标准的科学性、合理性、协调性和可操作性。</w:t>
            </w:r>
          </w:p>
        </w:tc>
      </w:tr>
      <w:tr w14:paraId="7DE4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51C51563">
            <w:pPr>
              <w:pStyle w:val="14"/>
              <w:adjustRightInd w:val="0"/>
              <w:spacing w:line="360" w:lineRule="auto"/>
              <w:ind w:firstLine="0" w:firstLineChars="0"/>
              <w:contextualSpacing/>
              <w:rPr>
                <w:rFonts w:ascii="Times New Roman" w:hAnsi="Times New Roman"/>
                <w:szCs w:val="21"/>
              </w:rPr>
            </w:pPr>
            <w:bookmarkStart w:id="20" w:name="_Toc464905813"/>
            <w:bookmarkStart w:id="21" w:name="_Toc464902856"/>
            <w:bookmarkStart w:id="22" w:name="_Toc464905561"/>
            <w:bookmarkStart w:id="23" w:name="_Toc465074270"/>
            <w:bookmarkStart w:id="24" w:name="_Toc464905617"/>
            <w:r>
              <w:rPr>
                <w:rFonts w:hint="eastAsia" w:ascii="Times New Roman" w:hAnsi="Times New Roman"/>
                <w:szCs w:val="21"/>
              </w:rPr>
              <w:t>9、废止现行相关标准的建议</w:t>
            </w:r>
            <w:bookmarkEnd w:id="20"/>
            <w:bookmarkEnd w:id="21"/>
            <w:bookmarkEnd w:id="22"/>
            <w:bookmarkEnd w:id="23"/>
            <w:bookmarkEnd w:id="24"/>
          </w:p>
        </w:tc>
      </w:tr>
      <w:tr w14:paraId="310D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E023A5C">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szCs w:val="21"/>
              </w:rPr>
              <w:t>无</w:t>
            </w:r>
          </w:p>
        </w:tc>
      </w:tr>
      <w:tr w14:paraId="496B5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E673DBE">
            <w:pPr>
              <w:pStyle w:val="14"/>
              <w:adjustRightInd w:val="0"/>
              <w:spacing w:line="360" w:lineRule="auto"/>
              <w:ind w:firstLine="0" w:firstLineChars="0"/>
              <w:contextualSpacing/>
              <w:rPr>
                <w:rFonts w:ascii="Times New Roman" w:hAnsi="Times New Roman"/>
                <w:szCs w:val="21"/>
              </w:rPr>
            </w:pPr>
            <w:bookmarkStart w:id="25" w:name="_Toc465074271"/>
            <w:bookmarkStart w:id="26" w:name="_Toc464902857"/>
            <w:bookmarkStart w:id="27" w:name="_Toc464905618"/>
            <w:bookmarkStart w:id="28" w:name="_Toc464905562"/>
            <w:bookmarkStart w:id="29" w:name="_Toc464905814"/>
            <w:r>
              <w:rPr>
                <w:rFonts w:hint="eastAsia" w:ascii="Times New Roman" w:hAnsi="Times New Roman"/>
                <w:szCs w:val="21"/>
              </w:rPr>
              <w:t>10、其它应予说明的事项</w:t>
            </w:r>
            <w:bookmarkEnd w:id="25"/>
            <w:bookmarkEnd w:id="26"/>
            <w:bookmarkEnd w:id="27"/>
            <w:bookmarkEnd w:id="28"/>
            <w:bookmarkEnd w:id="29"/>
          </w:p>
        </w:tc>
      </w:tr>
      <w:tr w14:paraId="7495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7818C8A">
            <w:pPr>
              <w:pStyle w:val="14"/>
              <w:adjustRightInd w:val="0"/>
              <w:spacing w:line="360" w:lineRule="auto"/>
              <w:ind w:firstLine="0" w:firstLineChars="0"/>
              <w:contextualSpacing/>
              <w:rPr>
                <w:rFonts w:ascii="Times New Roman" w:hAnsi="Times New Roman"/>
                <w:szCs w:val="21"/>
              </w:rPr>
            </w:pPr>
            <w:r>
              <w:rPr>
                <w:rFonts w:hint="eastAsia" w:ascii="Times New Roman" w:hAnsi="Times New Roman"/>
                <w:szCs w:val="21"/>
              </w:rPr>
              <w:t>无</w:t>
            </w:r>
          </w:p>
        </w:tc>
      </w:tr>
    </w:tbl>
    <w:p w14:paraId="750A48C3">
      <w:pPr>
        <w:pStyle w:val="15"/>
      </w:pPr>
      <w:r>
        <w:rPr>
          <w:rFonts w:hint="eastAsia"/>
        </w:rPr>
        <w:t>没有的请填写 “无”。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471C7"/>
    <w:multiLevelType w:val="multilevel"/>
    <w:tmpl w:val="360471C7"/>
    <w:lvl w:ilvl="0" w:tentative="0">
      <w:start w:val="1"/>
      <w:numFmt w:val="decimal"/>
      <w:lvlText w:val="%1"/>
      <w:lvlJc w:val="left"/>
      <w:pPr>
        <w:ind w:left="360" w:hanging="360"/>
      </w:pPr>
      <w:rPr>
        <w:rFonts w:hint="default"/>
      </w:rPr>
    </w:lvl>
    <w:lvl w:ilvl="1" w:tentative="0">
      <w:start w:val="1"/>
      <w:numFmt w:val="decimal"/>
      <w:pStyle w:val="18"/>
      <w:lvlText w:val="%1.%2"/>
      <w:lvlJc w:val="left"/>
      <w:pPr>
        <w:ind w:left="780" w:hanging="360"/>
      </w:pPr>
      <w:rPr>
        <w:rFonts w:hint="default"/>
      </w:rPr>
    </w:lvl>
    <w:lvl w:ilvl="2" w:tentative="0">
      <w:start w:val="1"/>
      <w:numFmt w:val="decimal"/>
      <w:lvlText w:val="%1.%2.%3"/>
      <w:lvlJc w:val="left"/>
      <w:pPr>
        <w:ind w:left="1560" w:hanging="720"/>
      </w:pPr>
      <w:rPr>
        <w:rFonts w:hint="default"/>
      </w:rPr>
    </w:lvl>
    <w:lvl w:ilvl="3" w:tentative="0">
      <w:start w:val="1"/>
      <w:numFmt w:val="decimal"/>
      <w:lvlText w:val="%1.%2.%3.%4"/>
      <w:lvlJc w:val="left"/>
      <w:pPr>
        <w:ind w:left="1980" w:hanging="720"/>
      </w:pPr>
      <w:rPr>
        <w:rFonts w:hint="default"/>
      </w:rPr>
    </w:lvl>
    <w:lvl w:ilvl="4" w:tentative="0">
      <w:start w:val="1"/>
      <w:numFmt w:val="decimal"/>
      <w:lvlText w:val="%1.%2.%3.%4.%5"/>
      <w:lvlJc w:val="left"/>
      <w:pPr>
        <w:ind w:left="2760" w:hanging="1080"/>
      </w:pPr>
      <w:rPr>
        <w:rFonts w:hint="default"/>
      </w:rPr>
    </w:lvl>
    <w:lvl w:ilvl="5" w:tentative="0">
      <w:start w:val="1"/>
      <w:numFmt w:val="decimal"/>
      <w:lvlText w:val="%1.%2.%3.%4.%5.%6"/>
      <w:lvlJc w:val="left"/>
      <w:pPr>
        <w:ind w:left="3180" w:hanging="1080"/>
      </w:pPr>
      <w:rPr>
        <w:rFonts w:hint="default"/>
      </w:rPr>
    </w:lvl>
    <w:lvl w:ilvl="6" w:tentative="0">
      <w:start w:val="1"/>
      <w:numFmt w:val="decimal"/>
      <w:lvlText w:val="%1.%2.%3.%4.%5.%6.%7"/>
      <w:lvlJc w:val="left"/>
      <w:pPr>
        <w:ind w:left="3960" w:hanging="1440"/>
      </w:pPr>
      <w:rPr>
        <w:rFonts w:hint="default"/>
      </w:rPr>
    </w:lvl>
    <w:lvl w:ilvl="7" w:tentative="0">
      <w:start w:val="1"/>
      <w:numFmt w:val="decimal"/>
      <w:lvlText w:val="%1.%2.%3.%4.%5.%6.%7.%8"/>
      <w:lvlJc w:val="left"/>
      <w:pPr>
        <w:ind w:left="4380" w:hanging="1440"/>
      </w:pPr>
      <w:rPr>
        <w:rFonts w:hint="default"/>
      </w:rPr>
    </w:lvl>
    <w:lvl w:ilvl="8" w:tentative="0">
      <w:start w:val="1"/>
      <w:numFmt w:val="decimal"/>
      <w:lvlText w:val="%1.%2.%3.%4.%5.%6.%7.%8.%9"/>
      <w:lvlJc w:val="left"/>
      <w:pPr>
        <w:ind w:left="5160" w:hanging="1800"/>
      </w:pPr>
      <w:rPr>
        <w:rFonts w:hint="default"/>
      </w:rPr>
    </w:lvl>
  </w:abstractNum>
  <w:abstractNum w:abstractNumId="1">
    <w:nsid w:val="4DA977F6"/>
    <w:multiLevelType w:val="multilevel"/>
    <w:tmpl w:val="4DA977F6"/>
    <w:lvl w:ilvl="0" w:tentative="0">
      <w:start w:val="1"/>
      <w:numFmt w:val="none"/>
      <w:suff w:val="nothing"/>
      <w:lvlText w:val="%1"/>
      <w:lvlJc w:val="left"/>
      <w:pPr>
        <w:ind w:left="0" w:firstLine="0"/>
      </w:pPr>
      <w:rPr>
        <w:rFonts w:hint="eastAsia"/>
      </w:rPr>
    </w:lvl>
    <w:lvl w:ilvl="1" w:tentative="0">
      <w:start w:val="6"/>
      <w:numFmt w:val="decimal"/>
      <w:pStyle w:val="26"/>
      <w:suff w:val="nothing"/>
      <w:lvlText w:val="%1%2　"/>
      <w:lvlJc w:val="left"/>
      <w:pPr>
        <w:tabs>
          <w:tab w:val="left" w:pos="0"/>
        </w:tabs>
        <w:ind w:left="0" w:firstLine="0"/>
      </w:pPr>
      <w:rPr>
        <w:rFonts w:hint="default" w:ascii="黑体" w:eastAsia="黑体"/>
        <w:b w:val="0"/>
        <w:i w:val="0"/>
        <w:sz w:val="21"/>
      </w:rPr>
    </w:lvl>
    <w:lvl w:ilvl="2" w:tentative="0">
      <w:start w:val="1"/>
      <w:numFmt w:val="decimal"/>
      <w:pStyle w:val="2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14:cntxtalts w14:val="0"/>
      </w:rPr>
    </w:lvl>
    <w:lvl w:ilvl="3" w:tentative="0">
      <w:start w:val="1"/>
      <w:numFmt w:val="decimal"/>
      <w:pStyle w:val="24"/>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57D3FBC"/>
    <w:multiLevelType w:val="multilevel"/>
    <w:tmpl w:val="657D3FBC"/>
    <w:lvl w:ilvl="0" w:tentative="0">
      <w:start w:val="1"/>
      <w:numFmt w:val="upperLetter"/>
      <w:pStyle w:val="12"/>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DBF04F4"/>
    <w:multiLevelType w:val="multilevel"/>
    <w:tmpl w:val="6DBF04F4"/>
    <w:lvl w:ilvl="0" w:tentative="0">
      <w:start w:val="1"/>
      <w:numFmt w:val="none"/>
      <w:pStyle w:val="1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I4YzE0ZDY3ZjNhMGVlMDY4MDVjM2VkZmI0ZmVlMzYifQ=="/>
  </w:docVars>
  <w:rsids>
    <w:rsidRoot w:val="2EB17DAA"/>
    <w:rsid w:val="00035F21"/>
    <w:rsid w:val="00292B93"/>
    <w:rsid w:val="00297EDC"/>
    <w:rsid w:val="00327F03"/>
    <w:rsid w:val="003E719B"/>
    <w:rsid w:val="003F5BB4"/>
    <w:rsid w:val="00514249"/>
    <w:rsid w:val="00514EC1"/>
    <w:rsid w:val="005643AF"/>
    <w:rsid w:val="00590988"/>
    <w:rsid w:val="00605BEF"/>
    <w:rsid w:val="00664576"/>
    <w:rsid w:val="00757C22"/>
    <w:rsid w:val="00782235"/>
    <w:rsid w:val="007F1491"/>
    <w:rsid w:val="008C042E"/>
    <w:rsid w:val="008C2AB3"/>
    <w:rsid w:val="00B174A3"/>
    <w:rsid w:val="00CE1574"/>
    <w:rsid w:val="00CF6FF8"/>
    <w:rsid w:val="00E615F8"/>
    <w:rsid w:val="00E93F78"/>
    <w:rsid w:val="00EE7514"/>
    <w:rsid w:val="00F07182"/>
    <w:rsid w:val="00F82556"/>
    <w:rsid w:val="00FB2FA7"/>
    <w:rsid w:val="12645F60"/>
    <w:rsid w:val="1DE45493"/>
    <w:rsid w:val="215C2DAE"/>
    <w:rsid w:val="2EB17DAA"/>
    <w:rsid w:val="32CF4593"/>
    <w:rsid w:val="38152FC0"/>
    <w:rsid w:val="39EA552E"/>
    <w:rsid w:val="426732B1"/>
    <w:rsid w:val="4F653502"/>
    <w:rsid w:val="58E7422C"/>
    <w:rsid w:val="5F3F2F83"/>
    <w:rsid w:val="6CB03BAB"/>
    <w:rsid w:val="72492A60"/>
    <w:rsid w:val="7C0E0E77"/>
    <w:rsid w:val="7FB64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9"/>
    <w:autoRedefine/>
    <w:qFormat/>
    <w:uiPriority w:val="0"/>
    <w:pPr>
      <w:adjustRightInd/>
      <w:spacing w:line="360" w:lineRule="auto"/>
      <w:ind w:firstLine="420" w:firstLineChars="200"/>
      <w:jc w:val="left"/>
    </w:pPr>
    <w:rPr>
      <w:color w:val="FF0000"/>
      <w:szCs w:val="22"/>
    </w:rPr>
  </w:style>
  <w:style w:type="paragraph" w:styleId="3">
    <w:name w:val="annotation text"/>
    <w:basedOn w:val="1"/>
    <w:link w:val="21"/>
    <w:qFormat/>
    <w:uiPriority w:val="0"/>
    <w:pPr>
      <w:adjustRightInd/>
      <w:spacing w:line="240" w:lineRule="auto"/>
      <w:jc w:val="left"/>
    </w:pPr>
    <w:rPr>
      <w:rFonts w:ascii="Times New Roman" w:hAnsi="Times New Roman"/>
      <w:szCs w:val="24"/>
    </w:rPr>
  </w:style>
  <w:style w:type="paragraph" w:styleId="4">
    <w:name w:val="Balloon Text"/>
    <w:basedOn w:val="1"/>
    <w:link w:val="22"/>
    <w:qFormat/>
    <w:uiPriority w:val="0"/>
    <w:pPr>
      <w:spacing w:line="240" w:lineRule="auto"/>
    </w:pPr>
    <w:rPr>
      <w:sz w:val="18"/>
      <w:szCs w:val="18"/>
    </w:rPr>
  </w:style>
  <w:style w:type="paragraph" w:styleId="5">
    <w:name w:val="footer"/>
    <w:basedOn w:val="1"/>
    <w:link w:val="17"/>
    <w:qFormat/>
    <w:uiPriority w:val="0"/>
    <w:pPr>
      <w:tabs>
        <w:tab w:val="center" w:pos="4153"/>
        <w:tab w:val="right" w:pos="8306"/>
      </w:tabs>
      <w:snapToGrid w:val="0"/>
      <w:spacing w:line="240" w:lineRule="atLeast"/>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annotation reference"/>
    <w:qFormat/>
    <w:uiPriority w:val="0"/>
    <w:rPr>
      <w:sz w:val="21"/>
      <w:szCs w:val="21"/>
    </w:rPr>
  </w:style>
  <w:style w:type="paragraph" w:customStyle="1" w:styleId="12">
    <w:name w:val="标准文件_附录标识"/>
    <w:next w:val="13"/>
    <w:qFormat/>
    <w:uiPriority w:val="0"/>
    <w:pPr>
      <w:numPr>
        <w:ilvl w:val="0"/>
        <w:numId w:val="1"/>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
    <w:name w:val="段"/>
    <w:link w:val="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标准文件_注："/>
    <w:next w:val="13"/>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character" w:customStyle="1" w:styleId="16">
    <w:name w:val="页眉 Char"/>
    <w:basedOn w:val="9"/>
    <w:link w:val="6"/>
    <w:qFormat/>
    <w:uiPriority w:val="0"/>
    <w:rPr>
      <w:rFonts w:ascii="Calibri" w:hAnsi="Calibri" w:eastAsia="宋体" w:cs="Times New Roman"/>
      <w:kern w:val="2"/>
      <w:sz w:val="18"/>
      <w:szCs w:val="18"/>
    </w:rPr>
  </w:style>
  <w:style w:type="character" w:customStyle="1" w:styleId="17">
    <w:name w:val="页脚 Char"/>
    <w:basedOn w:val="9"/>
    <w:link w:val="5"/>
    <w:qFormat/>
    <w:uiPriority w:val="0"/>
    <w:rPr>
      <w:rFonts w:ascii="Calibri" w:hAnsi="Calibri" w:eastAsia="宋体" w:cs="Times New Roman"/>
      <w:kern w:val="2"/>
      <w:sz w:val="18"/>
      <w:szCs w:val="18"/>
    </w:rPr>
  </w:style>
  <w:style w:type="paragraph" w:styleId="18">
    <w:name w:val="List Paragraph"/>
    <w:basedOn w:val="1"/>
    <w:autoRedefine/>
    <w:qFormat/>
    <w:uiPriority w:val="99"/>
    <w:pPr>
      <w:numPr>
        <w:ilvl w:val="1"/>
        <w:numId w:val="3"/>
      </w:numPr>
      <w:adjustRightInd/>
      <w:spacing w:line="360" w:lineRule="auto"/>
      <w:ind w:firstLine="0"/>
      <w:jc w:val="left"/>
    </w:pPr>
    <w:rPr>
      <w:szCs w:val="22"/>
      <w:shd w:val="clear" w:color="auto" w:fill="FFFFFF"/>
    </w:rPr>
  </w:style>
  <w:style w:type="character" w:customStyle="1" w:styleId="19">
    <w:name w:val="正文缩进 Char"/>
    <w:link w:val="2"/>
    <w:autoRedefine/>
    <w:qFormat/>
    <w:uiPriority w:val="0"/>
    <w:rPr>
      <w:rFonts w:ascii="Calibri" w:hAnsi="Calibri" w:eastAsia="宋体" w:cs="Times New Roman"/>
      <w:color w:val="FF0000"/>
      <w:kern w:val="2"/>
      <w:sz w:val="21"/>
      <w:szCs w:val="22"/>
    </w:rPr>
  </w:style>
  <w:style w:type="character" w:customStyle="1" w:styleId="20">
    <w:name w:val="段 Char"/>
    <w:link w:val="14"/>
    <w:qFormat/>
    <w:uiPriority w:val="0"/>
    <w:rPr>
      <w:rFonts w:ascii="宋体" w:hAnsi="Times New Roman" w:eastAsia="宋体" w:cs="Times New Roman"/>
      <w:sz w:val="21"/>
    </w:rPr>
  </w:style>
  <w:style w:type="character" w:customStyle="1" w:styleId="21">
    <w:name w:val="批注文字 Char"/>
    <w:basedOn w:val="9"/>
    <w:link w:val="3"/>
    <w:qFormat/>
    <w:uiPriority w:val="0"/>
    <w:rPr>
      <w:rFonts w:ascii="Times New Roman" w:hAnsi="Times New Roman" w:eastAsia="宋体" w:cs="Times New Roman"/>
      <w:kern w:val="2"/>
      <w:sz w:val="21"/>
      <w:szCs w:val="24"/>
    </w:rPr>
  </w:style>
  <w:style w:type="character" w:customStyle="1" w:styleId="22">
    <w:name w:val="批注框文本 Char"/>
    <w:basedOn w:val="9"/>
    <w:link w:val="4"/>
    <w:qFormat/>
    <w:uiPriority w:val="0"/>
    <w:rPr>
      <w:rFonts w:ascii="Calibri" w:hAnsi="Calibri" w:eastAsia="宋体" w:cs="Times New Roman"/>
      <w:kern w:val="2"/>
      <w:sz w:val="18"/>
      <w:szCs w:val="18"/>
    </w:rPr>
  </w:style>
  <w:style w:type="paragraph" w:customStyle="1" w:styleId="23">
    <w:name w:val="标准文件_二级无标题"/>
    <w:basedOn w:val="24"/>
    <w:qFormat/>
    <w:uiPriority w:val="0"/>
    <w:pPr>
      <w:spacing w:before="0" w:beforeLines="0" w:after="0" w:afterLines="0"/>
      <w:outlineLvl w:val="9"/>
    </w:pPr>
    <w:rPr>
      <w:rFonts w:ascii="宋体" w:eastAsia="宋体"/>
    </w:rPr>
  </w:style>
  <w:style w:type="paragraph" w:customStyle="1" w:styleId="24">
    <w:name w:val="标准文件_二级条标题"/>
    <w:next w:val="13"/>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5">
    <w:name w:val="标准文件_一级条标题"/>
    <w:basedOn w:val="26"/>
    <w:next w:val="13"/>
    <w:qFormat/>
    <w:uiPriority w:val="0"/>
    <w:pPr>
      <w:numPr>
        <w:ilvl w:val="2"/>
      </w:numPr>
      <w:tabs>
        <w:tab w:val="left" w:pos="0"/>
      </w:tabs>
      <w:spacing w:before="50" w:beforeLines="50" w:after="50" w:afterLines="50"/>
      <w:outlineLvl w:val="1"/>
    </w:pPr>
  </w:style>
  <w:style w:type="paragraph" w:customStyle="1" w:styleId="26">
    <w:name w:val="标准文件_章标题"/>
    <w:next w:val="13"/>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7891</Words>
  <Characters>8283</Characters>
  <Lines>4</Lines>
  <Paragraphs>8</Paragraphs>
  <TotalTime>21</TotalTime>
  <ScaleCrop>false</ScaleCrop>
  <LinksUpToDate>false</LinksUpToDate>
  <CharactersWithSpaces>8335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2024-10-17T07:28:00Z</dcterms:created>
  <dc:creator>Administrator</dc:creator>
  <cp:lastModifiedBy>顾雯</cp:lastModifiedBy>
  <cp:lastPrinted>2024-10-17T07:58:00Z</cp:lastPrinted>
  <dcterms:modified xsi:type="dcterms:W3CDTF">2024-12-05T01:51:09Z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AC63D7751C094066A6C446CDE02A306C_13</vt:lpwstr>
  </property>
</Properties>
</file>