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9C92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A86F3BA">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FBA82E3">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13.060.01</w:t>
            </w:r>
            <w:r>
              <w:rPr>
                <w:rFonts w:ascii="黑体" w:hAnsi="黑体" w:eastAsia="黑体"/>
                <w:sz w:val="21"/>
                <w:szCs w:val="21"/>
              </w:rPr>
              <w:fldChar w:fldCharType="end"/>
            </w:r>
            <w:bookmarkEnd w:id="0"/>
          </w:p>
        </w:tc>
      </w:tr>
      <w:tr w14:paraId="22497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27AC7B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87B5D0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P</w:t>
            </w:r>
            <w:r>
              <w:rPr>
                <w:rFonts w:ascii="黑体" w:hAnsi="黑体" w:eastAsia="黑体"/>
                <w:sz w:val="21"/>
                <w:szCs w:val="21"/>
              </w:rPr>
              <w:t xml:space="preserve"> </w:t>
            </w:r>
            <w:r>
              <w:rPr>
                <w:rFonts w:hint="eastAsia" w:ascii="黑体" w:hAnsi="黑体" w:eastAsia="黑体"/>
                <w:sz w:val="21"/>
                <w:szCs w:val="21"/>
              </w:rPr>
              <w:t>55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4424F5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AF3D95A">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68B8172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安徽省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7D8700D">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en-US" w:eastAsia="zh-CN"/>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w:t>
      </w:r>
      <w:r>
        <w:rPr>
          <w:rFonts w:hint="eastAsia"/>
          <w:lang w:val="en-US" w:eastAsia="zh-CN"/>
        </w:rPr>
        <w:t>X</w:t>
      </w:r>
      <w:r>
        <w:fldChar w:fldCharType="end"/>
      </w:r>
      <w:bookmarkEnd w:id="7"/>
    </w:p>
    <w:p w14:paraId="4C2919AF">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A9AB39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B8ED7B4">
      <w:pPr>
        <w:pStyle w:val="50"/>
        <w:framePr w:w="9639" w:h="6976" w:hRule="exact" w:hSpace="0" w:vSpace="0" w:wrap="around" w:hAnchor="page" w:y="6408"/>
        <w:jc w:val="center"/>
        <w:rPr>
          <w:rFonts w:ascii="黑体" w:hAnsi="黑体" w:eastAsia="黑体"/>
          <w:b w:val="0"/>
          <w:bCs w:val="0"/>
          <w:w w:val="100"/>
        </w:rPr>
      </w:pPr>
    </w:p>
    <w:p w14:paraId="05E17207">
      <w:pPr>
        <w:pStyle w:val="197"/>
        <w:framePr w:h="6974" w:hRule="exact" w:wrap="around" w:x="1419" w:anchorLock="1"/>
      </w:pPr>
      <w:bookmarkStart w:id="9" w:name="OLE_LINK3"/>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rPr>
        <w:t>河湖长制</w:t>
      </w:r>
      <w:r>
        <w:rPr>
          <w:rFonts w:hint="eastAsia"/>
          <w:lang w:eastAsia="zh-CN"/>
        </w:rPr>
        <w:t>能效提级县成效评估规范</w:t>
      </w:r>
      <w:r>
        <w:fldChar w:fldCharType="end"/>
      </w:r>
      <w:bookmarkEnd w:id="9"/>
      <w:bookmarkEnd w:id="10"/>
    </w:p>
    <w:p w14:paraId="2D9B6ED3">
      <w:pPr>
        <w:framePr w:w="9639" w:h="6974" w:hRule="exact" w:wrap="around" w:vAnchor="page" w:hAnchor="page" w:x="1419" w:y="6408" w:anchorLock="1"/>
        <w:ind w:left="-1418"/>
      </w:pPr>
    </w:p>
    <w:p w14:paraId="36AE10F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A</w:t>
      </w:r>
      <w:r>
        <w:rPr>
          <w:rFonts w:hint="eastAsia" w:eastAsia="黑体"/>
          <w:szCs w:val="28"/>
        </w:rPr>
        <w:t>ssessment specification</w:t>
      </w:r>
      <w:r>
        <w:rPr>
          <w:rFonts w:hint="eastAsia" w:eastAsia="黑体"/>
          <w:szCs w:val="28"/>
          <w:lang w:val="en-US" w:eastAsia="zh-CN"/>
        </w:rPr>
        <w:t xml:space="preserve"> </w:t>
      </w:r>
      <w:r>
        <w:rPr>
          <w:rFonts w:eastAsia="黑体"/>
          <w:szCs w:val="28"/>
        </w:rPr>
        <w:t>for</w:t>
      </w:r>
      <w:r>
        <w:rPr>
          <w:rFonts w:hint="eastAsia" w:eastAsia="黑体"/>
          <w:szCs w:val="28"/>
          <w:lang w:val="en-US" w:eastAsia="zh-CN"/>
        </w:rPr>
        <w:t xml:space="preserve"> efficiency upgrade county of</w:t>
      </w:r>
      <w:r>
        <w:rPr>
          <w:rFonts w:eastAsia="黑体"/>
          <w:szCs w:val="28"/>
        </w:rPr>
        <w:t xml:space="preserve"> river and lake chief system</w:t>
      </w:r>
      <w:r>
        <w:rPr>
          <w:rFonts w:eastAsia="黑体"/>
          <w:szCs w:val="28"/>
        </w:rPr>
        <w:fldChar w:fldCharType="end"/>
      </w:r>
      <w:bookmarkEnd w:id="11"/>
    </w:p>
    <w:p w14:paraId="1B76D303">
      <w:pPr>
        <w:framePr w:w="9639" w:h="6974" w:hRule="exact" w:wrap="around" w:vAnchor="page" w:hAnchor="page" w:x="1419" w:y="6408" w:anchorLock="1"/>
        <w:spacing w:line="760" w:lineRule="exact"/>
        <w:ind w:left="-1418"/>
      </w:pPr>
    </w:p>
    <w:p w14:paraId="7740FCF7">
      <w:pPr>
        <w:pStyle w:val="125"/>
        <w:framePr w:w="9639" w:h="6974" w:hRule="exact" w:wrap="around" w:vAnchor="page" w:hAnchor="page" w:x="1419" w:y="6408" w:anchorLock="1"/>
        <w:textAlignment w:val="bottom"/>
        <w:rPr>
          <w:rFonts w:eastAsia="黑体"/>
          <w:szCs w:val="28"/>
        </w:rPr>
      </w:pPr>
    </w:p>
    <w:p w14:paraId="618DBE1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46AAFD8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rFonts w:hint="eastAsia"/>
          <w:sz w:val="21"/>
          <w:szCs w:val="28"/>
        </w:rPr>
        <w:t xml:space="preserve"> </w:t>
      </w:r>
      <w:r>
        <w:rPr>
          <w:sz w:val="21"/>
          <w:szCs w:val="28"/>
        </w:rPr>
        <w:fldChar w:fldCharType="end"/>
      </w:r>
      <w:bookmarkEnd w:id="13"/>
    </w:p>
    <w:p w14:paraId="19CABE9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5780D4C2">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7"/>
      <w:r>
        <w:rPr>
          <w:rFonts w:hint="eastAsia"/>
        </w:rPr>
        <w:t>发布</w:t>
      </w:r>
    </w:p>
    <w:p w14:paraId="4444D3AE">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20"/>
      <w:r>
        <w:rPr>
          <w:rFonts w:hint="eastAsia"/>
        </w:rPr>
        <w:t>实施</w:t>
      </w:r>
    </w:p>
    <w:p w14:paraId="58FE59A0">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379F2A2">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2FCD72E">
      <w:pPr>
        <w:pStyle w:val="89"/>
        <w:spacing w:after="468"/>
      </w:pPr>
      <w:bookmarkStart w:id="22" w:name="BookMark2"/>
      <w:r>
        <w:rPr>
          <w:spacing w:val="320"/>
        </w:rPr>
        <w:t>前</w:t>
      </w:r>
      <w:r>
        <w:t>言</w:t>
      </w:r>
    </w:p>
    <w:p w14:paraId="567CA497">
      <w:pPr>
        <w:pStyle w:val="56"/>
        <w:ind w:firstLine="420"/>
      </w:pPr>
      <w:r>
        <w:rPr>
          <w:rFonts w:hint="eastAsia"/>
        </w:rPr>
        <w:t>本文件按照GB/T 1.1—2020《标准化工作导则  第1部分：标准化文件的结构和起草规则》的规定起草。</w:t>
      </w:r>
    </w:p>
    <w:p w14:paraId="64BCF9B2">
      <w:pPr>
        <w:pStyle w:val="56"/>
        <w:ind w:firstLine="420"/>
      </w:pPr>
      <w:r>
        <w:rPr>
          <w:rFonts w:hint="eastAsia"/>
        </w:rPr>
        <w:t>请注意本文件的某些内容可能涉及专利。本文件的发布机构不承担识别专利的责任。</w:t>
      </w:r>
    </w:p>
    <w:p w14:paraId="200900DD">
      <w:pPr>
        <w:pStyle w:val="56"/>
        <w:ind w:firstLine="420"/>
      </w:pPr>
      <w:r>
        <w:rPr>
          <w:rFonts w:hint="eastAsia"/>
        </w:rPr>
        <w:t>本文件由安徽省水利厅提出并归口。</w:t>
      </w:r>
    </w:p>
    <w:p w14:paraId="6DBB22D5">
      <w:pPr>
        <w:pStyle w:val="56"/>
        <w:ind w:firstLine="420"/>
      </w:pPr>
      <w:r>
        <w:rPr>
          <w:rFonts w:hint="eastAsia"/>
        </w:rPr>
        <w:t>本文件起草单位：安徽省（水利部淮河水利委员会）水利科学研究院（安徽省水利工程质量检测中心站）、安徽省水利厅河长制工作处。</w:t>
      </w:r>
    </w:p>
    <w:p w14:paraId="7309E070">
      <w:pPr>
        <w:pStyle w:val="56"/>
        <w:ind w:firstLine="420"/>
        <w:rPr>
          <w:color w:val="auto"/>
        </w:rPr>
      </w:pPr>
      <w:r>
        <w:rPr>
          <w:rFonts w:hint="eastAsia"/>
        </w:rPr>
        <w:t>本文件主要起草人：</w:t>
      </w:r>
      <w:bookmarkStart w:id="60" w:name="_GoBack"/>
      <w:bookmarkEnd w:id="60"/>
      <w:r>
        <w:rPr>
          <w:rFonts w:hint="eastAsia"/>
          <w:color w:val="auto"/>
          <w:lang w:eastAsia="zh-CN"/>
        </w:rPr>
        <w:t>。</w:t>
      </w:r>
    </w:p>
    <w:p w14:paraId="0BA66AB2">
      <w:pPr>
        <w:pStyle w:val="56"/>
        <w:ind w:firstLine="420"/>
      </w:pPr>
    </w:p>
    <w:p w14:paraId="6B839068">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2"/>
    <w:p w14:paraId="19C0316D">
      <w:pPr>
        <w:spacing w:line="20" w:lineRule="exact"/>
        <w:jc w:val="center"/>
        <w:rPr>
          <w:rFonts w:ascii="黑体" w:hAnsi="黑体" w:eastAsia="黑体"/>
          <w:sz w:val="32"/>
          <w:szCs w:val="32"/>
        </w:rPr>
      </w:pPr>
      <w:bookmarkStart w:id="23" w:name="BookMark4"/>
    </w:p>
    <w:p w14:paraId="319DA76C">
      <w:pPr>
        <w:spacing w:line="20" w:lineRule="exact"/>
        <w:jc w:val="center"/>
        <w:rPr>
          <w:rFonts w:ascii="黑体" w:hAnsi="黑体" w:eastAsia="黑体"/>
          <w:sz w:val="32"/>
          <w:szCs w:val="32"/>
        </w:rPr>
      </w:pPr>
    </w:p>
    <w:sdt>
      <w:sdtPr>
        <w:tag w:val="NEW_STAND_NAME"/>
        <w:id w:val="595910757"/>
        <w:lock w:val="sdtLocked"/>
        <w:placeholder>
          <w:docPart w:val="2171C2FF6BEB4906BB8589EE9FE16BA8"/>
        </w:placeholder>
      </w:sdtPr>
      <w:sdtContent>
        <w:p w14:paraId="7C909D15">
          <w:pPr>
            <w:pStyle w:val="177"/>
            <w:spacing w:before="312" w:beforeLines="100" w:after="686" w:afterLines="220"/>
          </w:pPr>
          <w:bookmarkStart w:id="24" w:name="NEW_STAND_NAME"/>
          <w:r>
            <w:rPr>
              <w:rFonts w:hint="eastAsia"/>
            </w:rPr>
            <w:t>河湖长制</w:t>
          </w:r>
          <w:r>
            <w:rPr>
              <w:rFonts w:hint="eastAsia"/>
              <w:lang w:eastAsia="zh-CN"/>
            </w:rPr>
            <w:t>能效提级县成效评估规范</w:t>
          </w:r>
        </w:p>
      </w:sdtContent>
    </w:sdt>
    <w:bookmarkEnd w:id="24"/>
    <w:p w14:paraId="435ABBA1">
      <w:pPr>
        <w:pStyle w:val="104"/>
        <w:spacing w:before="312" w:after="312"/>
      </w:pPr>
      <w:bookmarkStart w:id="25" w:name="_Toc97191423"/>
      <w:bookmarkStart w:id="26" w:name="_Toc24884218"/>
      <w:bookmarkStart w:id="27" w:name="_Toc26986530"/>
      <w:bookmarkStart w:id="28" w:name="_Toc17233333"/>
      <w:bookmarkStart w:id="29" w:name="_Toc17233325"/>
      <w:bookmarkStart w:id="30" w:name="_Toc24884211"/>
      <w:bookmarkStart w:id="31" w:name="_Toc26986771"/>
      <w:bookmarkStart w:id="32" w:name="_Toc26648465"/>
      <w:bookmarkStart w:id="33" w:name="_Toc26718930"/>
      <w:r>
        <w:rPr>
          <w:rFonts w:hint="eastAsia"/>
        </w:rPr>
        <w:t>范围</w:t>
      </w:r>
      <w:bookmarkEnd w:id="25"/>
      <w:bookmarkEnd w:id="26"/>
      <w:bookmarkEnd w:id="27"/>
      <w:bookmarkEnd w:id="28"/>
      <w:bookmarkEnd w:id="29"/>
      <w:bookmarkEnd w:id="30"/>
      <w:bookmarkEnd w:id="31"/>
      <w:bookmarkEnd w:id="32"/>
      <w:bookmarkEnd w:id="33"/>
    </w:p>
    <w:p w14:paraId="5E01D7A9">
      <w:pPr>
        <w:pStyle w:val="56"/>
        <w:ind w:firstLine="420"/>
        <w:rPr>
          <w:color w:val="auto"/>
        </w:rPr>
      </w:pPr>
      <w:bookmarkStart w:id="34" w:name="_Toc17233334"/>
      <w:bookmarkStart w:id="35" w:name="_Toc17233326"/>
      <w:bookmarkStart w:id="36" w:name="_Toc24884219"/>
      <w:bookmarkStart w:id="37" w:name="_Toc24884212"/>
      <w:bookmarkStart w:id="38" w:name="_Toc26648466"/>
      <w:r>
        <w:rPr>
          <w:rFonts w:hint="eastAsia"/>
        </w:rPr>
        <w:t>本文件</w:t>
      </w:r>
      <w:r>
        <w:rPr>
          <w:rFonts w:hint="eastAsia"/>
          <w:lang w:eastAsia="zh-CN"/>
        </w:rPr>
        <w:t>规定</w:t>
      </w:r>
      <w:r>
        <w:rPr>
          <w:rFonts w:hint="eastAsia"/>
        </w:rPr>
        <w:t>了河湖长制</w:t>
      </w:r>
      <w:r>
        <w:rPr>
          <w:rFonts w:hint="eastAsia"/>
          <w:lang w:eastAsia="zh-CN"/>
        </w:rPr>
        <w:t>能效提级</w:t>
      </w:r>
      <w:r>
        <w:rPr>
          <w:rFonts w:hint="eastAsia"/>
          <w:color w:val="auto"/>
          <w:lang w:eastAsia="zh-CN"/>
        </w:rPr>
        <w:t>县</w:t>
      </w:r>
      <w:r>
        <w:rPr>
          <w:rFonts w:hint="eastAsia"/>
          <w:color w:val="auto"/>
        </w:rPr>
        <w:t>术语和定义、</w:t>
      </w:r>
      <w:r>
        <w:rPr>
          <w:rFonts w:hint="eastAsia"/>
          <w:color w:val="auto"/>
          <w:lang w:val="en-US" w:eastAsia="zh-CN"/>
        </w:rPr>
        <w:t>基本要求</w:t>
      </w:r>
      <w:r>
        <w:rPr>
          <w:rFonts w:hint="eastAsia"/>
          <w:color w:val="auto"/>
          <w:lang w:eastAsia="zh-CN"/>
        </w:rPr>
        <w:t>、评估指标、评估</w:t>
      </w:r>
      <w:r>
        <w:rPr>
          <w:rFonts w:hint="eastAsia"/>
          <w:color w:val="auto"/>
          <w:lang w:val="en-US" w:eastAsia="zh-CN"/>
        </w:rPr>
        <w:t>方法</w:t>
      </w:r>
      <w:r>
        <w:rPr>
          <w:rFonts w:hint="eastAsia"/>
          <w:color w:val="auto"/>
          <w:lang w:eastAsia="zh-CN"/>
        </w:rPr>
        <w:t>、评估流程与</w:t>
      </w:r>
      <w:r>
        <w:rPr>
          <w:rFonts w:hint="eastAsia"/>
          <w:color w:val="auto"/>
          <w:lang w:val="en-US" w:eastAsia="zh-CN"/>
        </w:rPr>
        <w:t>方式、评估报告编制</w:t>
      </w:r>
      <w:r>
        <w:rPr>
          <w:rFonts w:hint="eastAsia"/>
          <w:color w:val="auto"/>
        </w:rPr>
        <w:t>等。</w:t>
      </w:r>
    </w:p>
    <w:p w14:paraId="5BE3ACAA">
      <w:pPr>
        <w:pStyle w:val="56"/>
        <w:ind w:firstLine="420"/>
      </w:pPr>
      <w:r>
        <w:rPr>
          <w:rFonts w:hint="eastAsia"/>
        </w:rPr>
        <w:t>本文件适用于</w:t>
      </w:r>
      <w:r>
        <w:rPr>
          <w:rFonts w:hint="eastAsia"/>
          <w:lang w:eastAsia="zh-CN"/>
        </w:rPr>
        <w:t>河湖长制能效提级县建设成效评估工作。</w:t>
      </w:r>
    </w:p>
    <w:p w14:paraId="4DAB1F86">
      <w:pPr>
        <w:pStyle w:val="104"/>
        <w:spacing w:before="312" w:after="312"/>
      </w:pPr>
      <w:bookmarkStart w:id="39" w:name="_Toc26718931"/>
      <w:bookmarkStart w:id="40" w:name="_Toc26986772"/>
      <w:bookmarkStart w:id="41" w:name="_Toc97191424"/>
      <w:bookmarkStart w:id="42" w:name="_Toc269865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CF2B065EAC424261A4A6A3731D7F48B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86663FA">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9D61DF">
      <w:pPr>
        <w:pStyle w:val="56"/>
        <w:ind w:firstLine="420"/>
        <w:rPr>
          <w:rFonts w:hint="default"/>
          <w:color w:val="auto"/>
          <w:lang w:val="en-US" w:eastAsia="zh-CN"/>
        </w:rPr>
      </w:pPr>
      <w:r>
        <w:rPr>
          <w:rFonts w:hint="eastAsia"/>
          <w:color w:val="auto"/>
          <w:lang w:val="en-US" w:eastAsia="zh-CN"/>
        </w:rPr>
        <w:t>GB 3838 地表水环境质量标准</w:t>
      </w:r>
    </w:p>
    <w:p w14:paraId="7241F4AD">
      <w:pPr>
        <w:pStyle w:val="56"/>
        <w:ind w:firstLine="420"/>
        <w:rPr>
          <w:rFonts w:hint="eastAsia"/>
          <w:color w:val="auto"/>
          <w:lang w:val="en-US" w:eastAsia="zh-CN"/>
        </w:rPr>
      </w:pPr>
      <w:r>
        <w:rPr>
          <w:rFonts w:hint="default"/>
          <w:color w:val="auto"/>
          <w:lang w:val="en-US" w:eastAsia="zh-CN"/>
        </w:rPr>
        <w:t xml:space="preserve">GB 50201 </w:t>
      </w:r>
      <w:r>
        <w:rPr>
          <w:rFonts w:hint="eastAsia"/>
          <w:color w:val="auto"/>
          <w:lang w:val="en-US" w:eastAsia="zh-CN"/>
        </w:rPr>
        <w:t>防洪标准</w:t>
      </w:r>
    </w:p>
    <w:p w14:paraId="66AAFE22">
      <w:pPr>
        <w:pStyle w:val="56"/>
        <w:ind w:firstLine="420"/>
        <w:rPr>
          <w:rFonts w:hint="eastAsia"/>
          <w:color w:val="auto"/>
          <w:lang w:val="en-US" w:eastAsia="zh-CN"/>
        </w:rPr>
      </w:pPr>
      <w:r>
        <w:rPr>
          <w:rFonts w:hint="eastAsia"/>
          <w:color w:val="auto"/>
          <w:lang w:val="en-US" w:eastAsia="zh-CN"/>
        </w:rPr>
        <w:t>SL 219 水环境监测规范</w:t>
      </w:r>
    </w:p>
    <w:p w14:paraId="309E1467">
      <w:pPr>
        <w:pStyle w:val="56"/>
        <w:ind w:firstLine="420"/>
        <w:rPr>
          <w:rFonts w:hint="eastAsia"/>
          <w:color w:val="auto"/>
        </w:rPr>
      </w:pPr>
      <w:r>
        <w:rPr>
          <w:rFonts w:hint="default"/>
          <w:color w:val="auto"/>
          <w:lang w:val="en-US" w:eastAsia="zh-CN"/>
        </w:rPr>
        <w:t xml:space="preserve">SL 395 </w:t>
      </w:r>
      <w:r>
        <w:rPr>
          <w:rFonts w:hint="eastAsia"/>
          <w:color w:val="auto"/>
          <w:lang w:val="en-US" w:eastAsia="zh-CN"/>
        </w:rPr>
        <w:t>地表水资源质量评价技术规程</w:t>
      </w:r>
    </w:p>
    <w:p w14:paraId="4F60D1CE">
      <w:pPr>
        <w:pStyle w:val="56"/>
        <w:ind w:firstLine="420"/>
        <w:rPr>
          <w:rFonts w:hint="eastAsia"/>
          <w:color w:val="auto"/>
        </w:rPr>
      </w:pPr>
      <w:r>
        <w:rPr>
          <w:rFonts w:hint="default"/>
          <w:color w:val="auto"/>
          <w:lang w:val="en-US" w:eastAsia="zh-CN"/>
        </w:rPr>
        <w:t xml:space="preserve">SL 723 </w:t>
      </w:r>
      <w:r>
        <w:rPr>
          <w:rFonts w:hint="eastAsia"/>
          <w:color w:val="auto"/>
          <w:lang w:val="en-US" w:eastAsia="zh-CN"/>
        </w:rPr>
        <w:t>治涝标准</w:t>
      </w:r>
    </w:p>
    <w:p w14:paraId="6F4D22E4">
      <w:pPr>
        <w:pStyle w:val="56"/>
        <w:ind w:firstLine="420"/>
        <w:rPr>
          <w:rFonts w:hint="eastAsia"/>
          <w:color w:val="auto"/>
          <w:lang w:val="en-US" w:eastAsia="zh-CN"/>
        </w:rPr>
      </w:pPr>
      <w:r>
        <w:rPr>
          <w:rFonts w:hint="default"/>
          <w:color w:val="auto"/>
          <w:lang w:val="en-US" w:eastAsia="zh-CN"/>
        </w:rPr>
        <w:t xml:space="preserve">SL/T 793 </w:t>
      </w:r>
      <w:r>
        <w:rPr>
          <w:rFonts w:hint="eastAsia"/>
          <w:color w:val="auto"/>
          <w:lang w:val="en-US" w:eastAsia="zh-CN"/>
        </w:rPr>
        <w:t>河湖健康评估技术导则</w:t>
      </w:r>
    </w:p>
    <w:p w14:paraId="5C67F5D3">
      <w:pPr>
        <w:pStyle w:val="56"/>
        <w:ind w:firstLine="420"/>
        <w:rPr>
          <w:color w:val="auto"/>
        </w:rPr>
      </w:pPr>
      <w:r>
        <w:rPr>
          <w:rFonts w:hint="eastAsia"/>
          <w:color w:val="auto"/>
        </w:rPr>
        <w:t xml:space="preserve">DB34/T </w:t>
      </w:r>
      <w:r>
        <w:rPr>
          <w:color w:val="auto"/>
        </w:rPr>
        <w:t xml:space="preserve">4412  </w:t>
      </w:r>
      <w:r>
        <w:rPr>
          <w:rFonts w:hint="eastAsia"/>
          <w:color w:val="auto"/>
        </w:rPr>
        <w:t>河长湖长公示牌</w:t>
      </w:r>
      <w:r>
        <w:rPr>
          <w:color w:val="auto"/>
        </w:rPr>
        <w:t>管理规范</w:t>
      </w:r>
    </w:p>
    <w:p w14:paraId="6A946D16">
      <w:pPr>
        <w:pStyle w:val="56"/>
        <w:ind w:firstLine="420"/>
        <w:rPr>
          <w:color w:val="auto"/>
        </w:rPr>
      </w:pPr>
      <w:r>
        <w:rPr>
          <w:rFonts w:hint="eastAsia"/>
          <w:color w:val="auto"/>
        </w:rPr>
        <w:t xml:space="preserve">DB34/T </w:t>
      </w:r>
      <w:r>
        <w:rPr>
          <w:color w:val="auto"/>
        </w:rPr>
        <w:t>441</w:t>
      </w:r>
      <w:r>
        <w:rPr>
          <w:rFonts w:hint="eastAsia"/>
          <w:color w:val="auto"/>
          <w:lang w:val="en-US" w:eastAsia="zh-CN"/>
        </w:rPr>
        <w:t>3</w:t>
      </w:r>
      <w:r>
        <w:rPr>
          <w:color w:val="auto"/>
        </w:rPr>
        <w:t xml:space="preserve">  </w:t>
      </w:r>
      <w:r>
        <w:rPr>
          <w:rFonts w:hint="eastAsia"/>
          <w:color w:val="auto"/>
        </w:rPr>
        <w:t>河湖长</w:t>
      </w:r>
      <w:r>
        <w:rPr>
          <w:rFonts w:hint="eastAsia"/>
          <w:color w:val="auto"/>
          <w:lang w:eastAsia="zh-CN"/>
        </w:rPr>
        <w:t>制工作导则</w:t>
      </w:r>
    </w:p>
    <w:p w14:paraId="4EE3B739">
      <w:pPr>
        <w:pStyle w:val="56"/>
        <w:ind w:firstLine="420"/>
        <w:rPr>
          <w:rFonts w:hint="eastAsia"/>
          <w:lang w:eastAsia="zh-CN"/>
        </w:rPr>
      </w:pPr>
      <w:r>
        <w:rPr>
          <w:rFonts w:hint="eastAsia"/>
        </w:rPr>
        <w:t xml:space="preserve">DB34/T </w:t>
      </w:r>
      <w:r>
        <w:rPr>
          <w:rFonts w:hint="eastAsia"/>
          <w:lang w:val="en-US" w:eastAsia="zh-CN"/>
        </w:rPr>
        <w:t>4493</w:t>
      </w:r>
      <w:r>
        <w:rPr>
          <w:rFonts w:hint="eastAsia"/>
        </w:rPr>
        <w:t xml:space="preserve"> </w:t>
      </w:r>
      <w:r>
        <w:t xml:space="preserve"> </w:t>
      </w:r>
      <w:r>
        <w:rPr>
          <w:rFonts w:hint="eastAsia"/>
          <w:lang w:eastAsia="zh-CN"/>
        </w:rPr>
        <w:t>幸福河湖评价导则</w:t>
      </w:r>
    </w:p>
    <w:p w14:paraId="7C4E0C90">
      <w:pPr>
        <w:pStyle w:val="104"/>
        <w:spacing w:before="312" w:after="312"/>
      </w:pPr>
      <w:bookmarkStart w:id="43" w:name="_Toc97191425"/>
      <w:r>
        <w:rPr>
          <w:rFonts w:hint="eastAsia"/>
          <w:szCs w:val="21"/>
        </w:rPr>
        <w:t>术语和定义</w:t>
      </w:r>
      <w:bookmarkEnd w:id="43"/>
    </w:p>
    <w:sdt>
      <w:sdtPr>
        <w:id w:val="-1909835108"/>
        <w:placeholder>
          <w:docPart w:val="58513EA5206544D3A99AE8DD7F00FBE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53CF732">
          <w:pPr>
            <w:pStyle w:val="56"/>
            <w:ind w:firstLine="420"/>
          </w:pPr>
          <w:bookmarkStart w:id="44" w:name="_Toc26986532"/>
          <w:bookmarkEnd w:id="44"/>
          <w:r>
            <w:t>下列术语和定义适用于本文件。</w:t>
          </w:r>
        </w:p>
      </w:sdtContent>
    </w:sdt>
    <w:p w14:paraId="67F2B896">
      <w:pPr>
        <w:pStyle w:val="223"/>
        <w:ind w:left="420" w:hanging="420" w:hangingChars="200"/>
        <w:rPr>
          <w:rFonts w:ascii="黑体" w:hAnsi="黑体" w:eastAsia="黑体"/>
          <w:color w:val="auto"/>
        </w:rPr>
      </w:pPr>
      <w:bookmarkStart w:id="45" w:name="_Toc101173341"/>
      <w:bookmarkStart w:id="46" w:name="_Toc101272643"/>
      <w:bookmarkStart w:id="47" w:name="_Toc101193120"/>
      <w:bookmarkStart w:id="48" w:name="_Toc101275899"/>
      <w:bookmarkStart w:id="49" w:name="_Toc123201943"/>
      <w:r>
        <w:rPr>
          <w:rFonts w:ascii="黑体" w:hAnsi="黑体" w:eastAsia="黑体"/>
        </w:rPr>
        <w:br w:type="textWrapping"/>
      </w:r>
      <w:r>
        <w:rPr>
          <w:rFonts w:hint="eastAsia" w:ascii="黑体" w:hAnsi="黑体" w:eastAsia="黑体"/>
          <w:lang w:eastAsia="zh-CN"/>
        </w:rPr>
        <w:t>能效提级县</w:t>
      </w:r>
      <w:r>
        <w:rPr>
          <w:rFonts w:ascii="黑体" w:hAnsi="黑体" w:eastAsia="黑体"/>
        </w:rPr>
        <w:t xml:space="preserve">  </w:t>
      </w:r>
      <w:r>
        <w:rPr>
          <w:rFonts w:hint="eastAsia" w:ascii="黑体" w:hAnsi="黑体" w:eastAsia="黑体"/>
        </w:rPr>
        <w:t>eff</w:t>
      </w:r>
      <w:r>
        <w:rPr>
          <w:rFonts w:hint="eastAsia" w:ascii="黑体" w:hAnsi="黑体" w:eastAsia="黑体"/>
          <w:color w:val="auto"/>
        </w:rPr>
        <w:t>iciency</w:t>
      </w:r>
      <w:bookmarkEnd w:id="45"/>
      <w:bookmarkEnd w:id="46"/>
      <w:bookmarkEnd w:id="47"/>
      <w:bookmarkEnd w:id="48"/>
      <w:bookmarkEnd w:id="49"/>
      <w:r>
        <w:rPr>
          <w:rFonts w:hint="eastAsia" w:ascii="黑体" w:hAnsi="黑体" w:eastAsia="黑体"/>
          <w:color w:val="auto"/>
          <w:lang w:val="en-US" w:eastAsia="zh-CN"/>
        </w:rPr>
        <w:t xml:space="preserve"> upgrade county</w:t>
      </w:r>
    </w:p>
    <w:p w14:paraId="6058C2E5">
      <w:pPr>
        <w:pStyle w:val="56"/>
        <w:ind w:firstLine="420"/>
        <w:rPr>
          <w:rFonts w:hint="eastAsia"/>
          <w:color w:val="auto"/>
          <w:lang w:eastAsia="zh-CN"/>
        </w:rPr>
      </w:pPr>
      <w:r>
        <w:rPr>
          <w:rFonts w:hint="eastAsia"/>
          <w:color w:val="auto"/>
          <w:lang w:eastAsia="zh-CN"/>
        </w:rPr>
        <w:t>能效提级县是通过全面强化河湖管护机制、标本兼治复苏河湖生态和建设健康美丽幸福河湖，以县域为单元的河湖长制升级版。</w:t>
      </w:r>
    </w:p>
    <w:p w14:paraId="091AEF09">
      <w:pPr>
        <w:pStyle w:val="223"/>
        <w:ind w:left="420" w:hanging="420" w:hangingChars="200"/>
        <w:rPr>
          <w:rFonts w:ascii="黑体" w:hAnsi="黑体" w:eastAsia="黑体"/>
        </w:rPr>
      </w:pPr>
      <w:bookmarkStart w:id="50" w:name="_Toc101193121"/>
      <w:bookmarkStart w:id="51" w:name="_Toc101272644"/>
      <w:bookmarkStart w:id="52" w:name="_Toc101173342"/>
      <w:bookmarkStart w:id="53" w:name="_Toc101275900"/>
      <w:r>
        <w:rPr>
          <w:rFonts w:ascii="黑体" w:hAnsi="黑体" w:eastAsia="黑体"/>
        </w:rPr>
        <w:br w:type="textWrapping"/>
      </w:r>
      <w:r>
        <w:rPr>
          <w:rFonts w:hint="eastAsia" w:ascii="黑体" w:hAnsi="黑体" w:eastAsia="黑体"/>
          <w:lang w:eastAsia="zh-CN"/>
        </w:rPr>
        <w:t>河湖自然</w:t>
      </w:r>
      <w:r>
        <w:rPr>
          <w:rFonts w:hint="eastAsia" w:ascii="黑体" w:hAnsi="黑体" w:eastAsia="黑体"/>
          <w:color w:val="auto"/>
          <w:lang w:eastAsia="zh-CN"/>
        </w:rPr>
        <w:t>岸线</w:t>
      </w:r>
      <w:r>
        <w:rPr>
          <w:rFonts w:ascii="黑体" w:hAnsi="黑体" w:eastAsia="黑体"/>
          <w:color w:val="auto"/>
        </w:rPr>
        <w:t xml:space="preserve">  </w:t>
      </w:r>
      <w:r>
        <w:rPr>
          <w:rFonts w:hint="eastAsia" w:ascii="黑体" w:hAnsi="黑体" w:eastAsia="黑体"/>
          <w:color w:val="auto"/>
        </w:rPr>
        <w:t>natural shoreline of water area</w:t>
      </w:r>
    </w:p>
    <w:p w14:paraId="378E454F">
      <w:pPr>
        <w:pStyle w:val="56"/>
        <w:ind w:firstLine="420"/>
      </w:pPr>
      <w:r>
        <w:rPr>
          <w:rFonts w:hint="eastAsia"/>
        </w:rPr>
        <w:t>水域经过多年自然涨落运行所形成的未被开发利用的岸线，或通过生态修复基本达到岸线生态功能的岸线。</w:t>
      </w:r>
    </w:p>
    <w:p w14:paraId="134FEF51">
      <w:pPr>
        <w:pStyle w:val="223"/>
        <w:ind w:left="420" w:hanging="420" w:hangingChars="200"/>
        <w:rPr>
          <w:rFonts w:hint="default" w:ascii="黑体" w:hAnsi="黑体" w:eastAsia="黑体"/>
          <w:color w:val="auto"/>
          <w:lang w:val="en-US"/>
        </w:rPr>
      </w:pPr>
      <w:r>
        <w:rPr>
          <w:rFonts w:ascii="黑体" w:hAnsi="黑体" w:eastAsia="黑体"/>
          <w:color w:val="auto"/>
        </w:rPr>
        <w:br w:type="textWrapping"/>
      </w:r>
      <w:r>
        <w:rPr>
          <w:rFonts w:hint="eastAsia" w:ascii="黑体" w:hAnsi="黑体" w:eastAsia="黑体"/>
          <w:color w:val="auto"/>
          <w:lang w:eastAsia="zh-CN"/>
        </w:rPr>
        <w:t>水文化</w:t>
      </w:r>
      <w:r>
        <w:rPr>
          <w:rFonts w:ascii="黑体" w:hAnsi="黑体" w:eastAsia="黑体"/>
          <w:color w:val="auto"/>
        </w:rPr>
        <w:t xml:space="preserve">  </w:t>
      </w:r>
      <w:r>
        <w:rPr>
          <w:rFonts w:hint="eastAsia" w:ascii="黑体" w:hAnsi="黑体" w:eastAsia="黑体"/>
          <w:color w:val="auto"/>
          <w:lang w:val="en-US" w:eastAsia="zh-CN"/>
        </w:rPr>
        <w:t>water culture</w:t>
      </w:r>
    </w:p>
    <w:p w14:paraId="640F9721">
      <w:pPr>
        <w:pStyle w:val="56"/>
        <w:ind w:firstLine="420"/>
        <w:rPr>
          <w:rFonts w:hint="eastAsia"/>
          <w:color w:val="auto"/>
          <w:lang w:eastAsia="zh-CN"/>
        </w:rPr>
      </w:pPr>
      <w:r>
        <w:rPr>
          <w:rFonts w:hint="eastAsia"/>
          <w:color w:val="auto"/>
          <w:lang w:eastAsia="zh-CN"/>
        </w:rPr>
        <w:t>以水为载体的物质和精神层面的文化现象的统称。</w:t>
      </w:r>
    </w:p>
    <w:p w14:paraId="59FCDAFE">
      <w:pPr>
        <w:pStyle w:val="104"/>
        <w:spacing w:before="312" w:after="312"/>
        <w:rPr>
          <w:lang w:val="zh-CN"/>
        </w:rPr>
      </w:pPr>
      <w:r>
        <w:rPr>
          <w:rFonts w:hint="eastAsia"/>
          <w:lang w:val="zh-CN" w:eastAsia="zh-CN"/>
        </w:rPr>
        <w:t>基本要求</w:t>
      </w:r>
    </w:p>
    <w:p w14:paraId="0FFD0A16">
      <w:pPr>
        <w:pStyle w:val="105"/>
        <w:spacing w:before="156" w:after="156"/>
        <w:rPr>
          <w:rFonts w:hint="eastAsia"/>
          <w:color w:val="auto"/>
          <w:lang w:val="zh-CN" w:eastAsia="zh-CN"/>
        </w:rPr>
      </w:pPr>
      <w:r>
        <w:rPr>
          <w:rFonts w:hint="eastAsia"/>
          <w:color w:val="auto"/>
          <w:lang w:val="en-US" w:eastAsia="zh-CN"/>
        </w:rPr>
        <w:t>评估对象</w:t>
      </w:r>
    </w:p>
    <w:p w14:paraId="555D52D4">
      <w:pPr>
        <w:pStyle w:val="56"/>
        <w:ind w:firstLine="420"/>
        <w:rPr>
          <w:rFonts w:hint="eastAsia"/>
          <w:color w:val="auto"/>
          <w:lang w:eastAsia="zh-CN"/>
        </w:rPr>
      </w:pPr>
      <w:r>
        <w:rPr>
          <w:rFonts w:hint="eastAsia"/>
          <w:color w:val="auto"/>
          <w:lang w:eastAsia="zh-CN"/>
        </w:rPr>
        <w:t>评估对象为有河湖长制能效提级县建设任务的县（市、区）。</w:t>
      </w:r>
    </w:p>
    <w:p w14:paraId="1604A554">
      <w:pPr>
        <w:pStyle w:val="105"/>
        <w:spacing w:before="156" w:after="156"/>
        <w:rPr>
          <w:rFonts w:hint="eastAsia"/>
          <w:color w:val="auto"/>
          <w:lang w:val="en-US" w:eastAsia="zh-CN"/>
        </w:rPr>
      </w:pPr>
      <w:r>
        <w:rPr>
          <w:rFonts w:hint="eastAsia"/>
          <w:color w:val="auto"/>
          <w:lang w:val="en-US" w:eastAsia="zh-CN"/>
        </w:rPr>
        <w:t>评估原则</w:t>
      </w:r>
    </w:p>
    <w:p w14:paraId="550ECFFD">
      <w:pPr>
        <w:pStyle w:val="65"/>
        <w:spacing w:before="156" w:after="156"/>
        <w:rPr>
          <w:rFonts w:hint="eastAsia" w:ascii="黑体" w:hAnsi="Times New Roman" w:eastAsia="黑体" w:cs="Times New Roman"/>
          <w:color w:val="auto"/>
          <w:sz w:val="21"/>
          <w:lang w:val="en-US" w:eastAsia="zh-CN" w:bidi="ar-SA"/>
        </w:rPr>
      </w:pPr>
      <w:r>
        <w:rPr>
          <w:rFonts w:hint="eastAsia" w:cs="Times New Roman"/>
          <w:color w:val="auto"/>
          <w:sz w:val="21"/>
          <w:lang w:val="en-US" w:eastAsia="zh-CN" w:bidi="ar-SA"/>
        </w:rPr>
        <w:t>科学合理</w:t>
      </w:r>
    </w:p>
    <w:p w14:paraId="3A478679">
      <w:pPr>
        <w:pStyle w:val="56"/>
        <w:ind w:firstLine="420"/>
        <w:rPr>
          <w:rFonts w:hint="eastAsia"/>
          <w:color w:val="auto"/>
          <w:lang w:eastAsia="zh-CN"/>
        </w:rPr>
      </w:pPr>
      <w:r>
        <w:rPr>
          <w:rFonts w:hint="eastAsia"/>
          <w:color w:val="auto"/>
          <w:lang w:val="en-US" w:eastAsia="zh-CN"/>
        </w:rPr>
        <w:t>遵循流域自然规律和经济社会发展规律，构建能够较为客观和真实地反映河湖长制能效提级县建设成效的评估指标体系，评估指标合理全面、评估方法可行、评估程序科学、评估结果可信。</w:t>
      </w:r>
    </w:p>
    <w:p w14:paraId="704E2E03">
      <w:pPr>
        <w:pStyle w:val="65"/>
        <w:spacing w:before="156" w:after="156"/>
        <w:rPr>
          <w:rFonts w:hint="eastAsia" w:cs="Times New Roman"/>
          <w:color w:val="auto"/>
          <w:sz w:val="21"/>
          <w:lang w:val="en-US" w:eastAsia="zh-CN" w:bidi="ar-SA"/>
        </w:rPr>
      </w:pPr>
      <w:r>
        <w:rPr>
          <w:rFonts w:hint="eastAsia" w:cs="Times New Roman"/>
          <w:color w:val="auto"/>
          <w:sz w:val="21"/>
          <w:lang w:val="zh-CN" w:eastAsia="zh-CN" w:bidi="ar-SA"/>
        </w:rPr>
        <w:t>注重实效</w:t>
      </w:r>
    </w:p>
    <w:p w14:paraId="6CBC22BE">
      <w:pPr>
        <w:pStyle w:val="56"/>
        <w:ind w:firstLine="420"/>
        <w:rPr>
          <w:rFonts w:hint="eastAsia"/>
          <w:color w:val="auto"/>
          <w:lang w:eastAsia="zh-CN"/>
        </w:rPr>
      </w:pPr>
      <w:r>
        <w:rPr>
          <w:rFonts w:hint="eastAsia"/>
          <w:color w:val="auto"/>
          <w:lang w:val="en-US" w:eastAsia="zh-CN"/>
        </w:rPr>
        <w:t>评估指标体系符合地方水情与河湖管理实际，评估成果能够帮助公众了解河湖的真实状况，有效服务于河湖长制工作，为各级河长湖长及相关主管部门履行河湖管理保护职责提供参考。</w:t>
      </w:r>
    </w:p>
    <w:p w14:paraId="5F5F4A4A">
      <w:pPr>
        <w:pStyle w:val="65"/>
        <w:spacing w:before="156" w:after="156"/>
        <w:rPr>
          <w:rFonts w:hint="eastAsia" w:cs="Times New Roman"/>
          <w:color w:val="auto"/>
          <w:sz w:val="21"/>
          <w:lang w:val="en-US" w:eastAsia="zh-CN" w:bidi="ar-SA"/>
        </w:rPr>
      </w:pPr>
      <w:r>
        <w:rPr>
          <w:rFonts w:hint="eastAsia" w:cs="Times New Roman"/>
          <w:color w:val="auto"/>
          <w:sz w:val="21"/>
          <w:lang w:val="zh-CN" w:eastAsia="zh-CN" w:bidi="ar-SA"/>
        </w:rPr>
        <w:t>突出特色</w:t>
      </w:r>
    </w:p>
    <w:p w14:paraId="496F0B58">
      <w:pPr>
        <w:pStyle w:val="56"/>
        <w:ind w:firstLine="420"/>
        <w:rPr>
          <w:rFonts w:hint="eastAsia"/>
          <w:color w:val="auto"/>
          <w:lang w:eastAsia="zh-CN"/>
        </w:rPr>
      </w:pPr>
      <w:r>
        <w:rPr>
          <w:rFonts w:hint="eastAsia"/>
          <w:color w:val="auto"/>
          <w:lang w:val="en-US" w:eastAsia="zh-CN"/>
        </w:rPr>
        <w:t>充分体现县域基础优势，根据县域内河网水系特征和经济社会发展水平，着力打造特色鲜明、成效彰显、人民群众满意的河湖长制能效提级县，形成各美其美的典型经验。</w:t>
      </w:r>
    </w:p>
    <w:p w14:paraId="105DA6EB">
      <w:pPr>
        <w:pStyle w:val="65"/>
        <w:spacing w:before="156" w:after="156"/>
        <w:rPr>
          <w:rFonts w:hint="eastAsia" w:cs="Times New Roman"/>
          <w:color w:val="auto"/>
          <w:sz w:val="21"/>
          <w:lang w:val="en-US" w:eastAsia="zh-CN" w:bidi="ar-SA"/>
        </w:rPr>
      </w:pPr>
      <w:r>
        <w:rPr>
          <w:rFonts w:hint="eastAsia" w:cs="Times New Roman"/>
          <w:color w:val="auto"/>
          <w:sz w:val="21"/>
          <w:lang w:val="zh-CN" w:eastAsia="zh-CN" w:bidi="ar-SA"/>
        </w:rPr>
        <w:t>量化可行</w:t>
      </w:r>
    </w:p>
    <w:p w14:paraId="10E4B677">
      <w:pPr>
        <w:pStyle w:val="56"/>
        <w:ind w:firstLine="420"/>
        <w:rPr>
          <w:rFonts w:hint="eastAsia"/>
          <w:color w:val="auto"/>
          <w:lang w:eastAsia="zh-CN"/>
        </w:rPr>
      </w:pPr>
      <w:r>
        <w:rPr>
          <w:rFonts w:hint="eastAsia"/>
          <w:color w:val="auto"/>
          <w:lang w:val="zh-CN" w:eastAsia="zh-CN"/>
        </w:rPr>
        <w:t>评估指标体系具有开放性，既可以对</w:t>
      </w:r>
      <w:r>
        <w:rPr>
          <w:rFonts w:hint="eastAsia"/>
          <w:color w:val="auto"/>
          <w:lang w:val="en-US" w:eastAsia="zh-CN"/>
        </w:rPr>
        <w:t>能效提级县建设成效</w:t>
      </w:r>
      <w:r>
        <w:rPr>
          <w:rFonts w:hint="eastAsia"/>
          <w:color w:val="auto"/>
          <w:lang w:val="zh-CN" w:eastAsia="zh-CN"/>
        </w:rPr>
        <w:t>进行综合评估，也可以对其中</w:t>
      </w:r>
      <w:r>
        <w:rPr>
          <w:rFonts w:hint="eastAsia"/>
          <w:color w:val="auto"/>
          <w:lang w:val="en-US" w:eastAsia="zh-CN"/>
        </w:rPr>
        <w:t>单项</w:t>
      </w:r>
      <w:r>
        <w:rPr>
          <w:rFonts w:hint="eastAsia"/>
          <w:color w:val="auto"/>
          <w:lang w:val="zh-CN" w:eastAsia="zh-CN"/>
        </w:rPr>
        <w:t>指标进行评估；评估所需基础数据应容易获取、方便监测、计算简便、便于操作和应用。</w:t>
      </w:r>
    </w:p>
    <w:p w14:paraId="173503C1">
      <w:pPr>
        <w:pStyle w:val="105"/>
        <w:spacing w:before="156" w:after="156"/>
        <w:rPr>
          <w:rFonts w:hint="eastAsia"/>
          <w:color w:val="auto"/>
          <w:lang w:val="zh-CN" w:eastAsia="zh-CN"/>
        </w:rPr>
      </w:pPr>
      <w:r>
        <w:rPr>
          <w:rFonts w:hint="eastAsia"/>
          <w:color w:val="auto"/>
          <w:lang w:val="zh-CN" w:eastAsia="zh-CN"/>
        </w:rPr>
        <w:t>评估条件</w:t>
      </w:r>
    </w:p>
    <w:p w14:paraId="33CE4417">
      <w:pPr>
        <w:pStyle w:val="56"/>
        <w:ind w:firstLine="420"/>
        <w:rPr>
          <w:rFonts w:hint="eastAsia"/>
          <w:color w:val="auto"/>
          <w:lang w:eastAsia="zh-CN"/>
        </w:rPr>
      </w:pPr>
      <w:r>
        <w:rPr>
          <w:rFonts w:hint="eastAsia"/>
          <w:color w:val="auto"/>
          <w:lang w:eastAsia="zh-CN"/>
        </w:rPr>
        <w:t>河湖长制能效提级县成效评估应满足以下条件：</w:t>
      </w:r>
    </w:p>
    <w:p w14:paraId="6E000093">
      <w:pPr>
        <w:pStyle w:val="56"/>
        <w:ind w:firstLine="420"/>
        <w:rPr>
          <w:rFonts w:hint="eastAsia"/>
          <w:color w:val="auto"/>
          <w:lang w:eastAsia="zh-CN"/>
        </w:rPr>
      </w:pPr>
      <w:r>
        <w:rPr>
          <w:rFonts w:hint="eastAsia"/>
          <w:color w:val="auto"/>
          <w:lang w:eastAsia="zh-CN"/>
        </w:rPr>
        <w:t>——近3年来，河湖未发生标准内洪水的溃堤、水库未发生垮坝、未发生有人员死亡的洪涝灾害；</w:t>
      </w:r>
    </w:p>
    <w:p w14:paraId="67926894">
      <w:pPr>
        <w:pStyle w:val="56"/>
        <w:ind w:firstLine="420"/>
        <w:rPr>
          <w:rFonts w:hint="eastAsia"/>
          <w:color w:val="auto"/>
          <w:lang w:eastAsia="zh-CN"/>
        </w:rPr>
      </w:pPr>
      <w:r>
        <w:rPr>
          <w:rFonts w:hint="eastAsia"/>
          <w:color w:val="auto"/>
          <w:lang w:eastAsia="zh-CN"/>
        </w:rPr>
        <w:t>——近3年来，没有国家有关部委通报的河湖突出问题，水利部组织开展的河湖长制落实情况监督检查未发现重大问题，没有中央媒体曝光或群众反应强烈的河湖突出问题；</w:t>
      </w:r>
    </w:p>
    <w:p w14:paraId="5A21C1A1">
      <w:pPr>
        <w:pStyle w:val="56"/>
        <w:ind w:firstLine="420"/>
        <w:rPr>
          <w:rFonts w:hint="eastAsia"/>
          <w:color w:val="auto"/>
          <w:lang w:eastAsia="zh-CN"/>
        </w:rPr>
      </w:pPr>
      <w:r>
        <w:rPr>
          <w:rFonts w:hint="eastAsia"/>
          <w:color w:val="auto"/>
          <w:lang w:eastAsia="zh-CN"/>
        </w:rPr>
        <w:t>——县级河长湖长责任河湖水质不低于地表水Ⅳ类；</w:t>
      </w:r>
    </w:p>
    <w:p w14:paraId="200438C5">
      <w:pPr>
        <w:pStyle w:val="56"/>
        <w:ind w:firstLine="420"/>
        <w:rPr>
          <w:rFonts w:hint="eastAsia"/>
          <w:color w:val="auto"/>
          <w:lang w:eastAsia="zh-CN"/>
        </w:rPr>
      </w:pPr>
      <w:r>
        <w:rPr>
          <w:rFonts w:hint="eastAsia"/>
          <w:color w:val="auto"/>
          <w:lang w:eastAsia="zh-CN"/>
        </w:rPr>
        <w:t>——河湖基层管护体系健全，管护主体、人员、经费、制度落实；</w:t>
      </w:r>
    </w:p>
    <w:p w14:paraId="2550E6CB">
      <w:pPr>
        <w:pStyle w:val="56"/>
        <w:ind w:firstLine="420"/>
        <w:rPr>
          <w:rFonts w:hint="eastAsia"/>
          <w:color w:val="auto"/>
          <w:lang w:eastAsia="zh-CN"/>
        </w:rPr>
      </w:pPr>
      <w:r>
        <w:rPr>
          <w:rFonts w:hint="eastAsia"/>
          <w:color w:val="auto"/>
          <w:lang w:eastAsia="zh-CN"/>
        </w:rPr>
        <w:t>——建成省级以上幸福河湖个数高于全省平均水平。</w:t>
      </w:r>
    </w:p>
    <w:bookmarkEnd w:id="50"/>
    <w:bookmarkEnd w:id="51"/>
    <w:bookmarkEnd w:id="52"/>
    <w:bookmarkEnd w:id="53"/>
    <w:p w14:paraId="3DBF18BF">
      <w:pPr>
        <w:pStyle w:val="104"/>
        <w:spacing w:before="312" w:after="312"/>
        <w:rPr>
          <w:lang w:val="zh-CN"/>
        </w:rPr>
      </w:pPr>
      <w:r>
        <w:rPr>
          <w:rFonts w:hint="eastAsia"/>
          <w:lang w:val="zh-CN"/>
        </w:rPr>
        <w:t>评估指标</w:t>
      </w:r>
    </w:p>
    <w:p w14:paraId="419651C5">
      <w:pPr>
        <w:pStyle w:val="105"/>
        <w:spacing w:before="156" w:after="156"/>
        <w:rPr>
          <w:rFonts w:hint="eastAsia" w:ascii="宋体" w:hAnsi="Times New Roman" w:eastAsia="宋体" w:cs="Times New Roman"/>
          <w:color w:val="auto"/>
          <w:sz w:val="21"/>
          <w:lang w:val="en-US" w:eastAsia="zh-CN" w:bidi="ar-SA"/>
        </w:rPr>
      </w:pPr>
      <w:bookmarkStart w:id="54" w:name="_Toc123201947"/>
      <w:r>
        <w:rPr>
          <w:rFonts w:hint="eastAsia" w:ascii="宋体" w:hAnsi="Times New Roman" w:eastAsia="宋体" w:cs="Times New Roman"/>
          <w:color w:val="auto"/>
          <w:sz w:val="21"/>
          <w:lang w:val="en-US" w:eastAsia="zh-CN" w:bidi="ar-SA"/>
        </w:rPr>
        <w:t>河湖长制能效提级县成效评估实行百分制，评估指标体系</w:t>
      </w:r>
      <w:r>
        <w:rPr>
          <w:rFonts w:hint="eastAsia" w:ascii="宋体" w:eastAsia="宋体" w:cs="Times New Roman"/>
          <w:color w:val="auto"/>
          <w:sz w:val="21"/>
          <w:lang w:val="en-US" w:eastAsia="zh-CN" w:bidi="ar-SA"/>
        </w:rPr>
        <w:t>及分值</w:t>
      </w:r>
      <w:r>
        <w:rPr>
          <w:rFonts w:hint="eastAsia" w:ascii="宋体" w:hAnsi="Times New Roman" w:eastAsia="宋体" w:cs="Times New Roman"/>
          <w:color w:val="auto"/>
          <w:sz w:val="21"/>
          <w:lang w:val="en-US" w:eastAsia="zh-CN" w:bidi="ar-SA"/>
        </w:rPr>
        <w:t>见表1。</w:t>
      </w:r>
    </w:p>
    <w:p w14:paraId="04D1BE67">
      <w:pPr>
        <w:pStyle w:val="105"/>
        <w:spacing w:before="156" w:after="1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评估指标体系包括全面强化河湖管护机制、标本兼治复苏河湖生态和建设健康美丽幸福河湖3个准则层。</w:t>
      </w:r>
    </w:p>
    <w:p w14:paraId="6FBDA098">
      <w:pPr>
        <w:pStyle w:val="105"/>
        <w:spacing w:before="156" w:after="1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全面强化河湖管护机制准则层包括河湖管护体系建设、“一河（湖）一策”编制实施、其他基础工作开展、重要河湖水域岸线智慧监管4项指标，标本兼治复苏河湖生态准则层包括防洪排涝工程体系建设、河湖自然岸线、河湖空间管控、水质状况、黑臭水体整治、面源污染治理、生态流量（水位）满足程度7项指标；建设健康美丽幸福河湖准则层包括幸福河湖建设、水文化载体建设、成效彰显、群众满意度4项指标。</w:t>
      </w:r>
    </w:p>
    <w:p w14:paraId="696FAF35">
      <w:pPr>
        <w:pStyle w:val="165"/>
        <w:numPr>
          <w:ilvl w:val="3"/>
          <w:numId w:val="0"/>
        </w:numPr>
        <w:ind w:leftChars="0"/>
        <w:jc w:val="center"/>
        <w:rPr>
          <w:rFonts w:hint="eastAsia" w:ascii="黑体" w:hAnsi="黑体" w:eastAsia="黑体" w:cs="黑体"/>
          <w:b w:val="0"/>
          <w:bCs w:val="0"/>
          <w:color w:val="auto"/>
          <w:lang w:val="en-US" w:eastAsia="zh-CN"/>
        </w:rPr>
      </w:pPr>
      <w:r>
        <w:rPr>
          <w:rFonts w:hint="eastAsia" w:ascii="黑体" w:hAnsi="黑体" w:eastAsia="黑体" w:cs="黑体"/>
          <w:b w:val="0"/>
          <w:bCs w:val="0"/>
          <w:color w:val="auto"/>
          <w:lang w:val="en-US" w:eastAsia="zh-CN"/>
        </w:rPr>
        <w:t>表1  河湖长制能效提级县成效评估指标体系表</w:t>
      </w:r>
    </w:p>
    <w:tbl>
      <w:tblPr>
        <w:tblStyle w:val="27"/>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2607"/>
        <w:gridCol w:w="1293"/>
        <w:gridCol w:w="4785"/>
      </w:tblGrid>
      <w:tr w14:paraId="71E7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457" w:type="pct"/>
            <w:vAlign w:val="center"/>
          </w:tcPr>
          <w:p w14:paraId="5DFC3422">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宋体" w:hAnsi="Times New Roman" w:eastAsia="宋体" w:cs="Times New Roman"/>
                <w:b/>
                <w:bCs/>
                <w:color w:val="auto"/>
                <w:kern w:val="0"/>
                <w:sz w:val="21"/>
                <w:szCs w:val="20"/>
                <w:lang w:val="en-US" w:eastAsia="zh-CN" w:bidi="ar-SA"/>
              </w:rPr>
            </w:pPr>
            <w:r>
              <w:rPr>
                <w:rFonts w:hint="eastAsia" w:ascii="宋体" w:hAnsi="Times New Roman" w:eastAsia="宋体" w:cs="Times New Roman"/>
                <w:b/>
                <w:bCs/>
                <w:color w:val="auto"/>
                <w:kern w:val="0"/>
                <w:sz w:val="21"/>
                <w:szCs w:val="20"/>
                <w:lang w:val="en-US" w:eastAsia="zh-CN" w:bidi="ar-SA"/>
              </w:rPr>
              <w:t>准则层</w:t>
            </w:r>
          </w:p>
        </w:tc>
        <w:tc>
          <w:tcPr>
            <w:tcW w:w="1363" w:type="pct"/>
            <w:vAlign w:val="center"/>
          </w:tcPr>
          <w:p w14:paraId="2035EAE2">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宋体" w:hAnsi="Times New Roman" w:eastAsia="宋体" w:cs="Times New Roman"/>
                <w:b/>
                <w:bCs/>
                <w:color w:val="auto"/>
                <w:kern w:val="0"/>
                <w:sz w:val="21"/>
                <w:szCs w:val="20"/>
                <w:lang w:val="en-US" w:eastAsia="zh-CN" w:bidi="ar-SA"/>
              </w:rPr>
            </w:pPr>
            <w:r>
              <w:rPr>
                <w:rFonts w:hint="eastAsia" w:ascii="宋体" w:hAnsi="Times New Roman" w:eastAsia="宋体" w:cs="Times New Roman"/>
                <w:b/>
                <w:bCs/>
                <w:color w:val="auto"/>
                <w:kern w:val="0"/>
                <w:sz w:val="21"/>
                <w:szCs w:val="20"/>
                <w:lang w:val="en-US" w:eastAsia="zh-CN" w:bidi="ar-SA"/>
              </w:rPr>
              <w:t>指标层</w:t>
            </w:r>
          </w:p>
        </w:tc>
        <w:tc>
          <w:tcPr>
            <w:tcW w:w="676" w:type="pct"/>
            <w:vAlign w:val="center"/>
          </w:tcPr>
          <w:p w14:paraId="1B5A5E80">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宋体" w:hAnsi="Times New Roman" w:eastAsia="宋体" w:cs="Times New Roman"/>
                <w:b/>
                <w:bCs/>
                <w:color w:val="auto"/>
                <w:kern w:val="0"/>
                <w:sz w:val="21"/>
                <w:szCs w:val="20"/>
                <w:lang w:val="en-US" w:eastAsia="zh-CN" w:bidi="ar-SA"/>
              </w:rPr>
            </w:pPr>
            <w:r>
              <w:rPr>
                <w:rFonts w:hint="eastAsia" w:ascii="宋体" w:hAnsi="Times New Roman" w:cs="Times New Roman"/>
                <w:b/>
                <w:bCs/>
                <w:color w:val="auto"/>
                <w:kern w:val="0"/>
                <w:sz w:val="21"/>
                <w:szCs w:val="20"/>
                <w:lang w:val="en-US" w:eastAsia="zh-CN" w:bidi="ar-SA"/>
              </w:rPr>
              <w:t>指标层赋分权值</w:t>
            </w:r>
          </w:p>
        </w:tc>
        <w:tc>
          <w:tcPr>
            <w:tcW w:w="2502" w:type="pct"/>
            <w:vAlign w:val="center"/>
          </w:tcPr>
          <w:p w14:paraId="77EA0B5B">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宋体" w:hAnsi="Times New Roman" w:eastAsia="宋体" w:cs="Times New Roman"/>
                <w:b/>
                <w:bCs/>
                <w:color w:val="auto"/>
                <w:kern w:val="0"/>
                <w:sz w:val="21"/>
                <w:szCs w:val="20"/>
                <w:lang w:val="en-US" w:eastAsia="zh-CN" w:bidi="ar-SA"/>
              </w:rPr>
            </w:pPr>
            <w:r>
              <w:rPr>
                <w:rFonts w:hint="eastAsia" w:ascii="宋体" w:hAnsi="Times New Roman" w:eastAsia="宋体" w:cs="Times New Roman"/>
                <w:b/>
                <w:bCs/>
                <w:color w:val="auto"/>
                <w:kern w:val="0"/>
                <w:sz w:val="21"/>
                <w:szCs w:val="20"/>
                <w:lang w:val="en-US" w:eastAsia="zh-CN" w:bidi="ar-SA"/>
              </w:rPr>
              <w:t>指标解释</w:t>
            </w:r>
          </w:p>
        </w:tc>
      </w:tr>
      <w:tr w14:paraId="1965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restart"/>
            <w:vAlign w:val="center"/>
          </w:tcPr>
          <w:p w14:paraId="7F41E06E">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全面强化河湖管护机制</w:t>
            </w:r>
          </w:p>
          <w:p w14:paraId="1C78305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（23分）</w:t>
            </w:r>
          </w:p>
        </w:tc>
        <w:tc>
          <w:tcPr>
            <w:tcW w:w="1363" w:type="pct"/>
            <w:vAlign w:val="center"/>
          </w:tcPr>
          <w:p w14:paraId="54076348">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河湖管护体系建设</w:t>
            </w:r>
          </w:p>
        </w:tc>
        <w:tc>
          <w:tcPr>
            <w:tcW w:w="676" w:type="pct"/>
            <w:vAlign w:val="center"/>
          </w:tcPr>
          <w:p w14:paraId="5A211C51">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10</w:t>
            </w:r>
            <w:r>
              <w:rPr>
                <w:rFonts w:hint="eastAsia" w:ascii="宋体" w:hAnsi="Times New Roman" w:cs="Times New Roman"/>
                <w:color w:val="auto"/>
                <w:kern w:val="0"/>
                <w:sz w:val="21"/>
                <w:szCs w:val="20"/>
                <w:lang w:val="en-US" w:eastAsia="zh-CN" w:bidi="ar-SA"/>
              </w:rPr>
              <w:t>分</w:t>
            </w:r>
          </w:p>
        </w:tc>
        <w:tc>
          <w:tcPr>
            <w:tcW w:w="2502" w:type="pct"/>
            <w:vAlign w:val="center"/>
          </w:tcPr>
          <w:p w14:paraId="1BA077C7">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主要评价河湖长制组织体系运行情况，河湖管护责任主体、人员、经费落实情况，管护制度建立落实情况。</w:t>
            </w:r>
          </w:p>
        </w:tc>
      </w:tr>
      <w:tr w14:paraId="5DE4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7E9FFED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vAlign w:val="center"/>
          </w:tcPr>
          <w:p w14:paraId="7413AF26">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“一河（湖）一策”编制实施</w:t>
            </w:r>
          </w:p>
        </w:tc>
        <w:tc>
          <w:tcPr>
            <w:tcW w:w="676" w:type="pct"/>
            <w:vAlign w:val="center"/>
          </w:tcPr>
          <w:p w14:paraId="0973EA94">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5</w:t>
            </w:r>
            <w:r>
              <w:rPr>
                <w:rFonts w:hint="eastAsia" w:ascii="宋体" w:hAnsi="Times New Roman" w:cs="Times New Roman"/>
                <w:color w:val="auto"/>
                <w:kern w:val="0"/>
                <w:sz w:val="21"/>
                <w:szCs w:val="20"/>
                <w:lang w:val="en-US" w:eastAsia="zh-CN" w:bidi="ar-SA"/>
              </w:rPr>
              <w:t>分</w:t>
            </w:r>
          </w:p>
        </w:tc>
        <w:tc>
          <w:tcPr>
            <w:tcW w:w="2502" w:type="pct"/>
            <w:vAlign w:val="center"/>
          </w:tcPr>
          <w:p w14:paraId="63277A89">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主要评价“一河（湖）一策”编制实施情况。</w:t>
            </w:r>
          </w:p>
        </w:tc>
      </w:tr>
      <w:tr w14:paraId="7C99C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061D806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vAlign w:val="center"/>
          </w:tcPr>
          <w:p w14:paraId="585CA6E7">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其他基础工作开展</w:t>
            </w:r>
          </w:p>
        </w:tc>
        <w:tc>
          <w:tcPr>
            <w:tcW w:w="676" w:type="pct"/>
            <w:vAlign w:val="center"/>
          </w:tcPr>
          <w:p w14:paraId="1B9FACB1">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5</w:t>
            </w:r>
            <w:r>
              <w:rPr>
                <w:rFonts w:hint="eastAsia" w:ascii="宋体" w:hAnsi="Times New Roman" w:cs="Times New Roman"/>
                <w:color w:val="auto"/>
                <w:kern w:val="0"/>
                <w:sz w:val="21"/>
                <w:szCs w:val="20"/>
                <w:lang w:val="en-US" w:eastAsia="zh-CN" w:bidi="ar-SA"/>
              </w:rPr>
              <w:t>分</w:t>
            </w:r>
          </w:p>
        </w:tc>
        <w:tc>
          <w:tcPr>
            <w:tcW w:w="2502" w:type="pct"/>
            <w:vAlign w:val="center"/>
          </w:tcPr>
          <w:p w14:paraId="163ABC0C">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主要评价“一河（湖）一档”、河湖健康评价、健康档案、河长湖长公示牌设置，以及界桩、界碑、公告牌设立等基础工作情况。</w:t>
            </w:r>
          </w:p>
        </w:tc>
      </w:tr>
      <w:tr w14:paraId="33B19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26F2057D">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vAlign w:val="center"/>
          </w:tcPr>
          <w:p w14:paraId="13F7BB90">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重要河湖水域岸线智慧监管</w:t>
            </w:r>
          </w:p>
        </w:tc>
        <w:tc>
          <w:tcPr>
            <w:tcW w:w="676" w:type="pct"/>
            <w:vAlign w:val="center"/>
          </w:tcPr>
          <w:p w14:paraId="4741EDA5">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3</w:t>
            </w:r>
            <w:r>
              <w:rPr>
                <w:rFonts w:hint="eastAsia" w:ascii="宋体" w:hAnsi="Times New Roman" w:cs="Times New Roman"/>
                <w:color w:val="auto"/>
                <w:kern w:val="0"/>
                <w:sz w:val="21"/>
                <w:szCs w:val="20"/>
                <w:lang w:val="en-US" w:eastAsia="zh-CN" w:bidi="ar-SA"/>
              </w:rPr>
              <w:t>分</w:t>
            </w:r>
          </w:p>
        </w:tc>
        <w:tc>
          <w:tcPr>
            <w:tcW w:w="2502" w:type="pct"/>
            <w:vAlign w:val="center"/>
          </w:tcPr>
          <w:p w14:paraId="5C6CE4FC">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主要评价县级河长湖长责任河湖水域岸线监管情况。</w:t>
            </w:r>
          </w:p>
        </w:tc>
      </w:tr>
      <w:tr w14:paraId="5FAA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restart"/>
            <w:vAlign w:val="center"/>
          </w:tcPr>
          <w:p w14:paraId="3B4B58DE">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标本兼治复苏河湖生态</w:t>
            </w:r>
          </w:p>
          <w:p w14:paraId="13DA2739">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（44分）</w:t>
            </w:r>
          </w:p>
        </w:tc>
        <w:tc>
          <w:tcPr>
            <w:tcW w:w="1363" w:type="pct"/>
            <w:shd w:val="clear" w:color="auto" w:fill="auto"/>
            <w:vAlign w:val="center"/>
          </w:tcPr>
          <w:p w14:paraId="65D902AA">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default"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防洪排涝工程体系建设</w:t>
            </w:r>
          </w:p>
        </w:tc>
        <w:tc>
          <w:tcPr>
            <w:tcW w:w="676" w:type="pct"/>
            <w:vAlign w:val="center"/>
          </w:tcPr>
          <w:p w14:paraId="6A5A79D5">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5</w:t>
            </w:r>
            <w:r>
              <w:rPr>
                <w:rFonts w:hint="eastAsia" w:ascii="宋体" w:hAnsi="Times New Roman" w:cs="Times New Roman"/>
                <w:color w:val="auto"/>
                <w:kern w:val="0"/>
                <w:sz w:val="21"/>
                <w:szCs w:val="20"/>
                <w:lang w:val="en-US" w:eastAsia="zh-CN" w:bidi="ar-SA"/>
              </w:rPr>
              <w:t>分</w:t>
            </w:r>
          </w:p>
        </w:tc>
        <w:tc>
          <w:tcPr>
            <w:tcW w:w="2502" w:type="pct"/>
            <w:vAlign w:val="center"/>
          </w:tcPr>
          <w:p w14:paraId="50903CA3">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主要评价县域内防洪排涝工程体系建设情况。</w:t>
            </w:r>
          </w:p>
        </w:tc>
      </w:tr>
      <w:tr w14:paraId="6F78F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64884390">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shd w:val="clear" w:color="auto" w:fill="auto"/>
            <w:vAlign w:val="center"/>
          </w:tcPr>
          <w:p w14:paraId="72B976D7">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河湖自然岸线</w:t>
            </w:r>
          </w:p>
        </w:tc>
        <w:tc>
          <w:tcPr>
            <w:tcW w:w="676" w:type="pct"/>
            <w:vAlign w:val="center"/>
          </w:tcPr>
          <w:p w14:paraId="522A22A9">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5</w:t>
            </w:r>
            <w:r>
              <w:rPr>
                <w:rFonts w:hint="eastAsia" w:ascii="宋体" w:hAnsi="Times New Roman" w:cs="Times New Roman"/>
                <w:color w:val="auto"/>
                <w:kern w:val="0"/>
                <w:sz w:val="21"/>
                <w:szCs w:val="20"/>
                <w:lang w:val="en-US" w:eastAsia="zh-CN" w:bidi="ar-SA"/>
              </w:rPr>
              <w:t>分</w:t>
            </w:r>
          </w:p>
        </w:tc>
        <w:tc>
          <w:tcPr>
            <w:tcW w:w="2502" w:type="pct"/>
            <w:vAlign w:val="center"/>
          </w:tcPr>
          <w:p w14:paraId="3C3F8A1D">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主要评价县级河长湖长责任河湖岸线自然状况。</w:t>
            </w:r>
          </w:p>
        </w:tc>
      </w:tr>
      <w:tr w14:paraId="6FF0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428F1B15">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shd w:val="clear" w:color="auto" w:fill="auto"/>
            <w:vAlign w:val="center"/>
          </w:tcPr>
          <w:p w14:paraId="384ACD30">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河湖空间管控</w:t>
            </w:r>
          </w:p>
        </w:tc>
        <w:tc>
          <w:tcPr>
            <w:tcW w:w="676" w:type="pct"/>
            <w:vAlign w:val="center"/>
          </w:tcPr>
          <w:p w14:paraId="44D519E3">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9</w:t>
            </w:r>
            <w:r>
              <w:rPr>
                <w:rFonts w:hint="eastAsia" w:ascii="宋体" w:hAnsi="Times New Roman" w:cs="Times New Roman"/>
                <w:color w:val="auto"/>
                <w:kern w:val="0"/>
                <w:sz w:val="21"/>
                <w:szCs w:val="20"/>
                <w:lang w:val="en-US" w:eastAsia="zh-CN" w:bidi="ar-SA"/>
              </w:rPr>
              <w:t>分</w:t>
            </w:r>
          </w:p>
        </w:tc>
        <w:tc>
          <w:tcPr>
            <w:tcW w:w="2502" w:type="pct"/>
            <w:vAlign w:val="center"/>
          </w:tcPr>
          <w:p w14:paraId="5B39688D">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主要评价河湖管理范围划定、岸线功能分区管控、涉河建设项目管理、“四乱”问题清理整治情况。</w:t>
            </w:r>
          </w:p>
        </w:tc>
      </w:tr>
      <w:tr w14:paraId="33B7D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5E106BC8">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vAlign w:val="center"/>
          </w:tcPr>
          <w:p w14:paraId="0CC39403">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水质状况</w:t>
            </w:r>
          </w:p>
        </w:tc>
        <w:tc>
          <w:tcPr>
            <w:tcW w:w="676" w:type="pct"/>
            <w:vAlign w:val="center"/>
          </w:tcPr>
          <w:p w14:paraId="351A802C">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10</w:t>
            </w:r>
            <w:r>
              <w:rPr>
                <w:rFonts w:hint="eastAsia" w:ascii="宋体" w:hAnsi="Times New Roman" w:cs="Times New Roman"/>
                <w:color w:val="auto"/>
                <w:kern w:val="0"/>
                <w:sz w:val="21"/>
                <w:szCs w:val="20"/>
                <w:lang w:val="en-US" w:eastAsia="zh-CN" w:bidi="ar-SA"/>
              </w:rPr>
              <w:t>分</w:t>
            </w:r>
          </w:p>
        </w:tc>
        <w:tc>
          <w:tcPr>
            <w:tcW w:w="2502" w:type="pct"/>
            <w:vAlign w:val="center"/>
          </w:tcPr>
          <w:p w14:paraId="417C991E">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主要评价县级河长湖长责任河湖水质状况。</w:t>
            </w:r>
          </w:p>
        </w:tc>
      </w:tr>
      <w:tr w14:paraId="1110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574F29E7">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vAlign w:val="center"/>
          </w:tcPr>
          <w:p w14:paraId="756B34C0">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黑臭水体整治</w:t>
            </w:r>
          </w:p>
        </w:tc>
        <w:tc>
          <w:tcPr>
            <w:tcW w:w="676" w:type="pct"/>
            <w:vAlign w:val="center"/>
          </w:tcPr>
          <w:p w14:paraId="3B6DBC3A">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5</w:t>
            </w:r>
            <w:r>
              <w:rPr>
                <w:rFonts w:hint="eastAsia" w:ascii="宋体" w:hAnsi="Times New Roman" w:cs="Times New Roman"/>
                <w:color w:val="auto"/>
                <w:kern w:val="0"/>
                <w:sz w:val="21"/>
                <w:szCs w:val="20"/>
                <w:lang w:val="en-US" w:eastAsia="zh-CN" w:bidi="ar-SA"/>
              </w:rPr>
              <w:t>分</w:t>
            </w:r>
          </w:p>
        </w:tc>
        <w:tc>
          <w:tcPr>
            <w:tcW w:w="2502" w:type="pct"/>
            <w:vAlign w:val="center"/>
          </w:tcPr>
          <w:p w14:paraId="33874112">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主要评价城市、县城建成区、农村黑臭水体消除情况。</w:t>
            </w:r>
          </w:p>
        </w:tc>
      </w:tr>
      <w:tr w14:paraId="0358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63E15E1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vAlign w:val="center"/>
          </w:tcPr>
          <w:p w14:paraId="4AD6A28F">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面源污染治理</w:t>
            </w:r>
          </w:p>
        </w:tc>
        <w:tc>
          <w:tcPr>
            <w:tcW w:w="676" w:type="pct"/>
            <w:vAlign w:val="center"/>
          </w:tcPr>
          <w:p w14:paraId="6CFA3056">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5</w:t>
            </w:r>
            <w:r>
              <w:rPr>
                <w:rFonts w:hint="eastAsia" w:ascii="宋体" w:hAnsi="Times New Roman" w:cs="Times New Roman"/>
                <w:color w:val="auto"/>
                <w:kern w:val="0"/>
                <w:sz w:val="21"/>
                <w:szCs w:val="20"/>
                <w:lang w:val="en-US" w:eastAsia="zh-CN" w:bidi="ar-SA"/>
              </w:rPr>
              <w:t>分</w:t>
            </w:r>
          </w:p>
        </w:tc>
        <w:tc>
          <w:tcPr>
            <w:tcW w:w="2502" w:type="pct"/>
            <w:vAlign w:val="center"/>
          </w:tcPr>
          <w:p w14:paraId="3DC68429">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主要评价秸秆综合利用、化肥利用、畜禽粪污综合利用等情况。</w:t>
            </w:r>
          </w:p>
        </w:tc>
      </w:tr>
      <w:tr w14:paraId="7AC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1DD3BA2A">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vAlign w:val="center"/>
          </w:tcPr>
          <w:p w14:paraId="7000F8BE">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生态流量（水位）满足程度</w:t>
            </w:r>
          </w:p>
        </w:tc>
        <w:tc>
          <w:tcPr>
            <w:tcW w:w="676" w:type="pct"/>
            <w:vAlign w:val="center"/>
          </w:tcPr>
          <w:p w14:paraId="2C2EACBC">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5</w:t>
            </w:r>
            <w:r>
              <w:rPr>
                <w:rFonts w:hint="eastAsia" w:ascii="宋体" w:hAnsi="Times New Roman" w:cs="Times New Roman"/>
                <w:color w:val="auto"/>
                <w:kern w:val="0"/>
                <w:sz w:val="21"/>
                <w:szCs w:val="20"/>
                <w:lang w:val="en-US" w:eastAsia="zh-CN" w:bidi="ar-SA"/>
              </w:rPr>
              <w:t>分</w:t>
            </w:r>
          </w:p>
        </w:tc>
        <w:tc>
          <w:tcPr>
            <w:tcW w:w="2502" w:type="pct"/>
            <w:vAlign w:val="center"/>
          </w:tcPr>
          <w:p w14:paraId="2069700D">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主要评价纳入管控的河湖生态流量（水位）、小水电生态流量满足程度。</w:t>
            </w:r>
          </w:p>
        </w:tc>
      </w:tr>
      <w:tr w14:paraId="605E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457" w:type="pct"/>
            <w:vMerge w:val="restart"/>
            <w:vAlign w:val="center"/>
          </w:tcPr>
          <w:p w14:paraId="7200A883">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建设健康美丽幸福河湖</w:t>
            </w:r>
          </w:p>
          <w:p w14:paraId="5F8BB8DE">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（33分）</w:t>
            </w:r>
          </w:p>
        </w:tc>
        <w:tc>
          <w:tcPr>
            <w:tcW w:w="1363" w:type="pct"/>
            <w:vAlign w:val="center"/>
          </w:tcPr>
          <w:p w14:paraId="7E77989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幸福河湖建设</w:t>
            </w:r>
          </w:p>
        </w:tc>
        <w:tc>
          <w:tcPr>
            <w:tcW w:w="676" w:type="pct"/>
            <w:vAlign w:val="center"/>
          </w:tcPr>
          <w:p w14:paraId="32D91D83">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10</w:t>
            </w:r>
            <w:r>
              <w:rPr>
                <w:rFonts w:hint="eastAsia" w:ascii="宋体" w:hAnsi="Times New Roman" w:cs="Times New Roman"/>
                <w:color w:val="auto"/>
                <w:kern w:val="0"/>
                <w:sz w:val="21"/>
                <w:szCs w:val="20"/>
                <w:lang w:val="en-US" w:eastAsia="zh-CN" w:bidi="ar-SA"/>
              </w:rPr>
              <w:t>分</w:t>
            </w:r>
          </w:p>
        </w:tc>
        <w:tc>
          <w:tcPr>
            <w:tcW w:w="2502" w:type="pct"/>
            <w:vAlign w:val="center"/>
          </w:tcPr>
          <w:p w14:paraId="737DA959">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主要评价省级以上幸福河湖建设情况。</w:t>
            </w:r>
          </w:p>
        </w:tc>
      </w:tr>
      <w:tr w14:paraId="2C7C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2A169BB7">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vAlign w:val="center"/>
          </w:tcPr>
          <w:p w14:paraId="456A41A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水文化载体建设</w:t>
            </w:r>
          </w:p>
        </w:tc>
        <w:tc>
          <w:tcPr>
            <w:tcW w:w="676" w:type="pct"/>
            <w:vAlign w:val="center"/>
          </w:tcPr>
          <w:p w14:paraId="3F7CB510">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6</w:t>
            </w:r>
            <w:r>
              <w:rPr>
                <w:rFonts w:hint="eastAsia" w:ascii="宋体" w:hAnsi="Times New Roman" w:cs="Times New Roman"/>
                <w:color w:val="auto"/>
                <w:kern w:val="0"/>
                <w:sz w:val="21"/>
                <w:szCs w:val="20"/>
                <w:lang w:val="en-US" w:eastAsia="zh-CN" w:bidi="ar-SA"/>
              </w:rPr>
              <w:t>分</w:t>
            </w:r>
          </w:p>
        </w:tc>
        <w:tc>
          <w:tcPr>
            <w:tcW w:w="2502" w:type="pct"/>
            <w:vAlign w:val="center"/>
          </w:tcPr>
          <w:p w14:paraId="19C48F35">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主要评价县域内水文化载体建设、管理、利用情况。</w:t>
            </w:r>
          </w:p>
        </w:tc>
      </w:tr>
      <w:tr w14:paraId="2BF3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20823A5F">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vAlign w:val="center"/>
          </w:tcPr>
          <w:p w14:paraId="3EB9E154">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成效彰显</w:t>
            </w:r>
          </w:p>
        </w:tc>
        <w:tc>
          <w:tcPr>
            <w:tcW w:w="676" w:type="pct"/>
            <w:vAlign w:val="center"/>
          </w:tcPr>
          <w:p w14:paraId="696EA94D">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9</w:t>
            </w:r>
            <w:r>
              <w:rPr>
                <w:rFonts w:hint="eastAsia" w:ascii="宋体" w:hAnsi="Times New Roman" w:cs="Times New Roman"/>
                <w:color w:val="auto"/>
                <w:kern w:val="0"/>
                <w:sz w:val="21"/>
                <w:szCs w:val="20"/>
                <w:lang w:val="en-US" w:eastAsia="zh-CN" w:bidi="ar-SA"/>
              </w:rPr>
              <w:t>分</w:t>
            </w:r>
          </w:p>
        </w:tc>
        <w:tc>
          <w:tcPr>
            <w:tcW w:w="2502" w:type="pct"/>
            <w:vAlign w:val="center"/>
          </w:tcPr>
          <w:p w14:paraId="0834655A">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主要评价河湖长制及河湖治理保护、基层河湖管护、幸福河湖建设等方面典型经验、创新特色做法推广宣传情况。</w:t>
            </w:r>
          </w:p>
        </w:tc>
      </w:tr>
      <w:tr w14:paraId="3ACF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73B54E29">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363" w:type="pct"/>
            <w:vAlign w:val="center"/>
          </w:tcPr>
          <w:p w14:paraId="389CD2B6">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群众满意度</w:t>
            </w:r>
          </w:p>
        </w:tc>
        <w:tc>
          <w:tcPr>
            <w:tcW w:w="676" w:type="pct"/>
            <w:vAlign w:val="center"/>
          </w:tcPr>
          <w:p w14:paraId="222B960E">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8</w:t>
            </w:r>
            <w:r>
              <w:rPr>
                <w:rFonts w:hint="eastAsia" w:ascii="宋体" w:hAnsi="Times New Roman" w:cs="Times New Roman"/>
                <w:color w:val="auto"/>
                <w:kern w:val="0"/>
                <w:sz w:val="21"/>
                <w:szCs w:val="20"/>
                <w:lang w:val="en-US" w:eastAsia="zh-CN" w:bidi="ar-SA"/>
              </w:rPr>
              <w:t>分</w:t>
            </w:r>
          </w:p>
        </w:tc>
        <w:tc>
          <w:tcPr>
            <w:tcW w:w="2502" w:type="pct"/>
            <w:vAlign w:val="center"/>
          </w:tcPr>
          <w:p w14:paraId="1DB57C77">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主要评价人民群众对河湖治理保护的满意程度。</w:t>
            </w:r>
          </w:p>
        </w:tc>
      </w:tr>
      <w:bookmarkEnd w:id="54"/>
    </w:tbl>
    <w:p w14:paraId="08EB31CC">
      <w:pPr>
        <w:pStyle w:val="104"/>
        <w:spacing w:before="312" w:after="312"/>
        <w:rPr>
          <w:rFonts w:hint="eastAsia"/>
          <w:color w:val="auto"/>
          <w:lang w:val="zh-CN"/>
        </w:rPr>
      </w:pPr>
      <w:r>
        <w:rPr>
          <w:rFonts w:hint="eastAsia"/>
          <w:color w:val="auto"/>
          <w:lang w:val="zh-CN" w:eastAsia="zh-CN"/>
        </w:rPr>
        <w:t>评估方法</w:t>
      </w:r>
    </w:p>
    <w:p w14:paraId="149E8D11">
      <w:pPr>
        <w:pStyle w:val="105"/>
        <w:spacing w:before="156" w:after="156"/>
        <w:rPr>
          <w:color w:val="auto"/>
        </w:rPr>
      </w:pPr>
      <w:r>
        <w:rPr>
          <w:rFonts w:hint="eastAsia"/>
          <w:color w:val="auto"/>
          <w:lang w:val="en-US" w:eastAsia="zh-CN"/>
        </w:rPr>
        <w:t>全面强化河湖管护机制</w:t>
      </w:r>
    </w:p>
    <w:p w14:paraId="0ED18DF3">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河湖管护体系建设</w:t>
      </w:r>
    </w:p>
    <w:p w14:paraId="1DB667B4">
      <w:pPr>
        <w:pStyle w:val="56"/>
        <w:rPr>
          <w:rFonts w:hint="eastAsia"/>
          <w:lang w:val="en-US" w:eastAsia="zh-CN"/>
        </w:rPr>
      </w:pPr>
      <w:r>
        <w:rPr>
          <w:rFonts w:hint="eastAsia"/>
          <w:lang w:val="en-US" w:eastAsia="zh-CN"/>
        </w:rPr>
        <w:t>河湖管护体系建设分值10分。计分方式如下：</w:t>
      </w:r>
    </w:p>
    <w:p w14:paraId="7CADBD10">
      <w:pPr>
        <w:pStyle w:val="56"/>
        <w:rPr>
          <w:rFonts w:hint="default"/>
          <w:lang w:val="en-US" w:eastAsia="zh-CN"/>
        </w:rPr>
      </w:pPr>
      <w:r>
        <w:rPr>
          <w:rFonts w:hint="eastAsia"/>
          <w:lang w:val="en-US" w:eastAsia="zh-CN"/>
        </w:rPr>
        <w:t>——</w:t>
      </w:r>
      <w:r>
        <w:rPr>
          <w:rFonts w:hint="default"/>
          <w:lang w:val="en-US" w:eastAsia="zh-CN"/>
        </w:rPr>
        <w:t>河湖长制组织体系运转有效，得2分。县级总河长未部署安排河湖治理保护工作，河湖长履职未达到规范要求，河湖长递补不及时，河长办统筹协调不力，成员单位分工协作、形成合力不足，发现1例扣0.2分</w:t>
      </w:r>
      <w:r>
        <w:rPr>
          <w:rFonts w:hint="eastAsia"/>
          <w:lang w:val="en-US" w:eastAsia="zh-CN"/>
        </w:rPr>
        <w:t>。本条最多扣2分</w:t>
      </w:r>
      <w:r>
        <w:rPr>
          <w:rFonts w:hint="default"/>
          <w:lang w:val="en-US" w:eastAsia="zh-CN"/>
        </w:rPr>
        <w:t>。</w:t>
      </w:r>
    </w:p>
    <w:p w14:paraId="166148E3">
      <w:pPr>
        <w:pStyle w:val="56"/>
        <w:rPr>
          <w:rFonts w:hint="default"/>
          <w:lang w:val="en-US" w:eastAsia="zh-CN"/>
        </w:rPr>
      </w:pPr>
      <w:r>
        <w:rPr>
          <w:rFonts w:hint="eastAsia"/>
          <w:lang w:val="en-US" w:eastAsia="zh-CN"/>
        </w:rPr>
        <w:t>——</w:t>
      </w:r>
      <w:r>
        <w:rPr>
          <w:rFonts w:hint="default"/>
          <w:lang w:val="en-US" w:eastAsia="zh-CN"/>
        </w:rPr>
        <w:t>河湖管护体系建立并有效落实，得8分</w:t>
      </w:r>
      <w:r>
        <w:rPr>
          <w:rFonts w:hint="eastAsia"/>
          <w:lang w:val="en-US" w:eastAsia="zh-CN"/>
        </w:rPr>
        <w:t>。</w:t>
      </w:r>
      <w:r>
        <w:rPr>
          <w:rFonts w:hint="default"/>
          <w:lang w:val="en-US" w:eastAsia="zh-CN"/>
        </w:rPr>
        <w:t>河湖管护责任主体未落实，扣2分；管护人员未落实，扣2分；管护经费未落实，扣2分；河湖保洁、巡查、维修养护等日常管护制度不完善或未落实，扣2分。</w:t>
      </w:r>
    </w:p>
    <w:p w14:paraId="1C0578C8">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“一河（湖）一策”编制实施</w:t>
      </w:r>
    </w:p>
    <w:p w14:paraId="10A2746F">
      <w:pPr>
        <w:pStyle w:val="56"/>
        <w:rPr>
          <w:rFonts w:hint="eastAsia"/>
          <w:lang w:val="en-US" w:eastAsia="zh-CN"/>
        </w:rPr>
      </w:pPr>
      <w:r>
        <w:rPr>
          <w:rFonts w:hint="eastAsia"/>
          <w:lang w:val="en-US" w:eastAsia="zh-CN"/>
        </w:rPr>
        <w:t>“一河（湖）一策”编制实施分值5分。计分方式如下：</w:t>
      </w:r>
    </w:p>
    <w:p w14:paraId="62AEC64A">
      <w:pPr>
        <w:pStyle w:val="56"/>
        <w:rPr>
          <w:rFonts w:hint="eastAsia"/>
          <w:lang w:val="en-US" w:eastAsia="zh-CN"/>
        </w:rPr>
      </w:pPr>
      <w:r>
        <w:rPr>
          <w:rFonts w:hint="eastAsia"/>
          <w:lang w:val="en-US" w:eastAsia="zh-CN"/>
        </w:rPr>
        <w:t>——按规定滚动编制“一河（湖）一策”，得2分。未按规定组织编制，发现1例扣0.5分，最多扣1分；编制内容存在明显问题，发现1例扣0.2分，最多扣1分。</w:t>
      </w:r>
    </w:p>
    <w:p w14:paraId="60497DDF">
      <w:pPr>
        <w:pStyle w:val="56"/>
        <w:rPr>
          <w:rFonts w:hint="eastAsia"/>
          <w:lang w:val="en-US" w:eastAsia="zh-CN"/>
        </w:rPr>
      </w:pPr>
      <w:r>
        <w:rPr>
          <w:rFonts w:hint="eastAsia"/>
          <w:lang w:val="en-US" w:eastAsia="zh-CN"/>
        </w:rPr>
        <w:t>——近3年“一河（湖）一策”有效实施，得3分。目标未完成、任务措施未落实到位，发现1例扣0.2分。本条最多扣3分。</w:t>
      </w:r>
    </w:p>
    <w:p w14:paraId="0BD292E7">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其他基础工作开展</w:t>
      </w:r>
    </w:p>
    <w:p w14:paraId="4A3EDBC0">
      <w:pPr>
        <w:pStyle w:val="56"/>
        <w:rPr>
          <w:rFonts w:hint="eastAsia"/>
          <w:lang w:val="en-US" w:eastAsia="zh-CN"/>
        </w:rPr>
      </w:pPr>
      <w:r>
        <w:rPr>
          <w:rFonts w:hint="eastAsia"/>
          <w:lang w:val="en-US" w:eastAsia="zh-CN"/>
        </w:rPr>
        <w:t>其他基础工作开展分值5分。计分方式如下：</w:t>
      </w:r>
    </w:p>
    <w:p w14:paraId="54E2A3F9">
      <w:pPr>
        <w:pStyle w:val="56"/>
        <w:rPr>
          <w:rFonts w:hint="eastAsia"/>
          <w:lang w:val="en-US" w:eastAsia="zh-CN"/>
        </w:rPr>
      </w:pPr>
      <w:r>
        <w:rPr>
          <w:rFonts w:hint="eastAsia"/>
          <w:lang w:val="en-US" w:eastAsia="zh-CN"/>
        </w:rPr>
        <w:t>——“一河（湖）一档”填报规范，得1分。填报不规范，发现1例扣0.1分。本条最多扣1分。</w:t>
      </w:r>
    </w:p>
    <w:p w14:paraId="587A4D55">
      <w:pPr>
        <w:pStyle w:val="56"/>
        <w:rPr>
          <w:rFonts w:hint="eastAsia"/>
          <w:lang w:val="en-US" w:eastAsia="zh-CN"/>
        </w:rPr>
      </w:pPr>
      <w:r>
        <w:rPr>
          <w:rFonts w:hint="eastAsia"/>
          <w:lang w:val="en-US" w:eastAsia="zh-CN"/>
        </w:rPr>
        <w:t>——按规定完成河湖健康评价、建立河湖健康档案，得2分。其中：未按规定开展河湖健康评价、未完成健康档案建立任务，发现1例扣0.2分，最多扣1分；明显不符合技术规范，发现1例扣0.1分，最多扣1分。</w:t>
      </w:r>
    </w:p>
    <w:p w14:paraId="6A447E10">
      <w:pPr>
        <w:pStyle w:val="56"/>
        <w:rPr>
          <w:rFonts w:hint="eastAsia"/>
          <w:lang w:val="en-US" w:eastAsia="zh-CN"/>
        </w:rPr>
      </w:pPr>
      <w:r>
        <w:rPr>
          <w:rFonts w:hint="eastAsia"/>
          <w:lang w:val="en-US" w:eastAsia="zh-CN"/>
        </w:rPr>
        <w:t>——河长湖长公示牌，以及界桩、界碑、公告牌等设置规范，得2分。设置不规范、有损坏，或有关信息更新不及时、不准确，发现1例扣0.1分。本条最多扣2分。</w:t>
      </w:r>
    </w:p>
    <w:p w14:paraId="6BDF3470">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重要河湖水域岸线智慧监管</w:t>
      </w:r>
    </w:p>
    <w:p w14:paraId="66856DF1">
      <w:pPr>
        <w:pStyle w:val="56"/>
        <w:rPr>
          <w:rFonts w:hint="eastAsia"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重要河湖水域岸线智慧监管</w:t>
      </w:r>
      <w:r>
        <w:rPr>
          <w:rFonts w:hint="eastAsia"/>
          <w:lang w:val="en-US" w:eastAsia="zh-CN"/>
        </w:rPr>
        <w:t>分值3分。计分方式如下：</w:t>
      </w:r>
    </w:p>
    <w:p w14:paraId="4956FE95">
      <w:pPr>
        <w:pStyle w:val="56"/>
        <w:rPr>
          <w:rFonts w:hint="eastAsia"/>
          <w:lang w:val="en-US" w:eastAsia="zh-CN"/>
        </w:rPr>
      </w:pPr>
      <w:r>
        <w:rPr>
          <w:rFonts w:hint="eastAsia"/>
          <w:lang w:val="en-US" w:eastAsia="zh-CN"/>
        </w:rPr>
        <w:t>——通过卫星、无人机等遥感技术，或视频监控等手段进行智慧监管，得3分。其中：河湖智慧监管覆盖率低于80%的，每低10个百分点扣0.5分，最多扣2分；集镇段（乡镇政府所在地）智慧监管未覆盖，发现1处扣0.2分，最多扣1分。</w:t>
      </w:r>
    </w:p>
    <w:p w14:paraId="34F0D04D">
      <w:pPr>
        <w:pStyle w:val="105"/>
        <w:spacing w:before="156" w:after="156"/>
        <w:rPr>
          <w:color w:val="auto"/>
        </w:rPr>
      </w:pPr>
      <w:r>
        <w:rPr>
          <w:rFonts w:hint="eastAsia"/>
          <w:color w:val="auto"/>
          <w:lang w:val="en-US" w:eastAsia="zh-CN"/>
        </w:rPr>
        <w:t>标本兼治复苏河湖生态</w:t>
      </w:r>
    </w:p>
    <w:p w14:paraId="26B98DA1">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防洪排涝工程体系建设</w:t>
      </w:r>
    </w:p>
    <w:p w14:paraId="677E00A8">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防洪排涝工程体系建设分值5分</w:t>
      </w:r>
      <w:r>
        <w:rPr>
          <w:rFonts w:hint="eastAsia"/>
          <w:lang w:val="en-US" w:eastAsia="zh-CN"/>
        </w:rPr>
        <w:t>。计分方式如下：</w:t>
      </w:r>
    </w:p>
    <w:p w14:paraId="2D106C25">
      <w:pPr>
        <w:pStyle w:val="56"/>
        <w:rPr>
          <w:rFonts w:hint="eastAsia" w:ascii="宋体" w:hAnsi="Times New Roman" w:eastAsia="宋体" w:cs="Times New Roman"/>
          <w:color w:val="auto"/>
          <w:kern w:val="0"/>
          <w:sz w:val="21"/>
          <w:szCs w:val="20"/>
          <w:lang w:val="en-US" w:eastAsia="zh-CN" w:bidi="ar-SA"/>
        </w:rPr>
      </w:pPr>
      <w:r>
        <w:rPr>
          <w:rFonts w:hint="eastAsia"/>
          <w:lang w:val="en-US" w:eastAsia="zh-CN"/>
        </w:rPr>
        <w:t>——</w:t>
      </w:r>
      <w:r>
        <w:rPr>
          <w:rFonts w:hint="eastAsia" w:ascii="宋体" w:hAnsi="Times New Roman" w:eastAsia="宋体" w:cs="Times New Roman"/>
          <w:color w:val="auto"/>
          <w:kern w:val="0"/>
          <w:sz w:val="21"/>
          <w:szCs w:val="20"/>
          <w:lang w:val="en-US" w:eastAsia="zh-CN" w:bidi="ar-SA"/>
        </w:rPr>
        <w:t>县域内城市建成区、乡镇沿河镇区、万亩以上圩区等防洪排涝达标，得5分。其中：城市建成区防洪排涝未达标，扣2分；乡镇沿河镇区防洪排涝未达标，发现1处扣0.5分，最多扣2分；万亩以上圩区防洪排涝未达标，发现1处扣0.2分，最多扣1分。</w:t>
      </w:r>
    </w:p>
    <w:p w14:paraId="3BD12012">
      <w:pPr>
        <w:pStyle w:val="65"/>
        <w:spacing w:before="156" w:after="156"/>
        <w:rPr>
          <w:rFonts w:hint="eastAsia" w:ascii="黑体" w:hAnsi="Times New Roman" w:eastAsia="黑体" w:cs="Times New Roman"/>
          <w:color w:val="auto"/>
          <w:sz w:val="21"/>
          <w:highlight w:val="none"/>
          <w:lang w:val="en-US" w:eastAsia="zh-CN" w:bidi="ar-SA"/>
        </w:rPr>
      </w:pPr>
      <w:r>
        <w:rPr>
          <w:rFonts w:hint="eastAsia" w:ascii="黑体" w:hAnsi="Times New Roman" w:eastAsia="黑体" w:cs="Times New Roman"/>
          <w:color w:val="auto"/>
          <w:sz w:val="21"/>
          <w:highlight w:val="none"/>
          <w:lang w:val="en-US" w:eastAsia="zh-CN" w:bidi="ar-SA"/>
        </w:rPr>
        <w:t>河湖自然岸线</w:t>
      </w:r>
    </w:p>
    <w:p w14:paraId="44B21C15">
      <w:pPr>
        <w:pStyle w:val="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河湖自然岸线</w:t>
      </w:r>
      <w:r>
        <w:rPr>
          <w:rFonts w:hint="eastAsia"/>
          <w:lang w:val="en-US" w:eastAsia="zh-CN"/>
        </w:rPr>
        <w:t>分值5分。计分方式如下：</w:t>
      </w:r>
    </w:p>
    <w:p w14:paraId="29B03317">
      <w:pPr>
        <w:pStyle w:val="56"/>
        <w:rPr>
          <w:rFonts w:hint="eastAsia" w:ascii="宋体" w:hAnsi="Times New Roman" w:eastAsia="宋体" w:cs="Times New Roman"/>
          <w:color w:val="auto"/>
          <w:kern w:val="0"/>
          <w:sz w:val="21"/>
          <w:szCs w:val="20"/>
          <w:lang w:val="en-US" w:eastAsia="zh-CN" w:bidi="ar-SA"/>
        </w:rPr>
      </w:pPr>
      <w:r>
        <w:rPr>
          <w:rFonts w:hint="eastAsia"/>
          <w:lang w:val="en-US" w:eastAsia="zh-CN"/>
        </w:rPr>
        <w:t>——</w:t>
      </w:r>
      <w:r>
        <w:rPr>
          <w:rFonts w:hint="eastAsia" w:ascii="宋体" w:hAnsi="Times New Roman" w:eastAsia="宋体" w:cs="Times New Roman"/>
          <w:color w:val="auto"/>
          <w:kern w:val="0"/>
          <w:sz w:val="21"/>
          <w:szCs w:val="20"/>
          <w:lang w:val="en-US" w:eastAsia="zh-CN" w:bidi="ar-SA"/>
        </w:rPr>
        <w:t>河湖岸线自然状况良好、植被覆盖度较高，得5分。其中：自然岸线及人工生态岸线占比未达70%，每低10个百分点扣0.5分，最多扣2分；滨岸带植被覆盖度未达75%的，每低5个百分点扣0.4分，最多扣2分；河湖</w:t>
      </w:r>
      <w:r>
        <w:rPr>
          <w:rFonts w:hint="eastAsia" w:cs="Times New Roman"/>
          <w:color w:val="auto"/>
          <w:kern w:val="0"/>
          <w:sz w:val="21"/>
          <w:szCs w:val="20"/>
          <w:lang w:val="en-US" w:eastAsia="zh-CN" w:bidi="ar-SA"/>
        </w:rPr>
        <w:t>岸线</w:t>
      </w:r>
      <w:r>
        <w:rPr>
          <w:rFonts w:hint="eastAsia" w:ascii="宋体" w:hAnsi="Times New Roman" w:eastAsia="宋体" w:cs="Times New Roman"/>
          <w:color w:val="auto"/>
          <w:kern w:val="0"/>
          <w:sz w:val="21"/>
          <w:szCs w:val="20"/>
          <w:lang w:val="en-US" w:eastAsia="zh-CN" w:bidi="ar-SA"/>
        </w:rPr>
        <w:t>存在过度“硬化、白化”等问题，发现1处扣0.2分，最多扣1分。</w:t>
      </w:r>
    </w:p>
    <w:p w14:paraId="24B17649">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河湖空间管控</w:t>
      </w:r>
    </w:p>
    <w:p w14:paraId="754F6597">
      <w:pPr>
        <w:pStyle w:val="56"/>
        <w:rPr>
          <w:rFonts w:hint="eastAsia" w:ascii="宋体" w:hAnsi="Times New Roman" w:eastAsia="宋体" w:cs="Times New Roman"/>
          <w:color w:val="auto"/>
          <w:sz w:val="21"/>
          <w:lang w:val="en-US" w:eastAsia="zh-CN" w:bidi="ar-SA"/>
        </w:rPr>
      </w:pPr>
      <w:r>
        <w:rPr>
          <w:rFonts w:hint="eastAsia" w:cs="Times New Roman"/>
          <w:color w:val="auto"/>
          <w:sz w:val="21"/>
          <w:lang w:val="en-US" w:eastAsia="zh-CN" w:bidi="ar-SA"/>
        </w:rPr>
        <w:t>河湖空间管控</w:t>
      </w:r>
      <w:r>
        <w:rPr>
          <w:rFonts w:hint="eastAsia"/>
          <w:lang w:val="en-US" w:eastAsia="zh-CN"/>
        </w:rPr>
        <w:t>分值9分。计分方式如下：</w:t>
      </w:r>
    </w:p>
    <w:p w14:paraId="4266AC84">
      <w:pPr>
        <w:pStyle w:val="56"/>
        <w:rPr>
          <w:rFonts w:hint="eastAsia" w:ascii="宋体" w:hAnsi="Times New Roman" w:eastAsia="宋体" w:cs="Times New Roman"/>
          <w:color w:val="auto"/>
          <w:kern w:val="0"/>
          <w:sz w:val="21"/>
          <w:szCs w:val="20"/>
          <w:lang w:val="en-US" w:eastAsia="zh-CN" w:bidi="ar-SA"/>
        </w:rPr>
      </w:pPr>
      <w:r>
        <w:rPr>
          <w:rFonts w:hint="eastAsia"/>
          <w:lang w:val="en-US" w:eastAsia="zh-CN"/>
        </w:rPr>
        <w:t>——</w:t>
      </w:r>
      <w:r>
        <w:rPr>
          <w:rFonts w:hint="eastAsia" w:ascii="宋体" w:hAnsi="Times New Roman" w:eastAsia="宋体" w:cs="Times New Roman"/>
          <w:color w:val="auto"/>
          <w:kern w:val="0"/>
          <w:sz w:val="21"/>
          <w:szCs w:val="20"/>
          <w:lang w:val="en-US" w:eastAsia="zh-CN" w:bidi="ar-SA"/>
        </w:rPr>
        <w:t>河湖空间管控有序，得4分。其中：未按照规定完成河湖管理范围划定成果上图，发现1例扣0.2分，最多扣1分；岸线功能分区划分不满足规定，岸线管控不符合要求，发现1例扣0.5分，最多扣1分；涉河建设项目批建不符，发现1例扣0.5分，最多扣2分。</w:t>
      </w:r>
    </w:p>
    <w:p w14:paraId="490B6CD5">
      <w:pPr>
        <w:pStyle w:val="56"/>
        <w:rPr>
          <w:rFonts w:hint="eastAsia" w:ascii="宋体" w:hAnsi="Times New Roman" w:eastAsia="宋体" w:cs="Times New Roman"/>
          <w:color w:val="auto"/>
          <w:kern w:val="0"/>
          <w:sz w:val="21"/>
          <w:szCs w:val="20"/>
          <w:lang w:val="en-US" w:eastAsia="zh-CN" w:bidi="ar-SA"/>
        </w:rPr>
      </w:pPr>
      <w:r>
        <w:rPr>
          <w:rFonts w:hint="eastAsia"/>
          <w:lang w:val="en-US" w:eastAsia="zh-CN"/>
        </w:rPr>
        <w:t>——</w:t>
      </w:r>
      <w:r>
        <w:rPr>
          <w:rFonts w:hint="eastAsia"/>
          <w:color w:val="auto"/>
          <w:lang w:val="en-US" w:eastAsia="zh-CN"/>
        </w:rPr>
        <w:t>乱占、乱采、乱堆、乱建等</w:t>
      </w:r>
      <w:r>
        <w:rPr>
          <w:rFonts w:hint="eastAsia"/>
          <w:lang w:val="en-US" w:eastAsia="zh-CN"/>
        </w:rPr>
        <w:t>河</w:t>
      </w:r>
      <w:r>
        <w:rPr>
          <w:rFonts w:hint="eastAsia"/>
          <w:color w:val="auto"/>
          <w:lang w:val="en-US" w:eastAsia="zh-CN"/>
        </w:rPr>
        <w:t>湖</w:t>
      </w:r>
      <w:r>
        <w:rPr>
          <w:rFonts w:hint="eastAsia" w:ascii="宋体" w:hAnsi="Times New Roman" w:eastAsia="宋体" w:cs="Times New Roman"/>
          <w:color w:val="auto"/>
          <w:kern w:val="0"/>
          <w:sz w:val="21"/>
          <w:szCs w:val="20"/>
          <w:lang w:val="en-US" w:eastAsia="zh-CN" w:bidi="ar-SA"/>
        </w:rPr>
        <w:t>“四乱”问题动态清零，涉河湖问题按照规定分类处置，得5分。其中：“四乱”问题销号率未达100%，每低10个百分点扣0.5分，最多扣2分；省级以上督查暗访发现问题，每发现1个一般问题扣0.5分，每发现1个严重问题扣1分，最多扣3分。</w:t>
      </w:r>
    </w:p>
    <w:p w14:paraId="4ACADA3A">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水质状况</w:t>
      </w:r>
    </w:p>
    <w:p w14:paraId="446F802D">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水质状况分值10分。</w:t>
      </w:r>
      <w:r>
        <w:rPr>
          <w:rFonts w:hint="eastAsia"/>
          <w:lang w:val="en-US" w:eastAsia="zh-CN"/>
        </w:rPr>
        <w:t>计分方式如下：</w:t>
      </w:r>
    </w:p>
    <w:p w14:paraId="211FB9C8">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——水质达到目标，得8分。其中：国控断面年度水质未达到目标，每有1个扣4分；省控断面年度水质未达到目标，每有1个扣2分。</w:t>
      </w:r>
      <w:r>
        <w:rPr>
          <w:rFonts w:hint="eastAsia"/>
          <w:lang w:val="en-US" w:eastAsia="zh-CN"/>
        </w:rPr>
        <w:t>本条最多扣8分。</w:t>
      </w:r>
    </w:p>
    <w:p w14:paraId="513BBBCE">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水质稳定向好，得2分。其中：国控断面年度水质达到目标水质但水质类别下降，每有1个扣1分；省控断面年度水质达到目标但水质类别下降，每有1个扣0.5分；年度水质出现Ⅳ类，每发现1例扣0.5分。水质由I类降到II类，不扣分。</w:t>
      </w:r>
      <w:r>
        <w:rPr>
          <w:rFonts w:hint="eastAsia"/>
          <w:lang w:val="en-US" w:eastAsia="zh-CN"/>
        </w:rPr>
        <w:t>本条最多扣2分。</w:t>
      </w:r>
    </w:p>
    <w:p w14:paraId="58F84C43">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黑臭水体整治</w:t>
      </w:r>
    </w:p>
    <w:p w14:paraId="76C9093A">
      <w:pPr>
        <w:pStyle w:val="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黑臭水体整治</w:t>
      </w:r>
      <w:r>
        <w:rPr>
          <w:rFonts w:hint="eastAsia"/>
          <w:lang w:val="en-US" w:eastAsia="zh-CN"/>
        </w:rPr>
        <w:t>分值5分。计分方式如下：</w:t>
      </w:r>
    </w:p>
    <w:p w14:paraId="07504455">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——对市辖区：城市黑臭水体保持长治久清，得2分；发现1条存在返黑返臭现象，扣2分。对县级市、县：县城建成区黑臭水体达到“初见成效”整治效果，得2分；发现1条未达到“初见成效”整治效果，扣2分。</w:t>
      </w:r>
    </w:p>
    <w:p w14:paraId="4739641F">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农村黑臭水体全面消除，或消除比例完成下达任务且高于全省平均值10个百分点，得3分。其中：农村黑臭水体消除比例未完成下达任务或完成下达任务但低于全省平均值，不得分；完成下达任务且高于全省平均值，未达到全省平均值10个百分点，每低1个百分点扣0.3分。</w:t>
      </w:r>
      <w:r>
        <w:rPr>
          <w:rFonts w:hint="eastAsia"/>
          <w:lang w:val="en-US" w:eastAsia="zh-CN"/>
        </w:rPr>
        <w:t>本条最多扣3分。</w:t>
      </w:r>
    </w:p>
    <w:p w14:paraId="7601E19C">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面源污染治理</w:t>
      </w:r>
    </w:p>
    <w:p w14:paraId="082DBCAD">
      <w:pPr>
        <w:pStyle w:val="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面源污染治理</w:t>
      </w:r>
      <w:r>
        <w:rPr>
          <w:rFonts w:hint="eastAsia"/>
          <w:lang w:val="en-US" w:eastAsia="zh-CN"/>
        </w:rPr>
        <w:t>分值5分。计分方式如下：</w:t>
      </w:r>
    </w:p>
    <w:p w14:paraId="0626DA8A">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——秸秆综合利用</w:t>
      </w:r>
      <w:r>
        <w:rPr>
          <w:rFonts w:hint="eastAsia" w:cs="Times New Roman"/>
          <w:color w:val="auto"/>
          <w:kern w:val="0"/>
          <w:sz w:val="21"/>
          <w:szCs w:val="20"/>
          <w:lang w:val="en-US" w:eastAsia="zh-CN" w:bidi="ar-SA"/>
        </w:rPr>
        <w:t>率高于省、市平均值的</w:t>
      </w:r>
      <w:r>
        <w:rPr>
          <w:rFonts w:hint="eastAsia" w:ascii="宋体" w:hAnsi="Times New Roman" w:eastAsia="宋体" w:cs="Times New Roman"/>
          <w:color w:val="auto"/>
          <w:kern w:val="0"/>
          <w:sz w:val="21"/>
          <w:szCs w:val="20"/>
          <w:lang w:val="en-US" w:eastAsia="zh-CN" w:bidi="ar-SA"/>
        </w:rPr>
        <w:t>，得</w:t>
      </w:r>
      <w:r>
        <w:rPr>
          <w:rFonts w:hint="eastAsia" w:cs="Times New Roman"/>
          <w:color w:val="auto"/>
          <w:kern w:val="0"/>
          <w:sz w:val="21"/>
          <w:szCs w:val="20"/>
          <w:lang w:val="en-US" w:eastAsia="zh-CN" w:bidi="ar-SA"/>
        </w:rPr>
        <w:t>2</w:t>
      </w:r>
      <w:r>
        <w:rPr>
          <w:rFonts w:hint="eastAsia" w:ascii="宋体" w:hAnsi="Times New Roman" w:eastAsia="宋体" w:cs="Times New Roman"/>
          <w:color w:val="auto"/>
          <w:kern w:val="0"/>
          <w:sz w:val="21"/>
          <w:szCs w:val="20"/>
          <w:lang w:val="en-US" w:eastAsia="zh-CN" w:bidi="ar-SA"/>
        </w:rPr>
        <w:t>分</w:t>
      </w:r>
      <w:r>
        <w:rPr>
          <w:rFonts w:hint="eastAsia" w:cs="Times New Roman"/>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介于省、市平均值之间或持平于省、市平均值，扣1分</w:t>
      </w:r>
      <w:r>
        <w:rPr>
          <w:rFonts w:hint="eastAsia" w:cs="Times New Roman"/>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低于省、市平均值，扣2分</w:t>
      </w:r>
      <w:r>
        <w:rPr>
          <w:rFonts w:hint="eastAsia" w:cs="Times New Roman"/>
          <w:color w:val="auto"/>
          <w:kern w:val="0"/>
          <w:sz w:val="21"/>
          <w:szCs w:val="20"/>
          <w:lang w:val="en-US" w:eastAsia="zh-CN" w:bidi="ar-SA"/>
        </w:rPr>
        <w:t>。</w:t>
      </w:r>
    </w:p>
    <w:p w14:paraId="7FAFCF64">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——主要农作物测土配方施肥技术覆盖率</w:t>
      </w:r>
      <w:r>
        <w:rPr>
          <w:rFonts w:hint="eastAsia" w:cs="Times New Roman"/>
          <w:color w:val="auto"/>
          <w:kern w:val="0"/>
          <w:sz w:val="21"/>
          <w:szCs w:val="20"/>
          <w:lang w:val="en-US" w:eastAsia="zh-CN" w:bidi="ar-SA"/>
        </w:rPr>
        <w:t>高于省、市平均值的</w:t>
      </w:r>
      <w:r>
        <w:rPr>
          <w:rFonts w:hint="eastAsia" w:ascii="宋体" w:hAnsi="Times New Roman" w:eastAsia="宋体" w:cs="Times New Roman"/>
          <w:color w:val="auto"/>
          <w:kern w:val="0"/>
          <w:sz w:val="21"/>
          <w:szCs w:val="20"/>
          <w:lang w:val="en-US" w:eastAsia="zh-CN" w:bidi="ar-SA"/>
        </w:rPr>
        <w:t>，得</w:t>
      </w:r>
      <w:r>
        <w:rPr>
          <w:rFonts w:hint="eastAsia" w:cs="Times New Roman"/>
          <w:color w:val="auto"/>
          <w:kern w:val="0"/>
          <w:sz w:val="21"/>
          <w:szCs w:val="20"/>
          <w:lang w:val="en-US" w:eastAsia="zh-CN" w:bidi="ar-SA"/>
        </w:rPr>
        <w:t>2</w:t>
      </w:r>
      <w:r>
        <w:rPr>
          <w:rFonts w:hint="eastAsia" w:ascii="宋体" w:hAnsi="Times New Roman" w:eastAsia="宋体" w:cs="Times New Roman"/>
          <w:color w:val="auto"/>
          <w:kern w:val="0"/>
          <w:sz w:val="21"/>
          <w:szCs w:val="20"/>
          <w:lang w:val="en-US" w:eastAsia="zh-CN" w:bidi="ar-SA"/>
        </w:rPr>
        <w:t>分</w:t>
      </w:r>
      <w:r>
        <w:rPr>
          <w:rFonts w:hint="eastAsia" w:cs="Times New Roman"/>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介于省、市平均值之间或持平于省、市平均值，扣1分</w:t>
      </w:r>
      <w:r>
        <w:rPr>
          <w:rFonts w:hint="eastAsia" w:cs="Times New Roman"/>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低于省、市平均值，扣2分</w:t>
      </w:r>
      <w:r>
        <w:rPr>
          <w:rFonts w:hint="eastAsia" w:cs="Times New Roman"/>
          <w:color w:val="auto"/>
          <w:kern w:val="0"/>
          <w:sz w:val="21"/>
          <w:szCs w:val="20"/>
          <w:lang w:val="en-US" w:eastAsia="zh-CN" w:bidi="ar-SA"/>
        </w:rPr>
        <w:t>。</w:t>
      </w:r>
    </w:p>
    <w:p w14:paraId="5D79707E">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——畜禽粪污综合利用</w:t>
      </w:r>
      <w:r>
        <w:rPr>
          <w:rFonts w:hint="eastAsia" w:cs="Times New Roman"/>
          <w:color w:val="auto"/>
          <w:kern w:val="0"/>
          <w:sz w:val="21"/>
          <w:szCs w:val="20"/>
          <w:lang w:val="en-US" w:eastAsia="zh-CN" w:bidi="ar-SA"/>
        </w:rPr>
        <w:t>率高于省、市平均值的</w:t>
      </w:r>
      <w:r>
        <w:rPr>
          <w:rFonts w:hint="eastAsia" w:ascii="宋体" w:hAnsi="Times New Roman" w:eastAsia="宋体" w:cs="Times New Roman"/>
          <w:color w:val="auto"/>
          <w:kern w:val="0"/>
          <w:sz w:val="21"/>
          <w:szCs w:val="20"/>
          <w:lang w:val="en-US" w:eastAsia="zh-CN" w:bidi="ar-SA"/>
        </w:rPr>
        <w:t>，得</w:t>
      </w:r>
      <w:r>
        <w:rPr>
          <w:rFonts w:hint="eastAsia" w:cs="Times New Roman"/>
          <w:color w:val="auto"/>
          <w:kern w:val="0"/>
          <w:sz w:val="21"/>
          <w:szCs w:val="20"/>
          <w:lang w:val="en-US" w:eastAsia="zh-CN" w:bidi="ar-SA"/>
        </w:rPr>
        <w:t>1</w:t>
      </w:r>
      <w:r>
        <w:rPr>
          <w:rFonts w:hint="eastAsia" w:ascii="宋体" w:hAnsi="Times New Roman" w:eastAsia="宋体" w:cs="Times New Roman"/>
          <w:color w:val="auto"/>
          <w:kern w:val="0"/>
          <w:sz w:val="21"/>
          <w:szCs w:val="20"/>
          <w:lang w:val="en-US" w:eastAsia="zh-CN" w:bidi="ar-SA"/>
        </w:rPr>
        <w:t>分</w:t>
      </w:r>
      <w:r>
        <w:rPr>
          <w:rFonts w:hint="eastAsia" w:cs="Times New Roman"/>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低于全省畜禽粪污综合利用率，扣1分。</w:t>
      </w:r>
    </w:p>
    <w:p w14:paraId="4EC27DDE">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生态流量（水位）满足程度</w:t>
      </w:r>
    </w:p>
    <w:p w14:paraId="1DF2AA27">
      <w:pPr>
        <w:pStyle w:val="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生态流量（水位）满足程度</w:t>
      </w:r>
      <w:r>
        <w:rPr>
          <w:rFonts w:hint="eastAsia"/>
          <w:lang w:val="en-US" w:eastAsia="zh-CN"/>
        </w:rPr>
        <w:t>分值5分。计分方式如下：</w:t>
      </w:r>
    </w:p>
    <w:p w14:paraId="7BE59F1A">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——河湖生态流量（水位）满足程度全部达标，得4分。未全部达标，按照未达标的河湖管控断面占比扣分。</w:t>
      </w:r>
    </w:p>
    <w:p w14:paraId="22DFF182">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——县域内90%以上的小水电站生态流量泄放达标，得1分。每低1个百分点扣0.1分，最多扣</w:t>
      </w:r>
      <w:r>
        <w:rPr>
          <w:rFonts w:hint="eastAsia" w:cs="Times New Roman"/>
          <w:color w:val="auto"/>
          <w:kern w:val="0"/>
          <w:sz w:val="21"/>
          <w:szCs w:val="20"/>
          <w:lang w:val="en-US" w:eastAsia="zh-CN" w:bidi="ar-SA"/>
        </w:rPr>
        <w:t>1</w:t>
      </w:r>
      <w:r>
        <w:rPr>
          <w:rFonts w:hint="eastAsia" w:ascii="宋体" w:hAnsi="Times New Roman" w:eastAsia="宋体" w:cs="Times New Roman"/>
          <w:color w:val="auto"/>
          <w:kern w:val="0"/>
          <w:sz w:val="21"/>
          <w:szCs w:val="20"/>
          <w:lang w:val="en-US" w:eastAsia="zh-CN" w:bidi="ar-SA"/>
        </w:rPr>
        <w:t>分。</w:t>
      </w:r>
    </w:p>
    <w:p w14:paraId="19313C19">
      <w:pPr>
        <w:pStyle w:val="105"/>
        <w:spacing w:before="156" w:after="156"/>
        <w:rPr>
          <w:color w:val="auto"/>
        </w:rPr>
      </w:pPr>
      <w:r>
        <w:rPr>
          <w:rFonts w:hint="eastAsia"/>
          <w:color w:val="auto"/>
          <w:lang w:val="en-US" w:eastAsia="zh-CN"/>
        </w:rPr>
        <w:t>建设健康美丽幸福河湖</w:t>
      </w:r>
    </w:p>
    <w:p w14:paraId="2741621D">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幸福河湖建设</w:t>
      </w:r>
    </w:p>
    <w:p w14:paraId="24FAB27F">
      <w:pPr>
        <w:pStyle w:val="56"/>
        <w:keepNext w:val="0"/>
        <w:keepLines w:val="0"/>
        <w:pageBreakBefore w:val="0"/>
        <w:widowControl/>
        <w:kinsoku/>
        <w:wordWrap/>
        <w:overflowPunct/>
        <w:topLinePunct w:val="0"/>
        <w:autoSpaceDE w:val="0"/>
        <w:autoSpaceDN w:val="0"/>
        <w:bidi w:val="0"/>
        <w:adjustRightInd/>
        <w:snapToGrid/>
        <w:ind w:firstLine="0" w:firstLineChars="0"/>
        <w:jc w:val="left"/>
        <w:textAlignment w:val="auto"/>
        <w:rPr>
          <w:rFonts w:hint="eastAsia" w:ascii="宋体" w:hAnsi="Times New Roman" w:eastAsia="宋体" w:cs="Times New Roman"/>
          <w:color w:val="auto"/>
          <w:sz w:val="21"/>
          <w:lang w:val="en-US" w:eastAsia="zh-CN" w:bidi="ar-SA"/>
        </w:rPr>
      </w:pPr>
      <w:r>
        <w:rPr>
          <w:rFonts w:hint="eastAsia" w:ascii="黑体" w:hAnsi="黑体" w:eastAsia="黑体" w:cs="黑体"/>
          <w:b w:val="0"/>
          <w:bCs w:val="0"/>
          <w:color w:val="auto"/>
          <w:kern w:val="0"/>
          <w:sz w:val="21"/>
          <w:szCs w:val="20"/>
          <w:lang w:val="en-US" w:eastAsia="zh-CN" w:bidi="ar-SA"/>
        </w:rPr>
        <w:t xml:space="preserve">7.3.1.1 </w:t>
      </w:r>
      <w:r>
        <w:rPr>
          <w:rFonts w:hint="eastAsia" w:ascii="宋体" w:hAnsi="Times New Roman" w:eastAsia="宋体" w:cs="Times New Roman"/>
          <w:color w:val="auto"/>
          <w:kern w:val="0"/>
          <w:sz w:val="21"/>
          <w:szCs w:val="20"/>
          <w:lang w:val="en-US" w:eastAsia="zh-CN" w:bidi="ar-SA"/>
        </w:rPr>
        <w:t>幸福河湖建设</w:t>
      </w:r>
      <w:r>
        <w:rPr>
          <w:rFonts w:hint="eastAsia"/>
          <w:lang w:val="en-US" w:eastAsia="zh-CN"/>
        </w:rPr>
        <w:t>分值10分。计分方式如下：</w:t>
      </w:r>
    </w:p>
    <w:p w14:paraId="531D8AEF">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——建成省级幸福河湖数量比全省平均值多3个，得8分；多2个，得7分；多1个，得6分。</w:t>
      </w:r>
    </w:p>
    <w:p w14:paraId="43CBE921">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——探索开展全域幸福河湖建设，以乡镇或流域为单元建成1个全域幸福河湖，得2分，否则不得分。</w:t>
      </w:r>
    </w:p>
    <w:p w14:paraId="0A2D1232">
      <w:pPr>
        <w:pStyle w:val="56"/>
        <w:keepNext w:val="0"/>
        <w:keepLines w:val="0"/>
        <w:pageBreakBefore w:val="0"/>
        <w:widowControl/>
        <w:kinsoku/>
        <w:wordWrap/>
        <w:overflowPunct/>
        <w:topLinePunct w:val="0"/>
        <w:autoSpaceDE w:val="0"/>
        <w:autoSpaceDN w:val="0"/>
        <w:bidi w:val="0"/>
        <w:adjustRightInd/>
        <w:snapToGrid/>
        <w:ind w:firstLine="0" w:firstLineChars="0"/>
        <w:jc w:val="left"/>
        <w:textAlignment w:val="auto"/>
        <w:rPr>
          <w:rFonts w:hint="eastAsia" w:ascii="宋体" w:hAnsi="Times New Roman" w:eastAsia="宋体" w:cs="Times New Roman"/>
          <w:color w:val="auto"/>
          <w:kern w:val="0"/>
          <w:sz w:val="21"/>
          <w:szCs w:val="20"/>
          <w:lang w:val="en-US" w:eastAsia="zh-CN" w:bidi="ar-SA"/>
        </w:rPr>
      </w:pPr>
      <w:r>
        <w:rPr>
          <w:rFonts w:hint="eastAsia" w:ascii="黑体" w:hAnsi="黑体" w:eastAsia="黑体" w:cs="黑体"/>
          <w:b w:val="0"/>
          <w:bCs w:val="0"/>
          <w:color w:val="auto"/>
          <w:kern w:val="0"/>
          <w:sz w:val="21"/>
          <w:szCs w:val="20"/>
          <w:lang w:val="en-US" w:eastAsia="zh-CN" w:bidi="ar-SA"/>
        </w:rPr>
        <w:t>7.3.1.2</w:t>
      </w:r>
      <w:r>
        <w:rPr>
          <w:rFonts w:hint="eastAsia" w:ascii="宋体" w:hAnsi="Times New Roman" w:eastAsia="宋体" w:cs="Times New Roman"/>
          <w:color w:val="auto"/>
          <w:kern w:val="0"/>
          <w:sz w:val="21"/>
          <w:szCs w:val="20"/>
          <w:lang w:val="en-US" w:eastAsia="zh-CN" w:bidi="ar-SA"/>
        </w:rPr>
        <w:t xml:space="preserve"> 1个国家级</w:t>
      </w:r>
      <w:r>
        <w:rPr>
          <w:rFonts w:hint="eastAsia" w:cs="Times New Roman"/>
          <w:color w:val="auto"/>
          <w:kern w:val="0"/>
          <w:sz w:val="21"/>
          <w:szCs w:val="20"/>
          <w:lang w:val="en-US" w:eastAsia="zh-CN" w:bidi="ar-SA"/>
        </w:rPr>
        <w:t>幸福河湖可以折算为4个省级幸福河湖，1个</w:t>
      </w:r>
      <w:r>
        <w:rPr>
          <w:rFonts w:hint="eastAsia" w:ascii="宋体" w:hAnsi="Times New Roman" w:eastAsia="宋体" w:cs="Times New Roman"/>
          <w:color w:val="auto"/>
          <w:kern w:val="0"/>
          <w:sz w:val="21"/>
          <w:szCs w:val="20"/>
          <w:lang w:val="en-US" w:eastAsia="zh-CN" w:bidi="ar-SA"/>
        </w:rPr>
        <w:t>流域级幸福河湖</w:t>
      </w:r>
      <w:r>
        <w:rPr>
          <w:rFonts w:hint="eastAsia" w:cs="Times New Roman"/>
          <w:color w:val="auto"/>
          <w:kern w:val="0"/>
          <w:sz w:val="21"/>
          <w:szCs w:val="20"/>
          <w:lang w:val="en-US" w:eastAsia="zh-CN" w:bidi="ar-SA"/>
        </w:rPr>
        <w:t>可</w:t>
      </w:r>
      <w:r>
        <w:rPr>
          <w:rFonts w:hint="eastAsia" w:ascii="宋体" w:hAnsi="Times New Roman" w:eastAsia="宋体" w:cs="Times New Roman"/>
          <w:color w:val="auto"/>
          <w:kern w:val="0"/>
          <w:sz w:val="21"/>
          <w:szCs w:val="20"/>
          <w:lang w:val="en-US" w:eastAsia="zh-CN" w:bidi="ar-SA"/>
        </w:rPr>
        <w:t>折算为2个省级幸福河湖。全省平均值为（省级幸福河湖数量+流域级幸福河湖数量×2+国家级幸福河湖数量×4）/104后，向大取整的数值</w:t>
      </w:r>
      <w:r>
        <w:rPr>
          <w:rFonts w:hint="eastAsia" w:cs="Times New Roman"/>
          <w:color w:val="auto"/>
          <w:kern w:val="0"/>
          <w:sz w:val="21"/>
          <w:szCs w:val="20"/>
          <w:lang w:val="en-US" w:eastAsia="zh-CN" w:bidi="ar-SA"/>
        </w:rPr>
        <w:t>。</w:t>
      </w:r>
    </w:p>
    <w:p w14:paraId="1E1F7A4D">
      <w:pPr>
        <w:pStyle w:val="56"/>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hAnsi="黑体" w:eastAsia="黑体" w:cs="黑体"/>
          <w:b w:val="0"/>
          <w:bCs w:val="0"/>
          <w:color w:val="auto"/>
          <w:kern w:val="0"/>
          <w:sz w:val="21"/>
          <w:szCs w:val="20"/>
          <w:lang w:val="en-US" w:eastAsia="zh-CN" w:bidi="ar-SA"/>
        </w:rPr>
        <w:t>7.3.1.3</w:t>
      </w:r>
      <w:r>
        <w:rPr>
          <w:rFonts w:hint="eastAsia" w:ascii="宋体" w:hAnsi="Times New Roman" w:eastAsia="宋体" w:cs="Times New Roman"/>
          <w:color w:val="auto"/>
          <w:kern w:val="0"/>
          <w:sz w:val="21"/>
          <w:szCs w:val="20"/>
          <w:lang w:val="en-US" w:eastAsia="zh-CN" w:bidi="ar-SA"/>
        </w:rPr>
        <w:t xml:space="preserve"> </w:t>
      </w:r>
      <w:r>
        <w:rPr>
          <w:rFonts w:hint="eastAsia" w:ascii="宋体" w:hAnsi="宋体" w:eastAsia="宋体" w:cs="宋体"/>
          <w:color w:val="auto"/>
          <w:spacing w:val="0"/>
          <w:sz w:val="21"/>
          <w:szCs w:val="21"/>
          <w:highlight w:val="none"/>
          <w:vertAlign w:val="baseline"/>
        </w:rPr>
        <w:t>同一条河湖建成不同层级幸福河湖，按照最高层级赋分，不重复计分</w:t>
      </w:r>
      <w:r>
        <w:rPr>
          <w:rFonts w:hint="eastAsia" w:ascii="宋体" w:hAnsi="宋体" w:cs="宋体"/>
          <w:color w:val="auto"/>
          <w:spacing w:val="0"/>
          <w:sz w:val="21"/>
          <w:szCs w:val="21"/>
          <w:highlight w:val="none"/>
          <w:vertAlign w:val="baseline"/>
          <w:lang w:eastAsia="zh-CN"/>
        </w:rPr>
        <w:t>；</w:t>
      </w:r>
      <w:r>
        <w:rPr>
          <w:rFonts w:hint="eastAsia" w:ascii="宋体" w:hAnsi="宋体" w:eastAsia="宋体" w:cs="宋体"/>
          <w:color w:val="auto"/>
          <w:spacing w:val="0"/>
          <w:sz w:val="21"/>
          <w:szCs w:val="21"/>
          <w:highlight w:val="none"/>
          <w:vertAlign w:val="baseline"/>
        </w:rPr>
        <w:t>对跨行政区的幸福河湖，该县（市、区）需承担主要建设任务</w:t>
      </w:r>
      <w:r>
        <w:rPr>
          <w:rFonts w:hint="eastAsia" w:ascii="宋体" w:hAnsi="Times New Roman" w:eastAsia="宋体" w:cs="Times New Roman"/>
          <w:color w:val="auto"/>
          <w:kern w:val="0"/>
          <w:sz w:val="21"/>
          <w:szCs w:val="20"/>
          <w:lang w:val="en-US" w:eastAsia="zh-CN" w:bidi="ar-SA"/>
        </w:rPr>
        <w:t>。</w:t>
      </w:r>
    </w:p>
    <w:p w14:paraId="2B9839E1">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水文化载体建设</w:t>
      </w:r>
    </w:p>
    <w:p w14:paraId="7416A677">
      <w:pPr>
        <w:pStyle w:val="56"/>
        <w:rPr>
          <w:rFonts w:hint="eastAsia"/>
          <w:lang w:val="en-US" w:eastAsia="zh-CN"/>
        </w:rPr>
      </w:pPr>
      <w:r>
        <w:rPr>
          <w:rFonts w:hint="eastAsia" w:cs="Times New Roman"/>
          <w:color w:val="auto"/>
          <w:kern w:val="0"/>
          <w:sz w:val="21"/>
          <w:szCs w:val="20"/>
          <w:lang w:val="en-US" w:eastAsia="zh-CN" w:bidi="ar-SA"/>
        </w:rPr>
        <w:t>水文化载体建设</w:t>
      </w:r>
      <w:r>
        <w:rPr>
          <w:rFonts w:hint="eastAsia"/>
          <w:lang w:val="en-US" w:eastAsia="zh-CN"/>
        </w:rPr>
        <w:t>分值6分。计分方式如下：</w:t>
      </w:r>
    </w:p>
    <w:p w14:paraId="0C72A1E4">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县域内建设水文化展览馆、主题公园、教育基地等3类场所满足要求，得3分。其中：水文化展览馆展示包含水利工程文化、以水为载体的风俗习惯、治水历史、治水名人、有关水的价值观念等内容；主题公园建设包含河湖长制元素、水文化展示、水科普宣传等主题内容，且可供开展相关活动；教育基地包含水情教育基地、水土保持科技示范园、节水示范基地等，可面向社会公众普及水状况、水常识、水科技、水法规和水文化等知识。每少1类场所扣1分；以上场所未达到有关要求，每发现1处扣0.2分。</w:t>
      </w:r>
      <w:r>
        <w:rPr>
          <w:rFonts w:hint="eastAsia"/>
          <w:lang w:val="en-US" w:eastAsia="zh-CN"/>
        </w:rPr>
        <w:t>本条最多扣3分。</w:t>
      </w:r>
    </w:p>
    <w:p w14:paraId="1E658ADD">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——两年来，利用以上场所开展相关宣传、学习等活动6次以上，总人次不低于500人次，得3分。其中：活动少于6次，每少1次扣0.5分，最多扣2分；总人次低于500人次，扣1分。</w:t>
      </w:r>
    </w:p>
    <w:p w14:paraId="40B0A4FE">
      <w:pPr>
        <w:pStyle w:val="65"/>
        <w:spacing w:before="156" w:after="156"/>
        <w:rPr>
          <w:rFonts w:hint="eastAsia" w:ascii="黑体" w:hAnsi="Times New Roman" w:eastAsia="黑体" w:cs="Times New Roman"/>
          <w:color w:val="auto"/>
          <w:sz w:val="21"/>
          <w:lang w:val="en-US" w:eastAsia="zh-CN" w:bidi="ar-SA"/>
        </w:rPr>
      </w:pPr>
      <w:r>
        <w:rPr>
          <w:rFonts w:hint="eastAsia" w:cs="Times New Roman"/>
          <w:color w:val="auto"/>
          <w:sz w:val="21"/>
          <w:lang w:val="en-US" w:eastAsia="zh-CN" w:bidi="ar-SA"/>
        </w:rPr>
        <w:t>成效彰显</w:t>
      </w:r>
    </w:p>
    <w:p w14:paraId="5EB5EB09">
      <w:pPr>
        <w:pStyle w:val="56"/>
        <w:rPr>
          <w:rFonts w:hint="eastAsia"/>
          <w:color w:val="auto"/>
          <w:lang w:val="en-US" w:eastAsia="zh-CN"/>
        </w:rPr>
      </w:pPr>
      <w:r>
        <w:rPr>
          <w:rFonts w:hint="eastAsia" w:cs="Times New Roman"/>
          <w:color w:val="auto"/>
          <w:kern w:val="0"/>
          <w:sz w:val="21"/>
          <w:szCs w:val="20"/>
          <w:lang w:val="en-US" w:eastAsia="zh-CN" w:bidi="ar-SA"/>
        </w:rPr>
        <w:t>成效彰显</w:t>
      </w:r>
      <w:r>
        <w:rPr>
          <w:rFonts w:hint="eastAsia"/>
          <w:lang w:val="en-US" w:eastAsia="zh-CN"/>
        </w:rPr>
        <w:t>分值9分</w:t>
      </w:r>
      <w:r>
        <w:rPr>
          <w:rFonts w:hint="eastAsia"/>
          <w:color w:val="auto"/>
          <w:lang w:val="en-US" w:eastAsia="zh-CN"/>
        </w:rPr>
        <w:t>，</w:t>
      </w:r>
      <w:r>
        <w:rPr>
          <w:rFonts w:hint="eastAsia" w:ascii="宋体" w:hAnsi="宋体" w:eastAsia="宋体" w:cs="宋体"/>
          <w:color w:val="auto"/>
          <w:spacing w:val="-6"/>
          <w:sz w:val="21"/>
          <w:szCs w:val="21"/>
          <w:vertAlign w:val="baseline"/>
          <w:lang w:val="en-US" w:eastAsia="zh-CN"/>
        </w:rPr>
        <w:t>同一项典型经验不重复计分</w:t>
      </w:r>
      <w:r>
        <w:rPr>
          <w:rFonts w:hint="eastAsia"/>
          <w:color w:val="auto"/>
          <w:lang w:val="en-US" w:eastAsia="zh-CN"/>
        </w:rPr>
        <w:t>。计分方式如下：</w:t>
      </w:r>
    </w:p>
    <w:p w14:paraId="1A931143">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通过能效提级县建设，形成一批典型经验，得4分。其中：典型经验获省级以上领导批示肯定，或国家部委、省委省政府肯定，每有1项得4分；在水利部河湖长制简报、《全面推行河湖长制典型案例汇编》，省委办《安徽信息》、省政府办《政务信息》、省委改革办《改革案例》刊登，每有1项得2分；流域机构、省河长办推广发布，每有1项得1分。</w:t>
      </w:r>
    </w:p>
    <w:p w14:paraId="78D43975">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典型经验得到推广宣传，得3分。其中：在水利部河湖司网页、省全面推行河长制网页、省河长制公众号等省级以上网页、媒体、微信公众号上宣传报道，每有1次得0.5分，最多得2分；短视频播放量累计超过10万，每有1个得0.5分，最多得1分。</w:t>
      </w:r>
    </w:p>
    <w:p w14:paraId="44550955">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助力经济社会发展成效明显，得2分。幸福河湖建设在促进城市品质活力提升、乡村全面振兴、打造群众身边休闲好去处、培育水文化与旅游、农业、体育、研学等融合发展新业态新模式方面，每获得一个省级以上品牌得0.5分。</w:t>
      </w:r>
    </w:p>
    <w:p w14:paraId="2D6CA79B">
      <w:pPr>
        <w:pStyle w:val="65"/>
        <w:spacing w:before="156" w:after="156"/>
        <w:rPr>
          <w:rFonts w:hint="eastAsia"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群众满意度</w:t>
      </w:r>
    </w:p>
    <w:p w14:paraId="1E3490BD">
      <w:pPr>
        <w:pStyle w:val="56"/>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群众</w:t>
      </w:r>
      <w:r>
        <w:rPr>
          <w:rFonts w:hint="eastAsia" w:ascii="宋体" w:hAnsi="Times New Roman" w:eastAsia="宋体" w:cs="Times New Roman"/>
          <w:color w:val="auto"/>
          <w:kern w:val="0"/>
          <w:sz w:val="21"/>
          <w:szCs w:val="20"/>
          <w:lang w:val="en-US" w:eastAsia="zh-CN" w:bidi="ar-SA"/>
        </w:rPr>
        <w:t>满意度分值8分</w:t>
      </w:r>
      <w:r>
        <w:rPr>
          <w:rFonts w:hint="eastAsia" w:cs="Times New Roman"/>
          <w:color w:val="auto"/>
          <w:kern w:val="0"/>
          <w:sz w:val="21"/>
          <w:szCs w:val="20"/>
          <w:lang w:val="en-US" w:eastAsia="zh-CN" w:bidi="ar-SA"/>
        </w:rPr>
        <w:t>，</w:t>
      </w:r>
      <w:r>
        <w:rPr>
          <w:rFonts w:hint="eastAsia" w:ascii="宋体" w:hAnsi="宋体" w:eastAsia="宋体" w:cs="宋体"/>
          <w:color w:val="auto"/>
          <w:spacing w:val="-6"/>
          <w:sz w:val="21"/>
          <w:szCs w:val="21"/>
          <w:vertAlign w:val="baseline"/>
          <w:lang w:val="en-US" w:eastAsia="zh-CN"/>
        </w:rPr>
        <w:t>调查对象应具代表性，调查份数不少于100份</w:t>
      </w:r>
      <w:r>
        <w:rPr>
          <w:rFonts w:hint="eastAsia" w:hAnsi="宋体" w:cs="宋体"/>
          <w:color w:val="auto"/>
          <w:spacing w:val="-6"/>
          <w:sz w:val="21"/>
          <w:szCs w:val="21"/>
          <w:vertAlign w:val="baseline"/>
          <w:lang w:val="en-US" w:eastAsia="zh-CN"/>
        </w:rPr>
        <w:t>，群众满意度调查表见附录A。</w:t>
      </w:r>
      <w:r>
        <w:rPr>
          <w:rFonts w:hint="eastAsia"/>
          <w:color w:val="auto"/>
          <w:lang w:val="en-US" w:eastAsia="zh-CN"/>
        </w:rPr>
        <w:t>计分方式如下：</w:t>
      </w:r>
    </w:p>
    <w:p w14:paraId="08A3093A">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——群众满意度得分95分以上，得8分。满意度得分低于95分，每低1分扣0.5分。</w:t>
      </w:r>
    </w:p>
    <w:p w14:paraId="0C04770A">
      <w:pPr>
        <w:pStyle w:val="105"/>
        <w:spacing w:before="156" w:after="156"/>
        <w:rPr>
          <w:color w:val="auto"/>
        </w:rPr>
      </w:pPr>
      <w:r>
        <w:rPr>
          <w:rFonts w:hint="eastAsia"/>
          <w:color w:val="auto"/>
          <w:lang w:eastAsia="zh-CN"/>
        </w:rPr>
        <w:t>评估</w:t>
      </w:r>
      <w:r>
        <w:rPr>
          <w:rFonts w:hint="eastAsia"/>
          <w:color w:val="auto"/>
          <w:lang w:val="en-US" w:eastAsia="zh-CN"/>
        </w:rPr>
        <w:t>综合计算</w:t>
      </w:r>
    </w:p>
    <w:p w14:paraId="35AEFB2D">
      <w:pPr>
        <w:pStyle w:val="65"/>
        <w:spacing w:before="156" w:after="156"/>
        <w:rPr>
          <w:rFonts w:hint="eastAsia" w:ascii="宋体" w:hAnsi="Times New Roman" w:eastAsia="宋体" w:cs="Times New Roman"/>
          <w:color w:val="auto"/>
          <w:sz w:val="21"/>
          <w:lang w:val="en-US" w:eastAsia="zh-CN" w:bidi="ar-SA"/>
        </w:rPr>
      </w:pPr>
      <w:r>
        <w:rPr>
          <w:rFonts w:hint="eastAsia" w:ascii="宋体" w:eastAsia="宋体" w:cs="Times New Roman"/>
          <w:color w:val="auto"/>
          <w:sz w:val="21"/>
          <w:lang w:val="en-US" w:eastAsia="zh-CN" w:bidi="ar-SA"/>
        </w:rPr>
        <w:t>按附录B填写河湖长制能效提级县赋分表，</w:t>
      </w:r>
      <w:r>
        <w:rPr>
          <w:rFonts w:hint="eastAsia" w:ascii="宋体" w:hAnsi="Times New Roman" w:eastAsia="宋体" w:cs="Times New Roman"/>
          <w:color w:val="auto"/>
          <w:sz w:val="21"/>
          <w:lang w:val="en-US" w:eastAsia="zh-CN" w:bidi="ar-SA"/>
        </w:rPr>
        <w:t>评估总分按照公式（1）计算：</w:t>
      </w:r>
    </w:p>
    <w:p w14:paraId="3367479A">
      <w:pPr>
        <w:pStyle w:val="56"/>
        <w:tabs>
          <w:tab w:val="left" w:pos="210"/>
          <w:tab w:val="left" w:pos="4200"/>
          <w:tab w:val="left" w:pos="9030"/>
          <w:tab w:val="left" w:pos="9240"/>
        </w:tabs>
        <w:ind w:left="0" w:leftChars="0" w:firstLine="420" w:firstLineChars="0"/>
        <w:rPr>
          <w:rFonts w:hint="default" w:hAnsi="DejaVu Math TeX Gyre" w:cs="Times New Roman"/>
          <w:i/>
          <w:iCs/>
          <w:color w:val="auto"/>
          <w:sz w:val="21"/>
          <w:lang w:val="en-US" w:eastAsia="zh-CN" w:bidi="ar-SA"/>
        </w:rPr>
      </w:pPr>
      <w:r>
        <w:rPr>
          <w:rFonts w:hint="eastAsia" w:hAnsi="DejaVu Math TeX Gyre" w:cs="Times New Roman"/>
          <w:i w:val="0"/>
          <w:iCs/>
          <w:color w:val="auto"/>
          <w:sz w:val="21"/>
          <w:lang w:val="en-US" w:eastAsia="zh-CN" w:bidi="ar-SA"/>
        </w:rPr>
        <w:tab/>
      </w:r>
      <m:oMath>
        <m:r>
          <m:rPr/>
          <w:rPr>
            <w:rFonts w:hint="default" w:ascii="DejaVu Math TeX Gyre" w:hAnsi="DejaVu Math TeX Gyre" w:cs="Times New Roman"/>
            <w:color w:val="auto"/>
            <w:sz w:val="21"/>
            <w:lang w:val="en-US" w:eastAsia="zh-CN" w:bidi="ar-SA"/>
          </w:rPr>
          <m:t>S=M+E+F</m:t>
        </m:r>
      </m:oMath>
      <w:r>
        <w:rPr>
          <w:rFonts w:hint="eastAsia" w:hAnsi="DejaVu Math TeX Gyre" w:cs="Times New Roman"/>
          <w:i/>
          <w:iCs/>
          <w:color w:val="auto"/>
          <w:sz w:val="21"/>
          <w:lang w:val="en-US" w:eastAsia="zh-CN" w:bidi="ar-SA"/>
        </w:rPr>
        <w:tab/>
      </w:r>
      <w:r>
        <w:rPr>
          <w:rFonts w:hint="eastAsia" w:hAnsi="DejaVu Math TeX Gyre" w:cs="Times New Roman"/>
          <w:i w:val="0"/>
          <w:iCs w:val="0"/>
          <w:color w:val="auto"/>
          <w:sz w:val="21"/>
          <w:lang w:val="en-US" w:eastAsia="zh-CN" w:bidi="ar-SA"/>
        </w:rPr>
        <w:t>（1）</w:t>
      </w:r>
    </w:p>
    <w:p w14:paraId="6DF32B50">
      <w:pPr>
        <w:pStyle w:val="56"/>
        <w:ind w:firstLine="420"/>
        <w:rPr>
          <w:rFonts w:hint="eastAsia"/>
          <w:color w:val="auto"/>
          <w:lang w:val="en-US" w:eastAsia="zh-CN"/>
        </w:rPr>
      </w:pPr>
      <w:r>
        <w:rPr>
          <w:rFonts w:hint="eastAsia"/>
          <w:color w:val="auto"/>
          <w:lang w:val="en-US" w:eastAsia="zh-CN"/>
        </w:rPr>
        <w:t>式中：</w:t>
      </w:r>
    </w:p>
    <w:p w14:paraId="0A0A5505">
      <w:pPr>
        <w:pStyle w:val="56"/>
        <w:ind w:firstLine="840" w:firstLineChars="400"/>
        <w:rPr>
          <w:rFonts w:hint="eastAsia"/>
          <w:color w:val="auto"/>
          <w:lang w:val="en-US" w:eastAsia="zh-CN"/>
        </w:rPr>
      </w:pPr>
      <w:r>
        <w:rPr>
          <w:rFonts w:hint="eastAsia"/>
          <w:i/>
          <w:iCs/>
          <w:color w:val="auto"/>
          <w:lang w:val="en-US" w:eastAsia="zh-CN"/>
        </w:rPr>
        <w:t>S</w:t>
      </w:r>
      <w:r>
        <w:rPr>
          <w:rFonts w:hint="eastAsia"/>
          <w:color w:val="auto"/>
          <w:lang w:val="en-US" w:eastAsia="zh-CN"/>
        </w:rPr>
        <w:t>——评估总分；</w:t>
      </w:r>
    </w:p>
    <w:p w14:paraId="21485131">
      <w:pPr>
        <w:pStyle w:val="56"/>
        <w:ind w:firstLine="840" w:firstLineChars="400"/>
        <w:rPr>
          <w:rFonts w:hint="eastAsia"/>
          <w:color w:val="auto"/>
          <w:lang w:val="en-US" w:eastAsia="zh-CN"/>
        </w:rPr>
      </w:pPr>
      <w:r>
        <w:rPr>
          <w:rFonts w:hint="eastAsia"/>
          <w:i/>
          <w:iCs/>
          <w:color w:val="auto"/>
          <w:lang w:val="en-US" w:eastAsia="zh-CN"/>
        </w:rPr>
        <w:t>M</w:t>
      </w:r>
      <w:r>
        <w:rPr>
          <w:rFonts w:hint="eastAsia"/>
          <w:color w:val="auto"/>
          <w:lang w:val="en-US" w:eastAsia="zh-CN"/>
        </w:rPr>
        <w:t>——全面强化河湖管护机制得分；</w:t>
      </w:r>
    </w:p>
    <w:p w14:paraId="4F85D523">
      <w:pPr>
        <w:pStyle w:val="56"/>
        <w:ind w:firstLine="840" w:firstLineChars="400"/>
        <w:rPr>
          <w:rFonts w:hint="eastAsia"/>
          <w:color w:val="auto"/>
          <w:lang w:val="en-US" w:eastAsia="zh-CN"/>
        </w:rPr>
      </w:pPr>
      <w:r>
        <w:rPr>
          <w:rFonts w:hint="eastAsia"/>
          <w:i/>
          <w:iCs/>
          <w:color w:val="auto"/>
          <w:lang w:val="en-US" w:eastAsia="zh-CN"/>
        </w:rPr>
        <w:t>E</w:t>
      </w:r>
      <w:r>
        <w:rPr>
          <w:rFonts w:hint="eastAsia"/>
          <w:color w:val="auto"/>
          <w:lang w:val="en-US" w:eastAsia="zh-CN"/>
        </w:rPr>
        <w:t>——标本兼治复苏河湖生态得分；</w:t>
      </w:r>
    </w:p>
    <w:p w14:paraId="2FC83142">
      <w:pPr>
        <w:pStyle w:val="56"/>
        <w:ind w:firstLine="840" w:firstLineChars="400"/>
        <w:rPr>
          <w:rFonts w:hint="eastAsia"/>
          <w:color w:val="auto"/>
          <w:lang w:val="en-US" w:eastAsia="zh-CN"/>
        </w:rPr>
      </w:pPr>
      <w:r>
        <w:rPr>
          <w:rFonts w:hint="eastAsia"/>
          <w:i/>
          <w:iCs/>
          <w:color w:val="auto"/>
          <w:lang w:val="en-US" w:eastAsia="zh-CN"/>
        </w:rPr>
        <w:t>F</w:t>
      </w:r>
      <w:r>
        <w:rPr>
          <w:rFonts w:hint="eastAsia"/>
          <w:color w:val="auto"/>
          <w:lang w:val="en-US" w:eastAsia="zh-CN"/>
        </w:rPr>
        <w:t>——建设健康美丽幸福河湖得分。</w:t>
      </w:r>
    </w:p>
    <w:p w14:paraId="20ED83D5">
      <w:pPr>
        <w:pStyle w:val="65"/>
        <w:spacing w:before="156" w:after="1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指标层存在合理缺项的，缺项的缺省分值以准则层的其他指标分值为基础加权分配到其他指标</w:t>
      </w:r>
      <w:r>
        <w:rPr>
          <w:rFonts w:hint="eastAsia" w:ascii="宋体" w:eastAsia="宋体" w:cs="Times New Roman"/>
          <w:color w:val="auto"/>
          <w:sz w:val="21"/>
          <w:lang w:val="en-US" w:eastAsia="zh-CN" w:bidi="ar-SA"/>
        </w:rPr>
        <w:t>。</w:t>
      </w:r>
    </w:p>
    <w:p w14:paraId="09658832">
      <w:pPr>
        <w:pStyle w:val="104"/>
        <w:spacing w:before="312" w:after="312"/>
        <w:rPr>
          <w:rFonts w:hint="eastAsia"/>
          <w:color w:val="auto"/>
          <w:lang w:val="zh-CN"/>
        </w:rPr>
      </w:pPr>
      <w:r>
        <w:rPr>
          <w:rFonts w:hint="eastAsia"/>
          <w:color w:val="auto"/>
          <w:lang w:val="zh-CN" w:eastAsia="zh-CN"/>
        </w:rPr>
        <w:t>评估流程与方式</w:t>
      </w:r>
    </w:p>
    <w:p w14:paraId="5450473D">
      <w:pPr>
        <w:pStyle w:val="105"/>
        <w:spacing w:before="156" w:after="156"/>
        <w:rPr>
          <w:rFonts w:hint="eastAsia"/>
          <w:color w:val="auto"/>
          <w:lang w:val="en-US" w:eastAsia="zh-CN"/>
        </w:rPr>
      </w:pPr>
      <w:r>
        <w:rPr>
          <w:rFonts w:hint="eastAsia"/>
          <w:color w:val="auto"/>
          <w:lang w:val="en-US" w:eastAsia="zh-CN"/>
        </w:rPr>
        <w:t>县级自评</w:t>
      </w:r>
    </w:p>
    <w:p w14:paraId="44EAD311">
      <w:pPr>
        <w:pStyle w:val="56"/>
        <w:ind w:firstLine="420"/>
        <w:rPr>
          <w:rFonts w:hint="eastAsia"/>
          <w:color w:val="auto"/>
          <w:lang w:val="en-US" w:eastAsia="zh-CN"/>
        </w:rPr>
      </w:pPr>
      <w:r>
        <w:rPr>
          <w:rFonts w:hint="eastAsia"/>
          <w:color w:val="auto"/>
          <w:lang w:val="en-US" w:eastAsia="zh-CN"/>
        </w:rPr>
        <w:t>有关县（市、区）河长办开展河湖长制能效提级县建设成效自</w:t>
      </w:r>
      <w:r>
        <w:rPr>
          <w:rFonts w:hint="eastAsia" w:ascii="宋体" w:hAnsi="Times New Roman" w:eastAsia="宋体" w:cs="Times New Roman"/>
          <w:color w:val="auto"/>
          <w:sz w:val="21"/>
          <w:lang w:val="en-US" w:eastAsia="zh-CN" w:bidi="ar-SA"/>
        </w:rPr>
        <w:t>评，并向市河长办或市水行政主管部门提出审核申</w:t>
      </w:r>
      <w:r>
        <w:rPr>
          <w:rFonts w:hint="eastAsia"/>
          <w:color w:val="auto"/>
          <w:lang w:val="en-US" w:eastAsia="zh-CN"/>
        </w:rPr>
        <w:t>请。</w:t>
      </w:r>
    </w:p>
    <w:p w14:paraId="2476267C">
      <w:pPr>
        <w:pStyle w:val="105"/>
        <w:spacing w:before="156" w:after="156"/>
        <w:rPr>
          <w:rFonts w:hint="eastAsia"/>
          <w:color w:val="auto"/>
          <w:lang w:val="en-US" w:eastAsia="zh-CN"/>
        </w:rPr>
      </w:pPr>
      <w:r>
        <w:rPr>
          <w:rFonts w:hint="eastAsia"/>
          <w:color w:val="auto"/>
          <w:lang w:val="en-US" w:eastAsia="zh-CN"/>
        </w:rPr>
        <w:t>市级审核</w:t>
      </w:r>
    </w:p>
    <w:p w14:paraId="6BF3D21E">
      <w:pPr>
        <w:pStyle w:val="56"/>
        <w:ind w:firstLine="420"/>
        <w:rPr>
          <w:rFonts w:hint="eastAsia"/>
          <w:color w:val="auto"/>
          <w:lang w:val="en-US" w:eastAsia="zh-CN"/>
        </w:rPr>
      </w:pPr>
      <w:r>
        <w:rPr>
          <w:rFonts w:hint="eastAsia"/>
          <w:color w:val="auto"/>
          <w:lang w:val="en-US" w:eastAsia="zh-CN"/>
        </w:rPr>
        <w:t>有关市河长办于每年11月底前完成审核，并将审核情况报省河长办。</w:t>
      </w:r>
    </w:p>
    <w:p w14:paraId="1D7721D8">
      <w:pPr>
        <w:pStyle w:val="105"/>
        <w:spacing w:before="156" w:after="156"/>
        <w:rPr>
          <w:rFonts w:hint="eastAsia"/>
          <w:color w:val="auto"/>
          <w:lang w:val="en-US" w:eastAsia="zh-CN"/>
        </w:rPr>
      </w:pPr>
      <w:r>
        <w:rPr>
          <w:rFonts w:hint="eastAsia"/>
          <w:color w:val="auto"/>
          <w:lang w:val="en-US" w:eastAsia="zh-CN"/>
        </w:rPr>
        <w:t>省级复核</w:t>
      </w:r>
    </w:p>
    <w:p w14:paraId="3E44CFB6">
      <w:pPr>
        <w:pStyle w:val="65"/>
        <w:spacing w:before="156" w:after="1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内业复核。省河长办对市河长办或市水行政主管部门上报的审核结果组织内业复核。内业复核存疑的，有关市要在接到通知后5个工作日内答疑。</w:t>
      </w:r>
    </w:p>
    <w:p w14:paraId="47FA3423">
      <w:pPr>
        <w:pStyle w:val="65"/>
        <w:spacing w:before="156" w:after="1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现场核查。省河长办组织复核评估组通过现场查看、查阅资料、座谈交流、满意度调查等方式，对评估指标赋分及总得分现场核查。</w:t>
      </w:r>
      <w:r>
        <w:rPr>
          <w:rFonts w:hint="eastAsia" w:ascii="宋体" w:eastAsia="宋体" w:cs="Times New Roman"/>
          <w:color w:val="auto"/>
          <w:sz w:val="21"/>
          <w:lang w:val="en-US" w:eastAsia="zh-CN" w:bidi="ar-SA"/>
        </w:rPr>
        <w:t>对于部分重点指标，可以采用以下方式核查：</w:t>
      </w:r>
    </w:p>
    <w:p w14:paraId="7F0710A9">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——对于河湖现状水质情况，可采取现场取样抽查；</w:t>
      </w:r>
    </w:p>
    <w:p w14:paraId="120AD041">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——对于群众满意度指标，可采取现场抽样调查测评；</w:t>
      </w:r>
    </w:p>
    <w:p w14:paraId="31618192">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——对于是否存在乱占、乱采、乱堆、乱建、乱排及违反禁渔规定等涉河湖问题，可采取卫片、无人机航拍等多种手段核查</w:t>
      </w:r>
      <w:r>
        <w:rPr>
          <w:rFonts w:hint="eastAsia" w:cs="Times New Roman"/>
          <w:color w:val="auto"/>
          <w:kern w:val="0"/>
          <w:sz w:val="21"/>
          <w:szCs w:val="20"/>
          <w:lang w:val="en-US" w:eastAsia="zh-CN" w:bidi="ar-SA"/>
        </w:rPr>
        <w:t>；</w:t>
      </w:r>
    </w:p>
    <w:p w14:paraId="63B495F8">
      <w:pPr>
        <w:pStyle w:val="56"/>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w:t>
      </w:r>
      <w:r>
        <w:rPr>
          <w:rFonts w:hint="eastAsia" w:cs="Times New Roman"/>
          <w:color w:val="auto"/>
          <w:kern w:val="0"/>
          <w:sz w:val="21"/>
          <w:szCs w:val="20"/>
          <w:lang w:val="en-US" w:eastAsia="zh-CN" w:bidi="ar-SA"/>
        </w:rPr>
        <w:t>对于建设工作方案，核查编制质量和主要任务措施完成情况，编制提纲见附录C</w:t>
      </w:r>
      <w:r>
        <w:rPr>
          <w:rFonts w:hint="eastAsia" w:ascii="宋体" w:hAnsi="Times New Roman" w:eastAsia="宋体" w:cs="Times New Roman"/>
          <w:color w:val="auto"/>
          <w:kern w:val="0"/>
          <w:sz w:val="21"/>
          <w:szCs w:val="20"/>
          <w:lang w:val="en-US" w:eastAsia="zh-CN" w:bidi="ar-SA"/>
        </w:rPr>
        <w:t>。</w:t>
      </w:r>
    </w:p>
    <w:p w14:paraId="7A39AA56">
      <w:pPr>
        <w:pStyle w:val="105"/>
        <w:spacing w:before="156" w:after="156"/>
        <w:rPr>
          <w:rFonts w:hint="eastAsia"/>
          <w:color w:val="auto"/>
          <w:lang w:val="en-US" w:eastAsia="zh-CN"/>
        </w:rPr>
      </w:pPr>
      <w:r>
        <w:rPr>
          <w:rFonts w:hint="eastAsia"/>
          <w:color w:val="auto"/>
          <w:lang w:val="en-US" w:eastAsia="zh-CN"/>
        </w:rPr>
        <w:t>形成评估结果</w:t>
      </w:r>
    </w:p>
    <w:p w14:paraId="573AA6B3">
      <w:pPr>
        <w:pStyle w:val="56"/>
        <w:ind w:firstLine="420"/>
        <w:rPr>
          <w:rFonts w:hint="default"/>
          <w:color w:val="auto"/>
          <w:lang w:val="en-US" w:eastAsia="zh-CN"/>
        </w:rPr>
      </w:pPr>
      <w:r>
        <w:rPr>
          <w:rFonts w:hint="eastAsia"/>
          <w:color w:val="auto"/>
          <w:lang w:val="en-US" w:eastAsia="zh-CN"/>
        </w:rPr>
        <w:t>经省河长办复核，得分85分以上的，通过成效评估。经公示无异议的，按程序报批后，省河长办认定为河湖长制能效提级县，在全省范围内推广典型经验做法。</w:t>
      </w:r>
    </w:p>
    <w:p w14:paraId="3545C4AB">
      <w:pPr>
        <w:pStyle w:val="104"/>
        <w:spacing w:before="312" w:after="312"/>
        <w:rPr>
          <w:rFonts w:cs="宋体"/>
          <w:b/>
          <w:color w:val="auto"/>
        </w:rPr>
      </w:pPr>
      <w:r>
        <w:rPr>
          <w:rFonts w:hint="eastAsia"/>
          <w:color w:val="auto"/>
          <w:lang w:val="zh-CN"/>
        </w:rPr>
        <w:t>评估报告编制</w:t>
      </w:r>
    </w:p>
    <w:p w14:paraId="25F23162">
      <w:pPr>
        <w:pStyle w:val="105"/>
        <w:spacing w:before="156" w:after="156"/>
        <w:rPr>
          <w:rFonts w:hint="eastAsia"/>
          <w:color w:val="auto"/>
          <w:lang w:val="en-US" w:eastAsia="zh-CN"/>
        </w:rPr>
      </w:pPr>
      <w:r>
        <w:rPr>
          <w:rFonts w:hint="eastAsia"/>
          <w:color w:val="auto"/>
          <w:lang w:val="en-US" w:eastAsia="zh-CN"/>
        </w:rPr>
        <w:t>撰写要求</w:t>
      </w:r>
    </w:p>
    <w:p w14:paraId="3373942A">
      <w:pPr>
        <w:pStyle w:val="56"/>
        <w:ind w:firstLine="420"/>
        <w:rPr>
          <w:rFonts w:hint="eastAsia"/>
          <w:color w:val="auto"/>
          <w:lang w:val="en-US" w:eastAsia="zh-CN"/>
        </w:rPr>
      </w:pPr>
      <w:r>
        <w:rPr>
          <w:rFonts w:hint="eastAsia"/>
          <w:color w:val="auto"/>
          <w:lang w:val="en-US" w:eastAsia="zh-CN"/>
        </w:rPr>
        <w:t>河湖长制能效提级县建设成效评估报告撰写应包括以下内容，提纲见附录D：</w:t>
      </w:r>
    </w:p>
    <w:p w14:paraId="4E48EEE9">
      <w:pPr>
        <w:pStyle w:val="56"/>
        <w:ind w:firstLine="420"/>
        <w:rPr>
          <w:rFonts w:hint="eastAsia"/>
          <w:color w:val="auto"/>
          <w:lang w:val="en-US" w:eastAsia="zh-CN"/>
        </w:rPr>
      </w:pPr>
      <w:r>
        <w:rPr>
          <w:rFonts w:hint="eastAsia"/>
          <w:color w:val="auto"/>
          <w:lang w:val="en-US" w:eastAsia="zh-CN"/>
        </w:rPr>
        <w:t>——县域基本情况。包括县域河湖水系、水安全、水资源、水环境、水生态、水文化、水管理等基本情况；</w:t>
      </w:r>
    </w:p>
    <w:p w14:paraId="0CB18ECC">
      <w:pPr>
        <w:pStyle w:val="56"/>
        <w:ind w:firstLine="420"/>
        <w:rPr>
          <w:rFonts w:hint="eastAsia"/>
          <w:color w:val="auto"/>
          <w:lang w:val="en-US" w:eastAsia="zh-CN"/>
        </w:rPr>
      </w:pPr>
      <w:r>
        <w:rPr>
          <w:rFonts w:hint="eastAsia"/>
          <w:color w:val="auto"/>
          <w:lang w:val="en-US" w:eastAsia="zh-CN"/>
        </w:rPr>
        <w:t>——能效提级县建设情况。包括部署落实情况、工作方案制定及完成情况等；</w:t>
      </w:r>
    </w:p>
    <w:p w14:paraId="75A5DECB">
      <w:pPr>
        <w:pStyle w:val="56"/>
        <w:ind w:firstLine="420"/>
        <w:rPr>
          <w:rFonts w:hint="eastAsia"/>
          <w:color w:val="auto"/>
          <w:lang w:val="en-US" w:eastAsia="zh-CN"/>
        </w:rPr>
      </w:pPr>
      <w:r>
        <w:rPr>
          <w:rFonts w:hint="eastAsia"/>
          <w:color w:val="auto"/>
          <w:lang w:val="en-US" w:eastAsia="zh-CN"/>
        </w:rPr>
        <w:t>——评估前提条件满足情况。对照河湖长制能效提级县成效评估前提条件，逐条说明是否满足；</w:t>
      </w:r>
    </w:p>
    <w:p w14:paraId="7DA2F92C">
      <w:pPr>
        <w:pStyle w:val="56"/>
        <w:ind w:firstLine="420"/>
        <w:rPr>
          <w:rFonts w:hint="eastAsia"/>
          <w:color w:val="auto"/>
          <w:lang w:val="en-US" w:eastAsia="zh-CN"/>
        </w:rPr>
      </w:pPr>
      <w:r>
        <w:rPr>
          <w:rFonts w:hint="eastAsia"/>
          <w:color w:val="auto"/>
          <w:lang w:val="en-US" w:eastAsia="zh-CN"/>
        </w:rPr>
        <w:t>——评估指标完成情况。按照规定的评价方法与标准，逐一说明各指标的计算过程与赋分结果，计算最终得分，提出评价结果；</w:t>
      </w:r>
    </w:p>
    <w:p w14:paraId="588D55F8">
      <w:pPr>
        <w:pStyle w:val="56"/>
        <w:ind w:firstLine="420"/>
        <w:rPr>
          <w:rFonts w:hint="eastAsia"/>
          <w:color w:val="auto"/>
          <w:lang w:val="en-US" w:eastAsia="zh-CN"/>
        </w:rPr>
      </w:pPr>
      <w:r>
        <w:rPr>
          <w:rFonts w:hint="eastAsia"/>
          <w:color w:val="auto"/>
          <w:lang w:val="en-US" w:eastAsia="zh-CN"/>
        </w:rPr>
        <w:t>——任务措施完成情况。逐条说明能效提级建设实施方案中各项任务措施的推进完成情况；</w:t>
      </w:r>
    </w:p>
    <w:p w14:paraId="138A908D">
      <w:pPr>
        <w:pStyle w:val="56"/>
        <w:ind w:firstLine="420"/>
        <w:rPr>
          <w:rFonts w:hint="eastAsia"/>
          <w:color w:val="auto"/>
          <w:lang w:val="en-US" w:eastAsia="zh-CN"/>
        </w:rPr>
      </w:pPr>
      <w:r>
        <w:rPr>
          <w:rFonts w:hint="eastAsia"/>
          <w:color w:val="auto"/>
          <w:lang w:val="en-US" w:eastAsia="zh-CN"/>
        </w:rPr>
        <w:t>——经验做法总结。总结河湖长制能效提级县建设成效与特色，突出可复制、可推广的好做法、好经验。</w:t>
      </w:r>
    </w:p>
    <w:p w14:paraId="6049E7B6">
      <w:pPr>
        <w:pStyle w:val="105"/>
        <w:spacing w:before="156" w:after="156"/>
        <w:rPr>
          <w:rFonts w:hint="eastAsia"/>
          <w:color w:val="auto"/>
          <w:lang w:val="en-US" w:eastAsia="zh-CN"/>
        </w:rPr>
      </w:pPr>
      <w:r>
        <w:rPr>
          <w:rFonts w:hint="eastAsia"/>
          <w:color w:val="auto"/>
          <w:lang w:val="en-US" w:eastAsia="zh-CN"/>
        </w:rPr>
        <w:t>附件及图、表要求</w:t>
      </w:r>
    </w:p>
    <w:p w14:paraId="4B2A2437">
      <w:pPr>
        <w:pStyle w:val="65"/>
        <w:spacing w:before="156" w:after="1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 xml:space="preserve">应提供以下支撑或证明材料： </w:t>
      </w:r>
    </w:p>
    <w:p w14:paraId="3C1E5040">
      <w:pPr>
        <w:pStyle w:val="56"/>
        <w:ind w:firstLine="420"/>
        <w:rPr>
          <w:rFonts w:hint="eastAsia"/>
          <w:color w:val="auto"/>
          <w:lang w:val="en-US" w:eastAsia="zh-CN"/>
        </w:rPr>
      </w:pPr>
      <w:r>
        <w:rPr>
          <w:rFonts w:hint="eastAsia"/>
          <w:color w:val="auto"/>
          <w:lang w:val="en-US" w:eastAsia="zh-CN"/>
        </w:rPr>
        <w:t>——调查评估照片；</w:t>
      </w:r>
    </w:p>
    <w:p w14:paraId="3E567BFA">
      <w:pPr>
        <w:pStyle w:val="56"/>
        <w:ind w:firstLine="420"/>
        <w:rPr>
          <w:rFonts w:hint="eastAsia"/>
          <w:color w:val="auto"/>
          <w:lang w:val="en-US" w:eastAsia="zh-CN"/>
        </w:rPr>
      </w:pPr>
      <w:r>
        <w:rPr>
          <w:rFonts w:hint="eastAsia"/>
          <w:color w:val="auto"/>
          <w:lang w:val="en-US" w:eastAsia="zh-CN"/>
        </w:rPr>
        <w:t>——能效提级县建设前后对比照片；</w:t>
      </w:r>
    </w:p>
    <w:p w14:paraId="016F9389">
      <w:pPr>
        <w:pStyle w:val="56"/>
        <w:ind w:firstLine="420"/>
        <w:rPr>
          <w:rFonts w:hint="eastAsia"/>
          <w:color w:val="auto"/>
          <w:lang w:val="en-US" w:eastAsia="zh-CN"/>
        </w:rPr>
      </w:pPr>
      <w:r>
        <w:rPr>
          <w:rFonts w:hint="eastAsia"/>
          <w:color w:val="auto"/>
          <w:lang w:val="en-US" w:eastAsia="zh-CN"/>
        </w:rPr>
        <w:t xml:space="preserve">——其他支撑或证明材料，包括但不限于评估过程中使用的全部资料。 </w:t>
      </w:r>
    </w:p>
    <w:p w14:paraId="3DD2B793">
      <w:pPr>
        <w:pStyle w:val="65"/>
        <w:spacing w:before="156" w:after="156"/>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 xml:space="preserve">应附以下部分或全部专题图： </w:t>
      </w:r>
    </w:p>
    <w:p w14:paraId="5A71FE00">
      <w:pPr>
        <w:pStyle w:val="56"/>
        <w:ind w:firstLine="420"/>
        <w:rPr>
          <w:rFonts w:hint="eastAsia"/>
          <w:color w:val="auto"/>
          <w:lang w:val="en-US" w:eastAsia="zh-CN"/>
        </w:rPr>
      </w:pPr>
      <w:r>
        <w:rPr>
          <w:rFonts w:hint="eastAsia"/>
          <w:color w:val="auto"/>
          <w:lang w:val="en-US" w:eastAsia="zh-CN"/>
        </w:rPr>
        <w:t xml:space="preserve">——行政区划、河流水系、水文化遗产、水文化展示、亲水设施分布等图件； </w:t>
      </w:r>
    </w:p>
    <w:p w14:paraId="0C5170A6">
      <w:pPr>
        <w:pStyle w:val="56"/>
        <w:ind w:firstLine="420"/>
        <w:rPr>
          <w:rFonts w:hint="eastAsia"/>
          <w:color w:val="auto"/>
          <w:lang w:val="en-US" w:eastAsia="zh-CN"/>
        </w:rPr>
      </w:pPr>
      <w:r>
        <w:rPr>
          <w:rFonts w:hint="eastAsia"/>
          <w:color w:val="auto"/>
          <w:lang w:val="en-US" w:eastAsia="zh-CN"/>
        </w:rPr>
        <w:t>——水生态与水环境监测点位、监测断面及样方分布图；</w:t>
      </w:r>
    </w:p>
    <w:p w14:paraId="2B56BA2A">
      <w:pPr>
        <w:pStyle w:val="56"/>
        <w:ind w:firstLine="420"/>
        <w:rPr>
          <w:rFonts w:hint="eastAsia"/>
          <w:color w:val="auto"/>
          <w:lang w:val="en-US" w:eastAsia="zh-CN"/>
        </w:rPr>
      </w:pPr>
      <w:r>
        <w:rPr>
          <w:rFonts w:hint="eastAsia"/>
          <w:color w:val="auto"/>
          <w:lang w:val="en-US" w:eastAsia="zh-CN"/>
        </w:rPr>
        <w:t>——视频监控分布图等。</w:t>
      </w:r>
    </w:p>
    <w:p w14:paraId="434769BA">
      <w:pPr>
        <w:pStyle w:val="65"/>
        <w:spacing w:before="156" w:after="156"/>
      </w:pPr>
      <w:r>
        <w:rPr>
          <w:rFonts w:hint="eastAsia" w:ascii="宋体" w:hAnsi="Times New Roman" w:eastAsia="宋体" w:cs="Times New Roman"/>
          <w:color w:val="auto"/>
          <w:sz w:val="21"/>
          <w:lang w:val="en-US" w:eastAsia="zh-CN" w:bidi="ar-SA"/>
        </w:rPr>
        <w:t>应</w:t>
      </w:r>
      <w:r>
        <w:rPr>
          <w:rFonts w:hint="eastAsia" w:ascii="宋体" w:eastAsia="宋体" w:cs="Times New Roman"/>
          <w:color w:val="auto"/>
          <w:sz w:val="21"/>
          <w:lang w:val="en-US" w:eastAsia="zh-CN" w:bidi="ar-SA"/>
        </w:rPr>
        <w:t>提供能效提级县建设视频片。</w:t>
      </w:r>
    </w:p>
    <w:p w14:paraId="5F07DFC1">
      <w:pPr>
        <w:pStyle w:val="56"/>
        <w:ind w:firstLine="420"/>
      </w:pPr>
    </w:p>
    <w:p w14:paraId="1F3BF2EB">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3"/>
    <w:p w14:paraId="53B6EF01">
      <w:pPr>
        <w:pStyle w:val="198"/>
        <w:numPr>
          <w:ilvl w:val="0"/>
          <w:numId w:val="0"/>
        </w:numPr>
        <w:ind w:left="420" w:leftChars="0"/>
        <w:jc w:val="both"/>
      </w:pPr>
      <w:bookmarkStart w:id="55" w:name="BookMark5"/>
    </w:p>
    <w:p w14:paraId="5EE508A1">
      <w:pPr>
        <w:pStyle w:val="76"/>
        <w:shd w:val="clear" w:color="FFFFFF" w:fill="FFFFFF"/>
        <w:spacing w:after="156"/>
        <w:rPr>
          <w:color w:val="auto"/>
        </w:rPr>
      </w:pPr>
      <w:r>
        <w:rPr>
          <w:color w:val="auto"/>
        </w:rPr>
        <w:br w:type="textWrapping"/>
      </w:r>
      <w:r>
        <w:rPr>
          <w:rFonts w:hint="eastAsia"/>
          <w:color w:val="auto"/>
        </w:rPr>
        <w:t>（资料性）</w:t>
      </w:r>
      <w:r>
        <w:rPr>
          <w:color w:val="auto"/>
        </w:rPr>
        <w:br w:type="textWrapping"/>
      </w:r>
      <w:r>
        <w:rPr>
          <w:rFonts w:hint="eastAsia"/>
          <w:color w:val="auto"/>
          <w:lang w:eastAsia="zh-CN"/>
        </w:rPr>
        <w:t>群众满意度调查表样</w:t>
      </w:r>
    </w:p>
    <w:p w14:paraId="66E5AFB4">
      <w:pPr>
        <w:pStyle w:val="165"/>
        <w:numPr>
          <w:ilvl w:val="3"/>
          <w:numId w:val="0"/>
        </w:numPr>
        <w:ind w:leftChars="0"/>
        <w:jc w:val="center"/>
        <w:rPr>
          <w:rFonts w:hint="eastAsia" w:ascii="黑体" w:hAnsi="黑体" w:eastAsia="黑体" w:cs="黑体"/>
          <w:b w:val="0"/>
          <w:bCs w:val="0"/>
          <w:color w:val="auto"/>
          <w:lang w:val="en-US" w:eastAsia="zh-CN"/>
        </w:rPr>
      </w:pPr>
      <w:r>
        <w:rPr>
          <w:rFonts w:hint="eastAsia" w:ascii="黑体" w:hAnsi="黑体" w:eastAsia="黑体" w:cs="黑体"/>
          <w:b w:val="0"/>
          <w:bCs w:val="0"/>
          <w:color w:val="auto"/>
          <w:lang w:val="en-US" w:eastAsia="zh-CN"/>
        </w:rPr>
        <w:t>表A.1  群众满意度调查表</w:t>
      </w:r>
    </w:p>
    <w:p w14:paraId="1393CC96">
      <w:pPr>
        <w:bidi w:val="0"/>
        <w:rPr>
          <w:rFonts w:hint="eastAsia" w:ascii="宋体" w:hAnsi="宋体" w:cs="宋体"/>
          <w:color w:val="auto"/>
          <w:spacing w:val="0"/>
          <w:sz w:val="21"/>
          <w:szCs w:val="21"/>
          <w:highlight w:val="none"/>
          <w:vertAlign w:val="baseline"/>
          <w:lang w:val="en-US" w:eastAsia="zh-CN"/>
        </w:rPr>
      </w:pPr>
      <w:r>
        <w:rPr>
          <w:rFonts w:hint="eastAsia" w:ascii="宋体" w:hAnsi="宋体" w:cs="宋体"/>
          <w:color w:val="auto"/>
          <w:spacing w:val="0"/>
          <w:sz w:val="21"/>
          <w:szCs w:val="21"/>
          <w:highlight w:val="none"/>
          <w:vertAlign w:val="baseline"/>
          <w:lang w:val="en-US" w:eastAsia="zh-CN"/>
        </w:rPr>
        <w:t>【导语】您好，我们是河湖长制“能效”提级县公众满意度调查访问员。请您参与完成以下内容的问卷调查，谢谢您的支持与配合！</w:t>
      </w:r>
    </w:p>
    <w:p w14:paraId="183D8CC2">
      <w:pPr>
        <w:bidi w:val="0"/>
        <w:rPr>
          <w:rFonts w:hint="eastAsia" w:ascii="宋体" w:hAnsi="宋体" w:cs="宋体"/>
          <w:color w:val="auto"/>
          <w:spacing w:val="0"/>
          <w:sz w:val="21"/>
          <w:szCs w:val="21"/>
          <w:highlight w:val="none"/>
          <w:vertAlign w:val="baseline"/>
          <w:lang w:val="en-US" w:eastAsia="zh-CN"/>
        </w:rPr>
      </w:pPr>
      <w:r>
        <w:rPr>
          <w:rFonts w:hint="eastAsia" w:ascii="宋体" w:hAnsi="宋体" w:cs="宋体"/>
          <w:b/>
          <w:bCs/>
          <w:color w:val="auto"/>
          <w:spacing w:val="0"/>
          <w:sz w:val="21"/>
          <w:szCs w:val="21"/>
          <w:highlight w:val="none"/>
          <w:vertAlign w:val="baseline"/>
          <w:lang w:val="en-US" w:eastAsia="zh-CN"/>
        </w:rPr>
        <w:t>性别</w:t>
      </w:r>
      <w:r>
        <w:rPr>
          <w:rFonts w:hint="eastAsia" w:ascii="宋体" w:hAnsi="宋体" w:cs="宋体"/>
          <w:color w:val="auto"/>
          <w:spacing w:val="0"/>
          <w:sz w:val="21"/>
          <w:szCs w:val="21"/>
          <w:highlight w:val="none"/>
          <w:vertAlign w:val="baseline"/>
          <w:lang w:val="en-US" w:eastAsia="zh-CN"/>
        </w:rPr>
        <w:t xml:space="preserve">  </w:t>
      </w:r>
      <w:r>
        <w:rPr>
          <w:rFonts w:hint="eastAsia" w:ascii="宋体" w:hAnsi="宋体" w:cs="宋体"/>
          <w:color w:val="auto"/>
          <w:spacing w:val="0"/>
          <w:sz w:val="21"/>
          <w:szCs w:val="21"/>
          <w:highlight w:val="none"/>
          <w:vertAlign w:val="baseline"/>
          <w:lang w:val="en-US" w:eastAsia="zh-CN"/>
        </w:rPr>
        <w:sym w:font="Wingdings 2" w:char="00A3"/>
      </w:r>
      <w:r>
        <w:rPr>
          <w:rFonts w:hint="eastAsia" w:ascii="宋体" w:hAnsi="宋体" w:cs="宋体"/>
          <w:color w:val="auto"/>
          <w:spacing w:val="0"/>
          <w:sz w:val="21"/>
          <w:szCs w:val="21"/>
          <w:highlight w:val="none"/>
          <w:vertAlign w:val="baseline"/>
          <w:lang w:val="en-US" w:eastAsia="zh-CN"/>
        </w:rPr>
        <w:t xml:space="preserve">男 </w:t>
      </w:r>
      <w:r>
        <w:rPr>
          <w:rFonts w:hint="eastAsia" w:ascii="宋体" w:hAnsi="宋体" w:cs="宋体"/>
          <w:color w:val="auto"/>
          <w:spacing w:val="0"/>
          <w:sz w:val="21"/>
          <w:szCs w:val="21"/>
          <w:highlight w:val="none"/>
          <w:vertAlign w:val="baseline"/>
          <w:lang w:val="en-US" w:eastAsia="zh-CN"/>
        </w:rPr>
        <w:sym w:font="Wingdings 2" w:char="00A3"/>
      </w:r>
      <w:r>
        <w:rPr>
          <w:rFonts w:hint="eastAsia" w:ascii="宋体" w:hAnsi="宋体" w:cs="宋体"/>
          <w:color w:val="auto"/>
          <w:spacing w:val="0"/>
          <w:sz w:val="21"/>
          <w:szCs w:val="21"/>
          <w:highlight w:val="none"/>
          <w:vertAlign w:val="baseline"/>
          <w:lang w:val="en-US" w:eastAsia="zh-CN"/>
        </w:rPr>
        <w:t xml:space="preserve">女               </w:t>
      </w:r>
      <w:r>
        <w:rPr>
          <w:rFonts w:hint="eastAsia" w:ascii="宋体" w:hAnsi="宋体" w:cs="宋体"/>
          <w:b/>
          <w:bCs/>
          <w:color w:val="auto"/>
          <w:spacing w:val="0"/>
          <w:sz w:val="21"/>
          <w:szCs w:val="21"/>
          <w:highlight w:val="none"/>
          <w:vertAlign w:val="baseline"/>
          <w:lang w:val="en-US" w:eastAsia="zh-CN"/>
        </w:rPr>
        <w:t>职业</w:t>
      </w:r>
      <w:r>
        <w:rPr>
          <w:rFonts w:hint="eastAsia" w:ascii="宋体" w:hAnsi="宋体" w:cs="宋体"/>
          <w:color w:val="auto"/>
          <w:spacing w:val="0"/>
          <w:sz w:val="21"/>
          <w:szCs w:val="21"/>
          <w:highlight w:val="none"/>
          <w:vertAlign w:val="baseline"/>
          <w:lang w:val="en-US" w:eastAsia="zh-CN"/>
        </w:rPr>
        <w:t xml:space="preserve">  </w:t>
      </w:r>
      <w:r>
        <w:rPr>
          <w:rFonts w:hint="eastAsia" w:ascii="宋体" w:hAnsi="宋体" w:cs="宋体"/>
          <w:color w:val="auto"/>
          <w:spacing w:val="0"/>
          <w:sz w:val="21"/>
          <w:szCs w:val="21"/>
          <w:highlight w:val="none"/>
          <w:vertAlign w:val="baseline"/>
          <w:lang w:val="en-US" w:eastAsia="zh-CN"/>
        </w:rPr>
        <w:sym w:font="Wingdings 2" w:char="00A3"/>
      </w:r>
      <w:r>
        <w:rPr>
          <w:rFonts w:hint="eastAsia" w:ascii="宋体" w:hAnsi="宋体" w:cs="宋体"/>
          <w:color w:val="auto"/>
          <w:spacing w:val="0"/>
          <w:sz w:val="21"/>
          <w:szCs w:val="21"/>
          <w:highlight w:val="none"/>
          <w:vertAlign w:val="baseline"/>
          <w:lang w:val="en-US" w:eastAsia="zh-CN"/>
        </w:rPr>
        <w:t xml:space="preserve">政府部门 </w:t>
      </w:r>
      <w:r>
        <w:rPr>
          <w:rFonts w:hint="eastAsia" w:ascii="宋体" w:hAnsi="宋体" w:cs="宋体"/>
          <w:color w:val="auto"/>
          <w:spacing w:val="0"/>
          <w:sz w:val="21"/>
          <w:szCs w:val="21"/>
          <w:highlight w:val="none"/>
          <w:vertAlign w:val="baseline"/>
          <w:lang w:val="en-US" w:eastAsia="zh-CN"/>
        </w:rPr>
        <w:sym w:font="Wingdings 2" w:char="00A3"/>
      </w:r>
      <w:r>
        <w:rPr>
          <w:rFonts w:hint="eastAsia" w:ascii="宋体" w:hAnsi="宋体" w:cs="宋体"/>
          <w:color w:val="auto"/>
          <w:spacing w:val="0"/>
          <w:sz w:val="21"/>
          <w:szCs w:val="21"/>
          <w:highlight w:val="none"/>
          <w:vertAlign w:val="baseline"/>
          <w:lang w:val="en-US" w:eastAsia="zh-CN"/>
        </w:rPr>
        <w:t xml:space="preserve">企事业单位 </w:t>
      </w:r>
      <w:r>
        <w:rPr>
          <w:rFonts w:hint="eastAsia" w:ascii="宋体" w:hAnsi="宋体" w:cs="宋体"/>
          <w:color w:val="auto"/>
          <w:spacing w:val="0"/>
          <w:sz w:val="21"/>
          <w:szCs w:val="21"/>
          <w:highlight w:val="none"/>
          <w:vertAlign w:val="baseline"/>
          <w:lang w:val="en-US" w:eastAsia="zh-CN"/>
        </w:rPr>
        <w:sym w:font="Wingdings 2" w:char="00A3"/>
      </w:r>
      <w:r>
        <w:rPr>
          <w:rFonts w:hint="eastAsia" w:ascii="宋体" w:hAnsi="宋体" w:cs="宋体"/>
          <w:color w:val="auto"/>
          <w:spacing w:val="0"/>
          <w:sz w:val="21"/>
          <w:szCs w:val="21"/>
          <w:highlight w:val="none"/>
          <w:vertAlign w:val="baseline"/>
          <w:lang w:val="en-US" w:eastAsia="zh-CN"/>
        </w:rPr>
        <w:t xml:space="preserve">个体户 </w:t>
      </w:r>
      <w:r>
        <w:rPr>
          <w:rFonts w:hint="eastAsia" w:ascii="宋体" w:hAnsi="宋体" w:cs="宋体"/>
          <w:color w:val="auto"/>
          <w:spacing w:val="0"/>
          <w:sz w:val="21"/>
          <w:szCs w:val="21"/>
          <w:highlight w:val="none"/>
          <w:vertAlign w:val="baseline"/>
          <w:lang w:val="en-US" w:eastAsia="zh-CN"/>
        </w:rPr>
        <w:sym w:font="Wingdings 2" w:char="00A3"/>
      </w:r>
      <w:r>
        <w:rPr>
          <w:rFonts w:hint="eastAsia" w:ascii="宋体" w:hAnsi="宋体" w:cs="宋体"/>
          <w:color w:val="auto"/>
          <w:spacing w:val="0"/>
          <w:sz w:val="21"/>
          <w:szCs w:val="21"/>
          <w:highlight w:val="none"/>
          <w:vertAlign w:val="baseline"/>
          <w:lang w:val="en-US" w:eastAsia="zh-CN"/>
        </w:rPr>
        <w:t xml:space="preserve">务农 </w:t>
      </w:r>
      <w:r>
        <w:rPr>
          <w:rFonts w:hint="eastAsia" w:ascii="宋体" w:hAnsi="宋体" w:cs="宋体"/>
          <w:color w:val="auto"/>
          <w:spacing w:val="0"/>
          <w:sz w:val="21"/>
          <w:szCs w:val="21"/>
          <w:highlight w:val="none"/>
          <w:vertAlign w:val="baseline"/>
          <w:lang w:val="en-US" w:eastAsia="zh-CN"/>
        </w:rPr>
        <w:sym w:font="Wingdings 2" w:char="00A3"/>
      </w:r>
      <w:r>
        <w:rPr>
          <w:rFonts w:hint="eastAsia" w:ascii="宋体" w:hAnsi="宋体" w:cs="宋体"/>
          <w:color w:val="auto"/>
          <w:spacing w:val="0"/>
          <w:sz w:val="21"/>
          <w:szCs w:val="21"/>
          <w:highlight w:val="none"/>
          <w:vertAlign w:val="baseline"/>
          <w:lang w:val="en-US" w:eastAsia="zh-CN"/>
        </w:rPr>
        <w:t xml:space="preserve">学生 </w:t>
      </w:r>
      <w:r>
        <w:rPr>
          <w:rFonts w:hint="eastAsia" w:ascii="宋体" w:hAnsi="宋体" w:cs="宋体"/>
          <w:color w:val="auto"/>
          <w:spacing w:val="0"/>
          <w:sz w:val="21"/>
          <w:szCs w:val="21"/>
          <w:highlight w:val="none"/>
          <w:vertAlign w:val="baseline"/>
          <w:lang w:val="en-US" w:eastAsia="zh-CN"/>
        </w:rPr>
        <w:sym w:font="Wingdings 2" w:char="00A3"/>
      </w:r>
      <w:r>
        <w:rPr>
          <w:rFonts w:hint="eastAsia" w:ascii="宋体" w:hAnsi="宋体" w:cs="宋体"/>
          <w:color w:val="auto"/>
          <w:spacing w:val="0"/>
          <w:sz w:val="21"/>
          <w:szCs w:val="21"/>
          <w:highlight w:val="none"/>
          <w:vertAlign w:val="baseline"/>
          <w:lang w:val="en-US" w:eastAsia="zh-CN"/>
        </w:rPr>
        <w:t>其他</w:t>
      </w:r>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8"/>
        <w:gridCol w:w="4513"/>
        <w:gridCol w:w="4538"/>
      </w:tblGrid>
      <w:tr w14:paraId="7608E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D85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23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3785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调查内容</w:t>
            </w:r>
          </w:p>
        </w:tc>
        <w:tc>
          <w:tcPr>
            <w:tcW w:w="237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E8A9C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选项</w:t>
            </w:r>
          </w:p>
        </w:tc>
      </w:tr>
      <w:tr w14:paraId="4791D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D6B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23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F9FCC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您知道河湖长制吗？</w:t>
            </w:r>
          </w:p>
        </w:tc>
        <w:tc>
          <w:tcPr>
            <w:tcW w:w="237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C1561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知道□      知道一点□      不知道□</w:t>
            </w:r>
          </w:p>
        </w:tc>
      </w:tr>
      <w:tr w14:paraId="77E1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AD72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23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126D9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sz w:val="21"/>
                <w:szCs w:val="21"/>
                <w:highlight w:val="none"/>
                <w:u w:val="none"/>
              </w:rPr>
              <w:t>您对周边河湖的整体面貌满意吗？</w:t>
            </w:r>
          </w:p>
        </w:tc>
        <w:tc>
          <w:tcPr>
            <w:tcW w:w="23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56C97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满意□      较满意□      一般□      不满意□</w:t>
            </w:r>
          </w:p>
        </w:tc>
      </w:tr>
      <w:tr w14:paraId="15AFE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D2A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23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5BCA8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您认为近年来河湖面貌改善了吗？</w:t>
            </w:r>
          </w:p>
        </w:tc>
        <w:tc>
          <w:tcPr>
            <w:tcW w:w="23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F448E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明显改善□    部分改善□    没有改善□    变得更差□</w:t>
            </w:r>
          </w:p>
        </w:tc>
      </w:tr>
      <w:tr w14:paraId="341B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5A5D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23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D70B3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您所在区域河湖近年来的变化体现在哪些方面？</w:t>
            </w:r>
          </w:p>
        </w:tc>
        <w:tc>
          <w:tcPr>
            <w:tcW w:w="23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F161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水清了□      没有漂浮物了□      周边环境好了□     水生生物丰富了□      没变化□</w:t>
            </w:r>
          </w:p>
        </w:tc>
      </w:tr>
      <w:tr w14:paraId="06F6A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44EB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23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087F9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您见过或听过河长、巡河员、志愿者等开展巡河护河工作吗？</w:t>
            </w:r>
          </w:p>
        </w:tc>
        <w:tc>
          <w:tcPr>
            <w:tcW w:w="23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1D233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符合□      较符合□      不符合□</w:t>
            </w:r>
          </w:p>
        </w:tc>
      </w:tr>
      <w:tr w14:paraId="5472C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854D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23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46FC0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您所在区域的河湖周边是否还存在乱排污水、乱丢垃圾、乱耕乱种、乱建房屋等情况？</w:t>
            </w:r>
          </w:p>
        </w:tc>
        <w:tc>
          <w:tcPr>
            <w:tcW w:w="23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0F67F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没有□      少量存在□      普遍存在□</w:t>
            </w:r>
          </w:p>
        </w:tc>
      </w:tr>
      <w:tr w14:paraId="4F9F2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C5D3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7</w:t>
            </w:r>
          </w:p>
        </w:tc>
        <w:tc>
          <w:tcPr>
            <w:tcW w:w="23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7FFC4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您知道河湖问题监督渠道吗？</w:t>
            </w:r>
          </w:p>
        </w:tc>
        <w:tc>
          <w:tcPr>
            <w:tcW w:w="23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9C004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知道□      不知道□</w:t>
            </w:r>
          </w:p>
        </w:tc>
      </w:tr>
      <w:tr w14:paraId="5414B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E82C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8</w:t>
            </w:r>
          </w:p>
        </w:tc>
        <w:tc>
          <w:tcPr>
            <w:tcW w:w="23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3A9AF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您所在区域河湖及周边景观绿化变得更优美、更适合娱乐休闲吗？</w:t>
            </w:r>
          </w:p>
        </w:tc>
        <w:tc>
          <w:tcPr>
            <w:tcW w:w="237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37FA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符合□      较符合□      一般□      不符合□</w:t>
            </w:r>
          </w:p>
        </w:tc>
      </w:tr>
      <w:tr w14:paraId="7608C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89FF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w:t>
            </w:r>
          </w:p>
        </w:tc>
        <w:tc>
          <w:tcPr>
            <w:tcW w:w="23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DDAB0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您所在区域河湖周边人流量增加了吗？</w:t>
            </w:r>
          </w:p>
        </w:tc>
        <w:tc>
          <w:tcPr>
            <w:tcW w:w="237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BFB64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增加了□      没变化□      减少了□</w:t>
            </w:r>
          </w:p>
        </w:tc>
      </w:tr>
      <w:tr w14:paraId="7815A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392C9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10</w:t>
            </w:r>
          </w:p>
        </w:tc>
        <w:tc>
          <w:tcPr>
            <w:tcW w:w="23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6F375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您所在区域是否有爱河护水及相关水文化的文明宣传活动？</w:t>
            </w:r>
          </w:p>
        </w:tc>
        <w:tc>
          <w:tcPr>
            <w:tcW w:w="237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8942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符合□      较符合□      一般□      不符合□</w:t>
            </w:r>
          </w:p>
        </w:tc>
      </w:tr>
      <w:tr w14:paraId="521DF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6F37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w:t>
            </w:r>
          </w:p>
        </w:tc>
        <w:tc>
          <w:tcPr>
            <w:tcW w:w="23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689FE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您对河湖长制工作有什么意见和建议？</w:t>
            </w:r>
          </w:p>
        </w:tc>
        <w:tc>
          <w:tcPr>
            <w:tcW w:w="23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BECAA2">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宋体" w:hAnsi="宋体" w:eastAsia="宋体" w:cs="宋体"/>
                <w:i w:val="0"/>
                <w:iCs w:val="0"/>
                <w:color w:val="auto"/>
                <w:kern w:val="2"/>
                <w:sz w:val="21"/>
                <w:szCs w:val="21"/>
                <w:highlight w:val="none"/>
                <w:u w:val="none"/>
                <w:lang w:val="en-US" w:eastAsia="zh-CN" w:bidi="ar-SA"/>
              </w:rPr>
            </w:pPr>
          </w:p>
        </w:tc>
      </w:tr>
    </w:tbl>
    <w:p w14:paraId="38236D96">
      <w:r>
        <w:br w:type="page"/>
      </w:r>
    </w:p>
    <w:p w14:paraId="4FA8AC13">
      <w:pPr>
        <w:pStyle w:val="165"/>
        <w:numPr>
          <w:ilvl w:val="3"/>
          <w:numId w:val="0"/>
        </w:numPr>
        <w:ind w:leftChars="0"/>
        <w:jc w:val="center"/>
        <w:rPr>
          <w:rFonts w:hint="eastAsia" w:ascii="黑体" w:hAnsi="黑体" w:eastAsia="黑体" w:cs="黑体"/>
          <w:b w:val="0"/>
          <w:bCs w:val="0"/>
          <w:color w:val="auto"/>
          <w:lang w:val="en-US" w:eastAsia="zh-CN"/>
        </w:rPr>
      </w:pPr>
      <w:r>
        <w:rPr>
          <w:rFonts w:hint="eastAsia" w:ascii="黑体" w:hAnsi="黑体" w:eastAsia="黑体" w:cs="黑体"/>
          <w:b w:val="0"/>
          <w:bCs w:val="0"/>
          <w:color w:val="auto"/>
          <w:lang w:val="en-US" w:eastAsia="zh-CN"/>
        </w:rPr>
        <w:t>表A.2  群众满意度调查赋分标准</w:t>
      </w:r>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7"/>
        <w:gridCol w:w="3770"/>
        <w:gridCol w:w="504"/>
        <w:gridCol w:w="4829"/>
      </w:tblGrid>
      <w:tr w14:paraId="520E4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03E42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222E7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调查内容</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9750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分值</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3DE7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赋分标准</w:t>
            </w:r>
          </w:p>
        </w:tc>
      </w:tr>
      <w:tr w14:paraId="485C7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B4F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5012B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您知道河湖长制吗？</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566E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76367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勾选“知道”赋10分，“知道一点”赋5分，“不知道”不得分。</w:t>
            </w:r>
          </w:p>
        </w:tc>
      </w:tr>
      <w:tr w14:paraId="1A98E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BD36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2</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D134D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您对周边河湖的整体面貌满意吗？</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04AC3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22F0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勾选“满意”赋10分，“较满意”赋8分，“一般”赋5分，“不满意”不得分。</w:t>
            </w:r>
          </w:p>
        </w:tc>
      </w:tr>
      <w:tr w14:paraId="3629D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8DEE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3</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223B2">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您认为近年来河湖面貌改善了吗？</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B1B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86E05">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勾选“明显改善”赋10分，“部分改善”赋8分，“没有改善”赋5分，“变得更差”不得分。</w:t>
            </w:r>
          </w:p>
        </w:tc>
      </w:tr>
      <w:tr w14:paraId="4ECE5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E58F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4</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DF287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您所在区域河湖近年来的变化体现在哪些方面？</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81A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5EBC2">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勾选“水清了”“没有漂浮物了”“周边环境好了”“水生生物丰富了”任意一项赋10分，“没变化”不得分。</w:t>
            </w:r>
          </w:p>
        </w:tc>
      </w:tr>
      <w:tr w14:paraId="52F55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1EFC5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5</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C3E36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您见过或听过河长、巡河员、志愿者等开展巡河护河工作吗？</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68C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FD3E3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勾选“符合”赋10分，“较符合”赋5分，“不符合”不得分。</w:t>
            </w:r>
          </w:p>
        </w:tc>
      </w:tr>
      <w:tr w14:paraId="048E2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26839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6</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173AB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您所在区域的河湖周边是否还存在乱排污水、乱丢垃圾、乱耕乱种、乱建房屋等情况？</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321E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6AB2D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勾选“没有”赋10分，“少量存在”赋5分，“普遍存在”不得分。</w:t>
            </w:r>
          </w:p>
        </w:tc>
      </w:tr>
      <w:tr w14:paraId="3E660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A27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7</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A2E48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您知道河湖问题监督渠道吗？</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4BD43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9C2A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勾选“知道”赋10分，“不知道”不得分。</w:t>
            </w:r>
          </w:p>
        </w:tc>
      </w:tr>
      <w:tr w14:paraId="7F36B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C2CE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8</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D8075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您所在区域河湖及周边景观绿化变得更优美、更适合娱乐休闲吗？</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1D051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EEEDD">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勾选“符合”赋10分，“较符合”赋8分，“一般”赋5分，“不符合”不得分。</w:t>
            </w:r>
          </w:p>
        </w:tc>
      </w:tr>
      <w:tr w14:paraId="7096C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E112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9</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95B6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您所在区域河湖周边人流量增加了吗？</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AFDE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1AD8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勾选“增加了”赋10分，“没变化”赋5分，“减少了”不得分。</w:t>
            </w:r>
          </w:p>
        </w:tc>
      </w:tr>
      <w:tr w14:paraId="72DC9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A900C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75C51D">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您所在区域是否有爱河护水及相关水文化的文明宣传活动？</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FA4A6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D7D0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勾选“符合”赋10分，“较符合”赋8分，“一般”赋5分，“不符合”不得分。</w:t>
            </w:r>
          </w:p>
        </w:tc>
      </w:tr>
      <w:tr w14:paraId="47C48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FA0C5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w:t>
            </w:r>
          </w:p>
        </w:tc>
        <w:tc>
          <w:tcPr>
            <w:tcW w:w="19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22DE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您对河湖长制工作有什么意见和建议？</w:t>
            </w:r>
          </w:p>
        </w:tc>
        <w:tc>
          <w:tcPr>
            <w:tcW w:w="2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7D8F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bottom"/>
              <w:rPr>
                <w:rFonts w:hint="eastAsia" w:ascii="宋体" w:hAnsi="宋体" w:eastAsia="宋体" w:cs="宋体"/>
                <w:b w:val="0"/>
                <w:bCs w:val="0"/>
                <w:i w:val="0"/>
                <w:iCs w:val="0"/>
                <w:color w:val="auto"/>
                <w:kern w:val="0"/>
                <w:sz w:val="21"/>
                <w:szCs w:val="21"/>
                <w:highlight w:val="none"/>
                <w:u w:val="none"/>
                <w:lang w:val="en-US" w:eastAsia="zh-CN" w:bidi="ar"/>
              </w:rPr>
            </w:pPr>
          </w:p>
        </w:tc>
        <w:tc>
          <w:tcPr>
            <w:tcW w:w="2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317CC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bottom"/>
              <w:rPr>
                <w:rFonts w:hint="eastAsia" w:ascii="宋体" w:hAnsi="宋体" w:eastAsia="宋体" w:cs="宋体"/>
                <w:b w:val="0"/>
                <w:bCs w:val="0"/>
                <w:i w:val="0"/>
                <w:iCs w:val="0"/>
                <w:color w:val="auto"/>
                <w:kern w:val="0"/>
                <w:sz w:val="21"/>
                <w:szCs w:val="21"/>
                <w:highlight w:val="none"/>
                <w:u w:val="none"/>
                <w:lang w:val="en-US" w:eastAsia="zh-CN" w:bidi="ar"/>
              </w:rPr>
            </w:pPr>
          </w:p>
        </w:tc>
      </w:tr>
    </w:tbl>
    <w:p w14:paraId="409CE11C">
      <w:pPr>
        <w:pStyle w:val="56"/>
      </w:pPr>
    </w:p>
    <w:p w14:paraId="62E23DD6">
      <w:r>
        <w:br w:type="page"/>
      </w:r>
    </w:p>
    <w:p w14:paraId="4B246E4D">
      <w:pPr>
        <w:pStyle w:val="76"/>
        <w:shd w:val="clear" w:color="FFFFFF" w:fill="FFFFFF"/>
        <w:spacing w:after="156"/>
      </w:pPr>
      <w:r>
        <w:br w:type="textWrapping"/>
      </w:r>
      <w:r>
        <w:rPr>
          <w:rFonts w:hint="eastAsia"/>
        </w:rPr>
        <w:t>（资料性）</w:t>
      </w:r>
      <w:r>
        <w:br w:type="textWrapping"/>
      </w:r>
      <w:r>
        <w:rPr>
          <w:rFonts w:hint="eastAsia"/>
        </w:rPr>
        <w:t>河湖长制能效提级县赋分表</w:t>
      </w:r>
      <w:r>
        <w:rPr>
          <w:rFonts w:hint="eastAsia"/>
          <w:lang w:eastAsia="zh-CN"/>
        </w:rPr>
        <w:t>样</w:t>
      </w:r>
    </w:p>
    <w:p w14:paraId="76537417">
      <w:pPr>
        <w:pStyle w:val="165"/>
        <w:numPr>
          <w:ilvl w:val="3"/>
          <w:numId w:val="0"/>
        </w:numPr>
        <w:ind w:leftChars="0"/>
        <w:jc w:val="center"/>
        <w:rPr>
          <w:rFonts w:hint="eastAsia" w:ascii="黑体" w:hAnsi="黑体" w:eastAsia="黑体" w:cs="黑体"/>
          <w:b w:val="0"/>
          <w:bCs w:val="0"/>
          <w:color w:val="auto"/>
          <w:lang w:val="en-US" w:eastAsia="zh-CN"/>
        </w:rPr>
      </w:pPr>
      <w:r>
        <w:rPr>
          <w:rFonts w:hint="eastAsia" w:ascii="黑体" w:hAnsi="黑体" w:eastAsia="黑体" w:cs="黑体"/>
          <w:b w:val="0"/>
          <w:bCs w:val="0"/>
          <w:color w:val="auto"/>
          <w:lang w:val="en-US" w:eastAsia="zh-CN"/>
        </w:rPr>
        <w:t>表B.1  河湖长制能效提级县赋分表</w:t>
      </w:r>
    </w:p>
    <w:tbl>
      <w:tblPr>
        <w:tblStyle w:val="27"/>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8"/>
        <w:gridCol w:w="3023"/>
        <w:gridCol w:w="889"/>
        <w:gridCol w:w="4259"/>
      </w:tblGrid>
      <w:tr w14:paraId="60A9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726" w:type="pct"/>
            <w:vAlign w:val="center"/>
          </w:tcPr>
          <w:p w14:paraId="3C9D502D">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宋体" w:hAnsi="Times New Roman" w:eastAsia="宋体" w:cs="Times New Roman"/>
                <w:b/>
                <w:bCs/>
                <w:color w:val="auto"/>
                <w:kern w:val="0"/>
                <w:sz w:val="21"/>
                <w:szCs w:val="20"/>
                <w:lang w:val="en-US" w:eastAsia="zh-CN" w:bidi="ar-SA"/>
              </w:rPr>
            </w:pPr>
            <w:r>
              <w:rPr>
                <w:rFonts w:hint="eastAsia" w:ascii="宋体" w:hAnsi="Times New Roman" w:eastAsia="宋体" w:cs="Times New Roman"/>
                <w:b/>
                <w:bCs/>
                <w:color w:val="auto"/>
                <w:kern w:val="0"/>
                <w:sz w:val="21"/>
                <w:szCs w:val="20"/>
                <w:lang w:val="en-US" w:eastAsia="zh-CN" w:bidi="ar-SA"/>
              </w:rPr>
              <w:t>准则层</w:t>
            </w:r>
          </w:p>
        </w:tc>
        <w:tc>
          <w:tcPr>
            <w:tcW w:w="1581" w:type="pct"/>
            <w:vAlign w:val="center"/>
          </w:tcPr>
          <w:p w14:paraId="776624A0">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宋体" w:hAnsi="Times New Roman" w:eastAsia="宋体" w:cs="Times New Roman"/>
                <w:b/>
                <w:bCs/>
                <w:color w:val="auto"/>
                <w:kern w:val="0"/>
                <w:sz w:val="21"/>
                <w:szCs w:val="20"/>
                <w:lang w:val="en-US" w:eastAsia="zh-CN" w:bidi="ar-SA"/>
              </w:rPr>
            </w:pPr>
            <w:r>
              <w:rPr>
                <w:rFonts w:hint="eastAsia" w:ascii="宋体" w:hAnsi="Times New Roman" w:eastAsia="宋体" w:cs="Times New Roman"/>
                <w:b/>
                <w:bCs/>
                <w:color w:val="auto"/>
                <w:kern w:val="0"/>
                <w:sz w:val="21"/>
                <w:szCs w:val="20"/>
                <w:lang w:val="en-US" w:eastAsia="zh-CN" w:bidi="ar-SA"/>
              </w:rPr>
              <w:t>指标层</w:t>
            </w:r>
          </w:p>
        </w:tc>
        <w:tc>
          <w:tcPr>
            <w:tcW w:w="465" w:type="pct"/>
            <w:vAlign w:val="center"/>
          </w:tcPr>
          <w:p w14:paraId="629367EC">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宋体" w:hAnsi="Times New Roman" w:cs="Times New Roman"/>
                <w:b/>
                <w:bCs/>
                <w:color w:val="auto"/>
                <w:kern w:val="0"/>
                <w:sz w:val="21"/>
                <w:szCs w:val="20"/>
                <w:lang w:val="en-US" w:eastAsia="zh-CN" w:bidi="ar-SA"/>
              </w:rPr>
            </w:pPr>
            <w:r>
              <w:rPr>
                <w:rFonts w:hint="eastAsia" w:ascii="宋体" w:hAnsi="Times New Roman" w:cs="Times New Roman"/>
                <w:b/>
                <w:bCs/>
                <w:color w:val="auto"/>
                <w:kern w:val="0"/>
                <w:sz w:val="21"/>
                <w:szCs w:val="20"/>
                <w:lang w:val="en-US" w:eastAsia="zh-CN" w:bidi="ar-SA"/>
              </w:rPr>
              <w:t>得分</w:t>
            </w:r>
          </w:p>
        </w:tc>
        <w:tc>
          <w:tcPr>
            <w:tcW w:w="2227" w:type="pct"/>
            <w:vAlign w:val="center"/>
          </w:tcPr>
          <w:p w14:paraId="3A2F6DA8">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宋体" w:hAnsi="Times New Roman" w:cs="Times New Roman"/>
                <w:b/>
                <w:bCs/>
                <w:color w:val="auto"/>
                <w:kern w:val="0"/>
                <w:sz w:val="21"/>
                <w:szCs w:val="20"/>
                <w:lang w:val="en-US" w:eastAsia="zh-CN" w:bidi="ar-SA"/>
              </w:rPr>
            </w:pPr>
            <w:r>
              <w:rPr>
                <w:rFonts w:hint="eastAsia" w:ascii="宋体" w:hAnsi="Times New Roman" w:cs="Times New Roman"/>
                <w:b/>
                <w:bCs/>
                <w:color w:val="auto"/>
                <w:kern w:val="0"/>
                <w:sz w:val="21"/>
                <w:szCs w:val="20"/>
                <w:lang w:val="en-US" w:eastAsia="zh-CN" w:bidi="ar-SA"/>
              </w:rPr>
              <w:t>扣分说明</w:t>
            </w:r>
          </w:p>
        </w:tc>
      </w:tr>
      <w:tr w14:paraId="08F3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restart"/>
            <w:vAlign w:val="center"/>
          </w:tcPr>
          <w:p w14:paraId="182CA368">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全面强化河湖管护机制</w:t>
            </w:r>
          </w:p>
        </w:tc>
        <w:tc>
          <w:tcPr>
            <w:tcW w:w="1581" w:type="pct"/>
            <w:vAlign w:val="center"/>
          </w:tcPr>
          <w:p w14:paraId="3CE8D1A1">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河湖管护体系建设</w:t>
            </w:r>
          </w:p>
          <w:p w14:paraId="7C4B8014">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（10分）</w:t>
            </w:r>
          </w:p>
        </w:tc>
        <w:tc>
          <w:tcPr>
            <w:tcW w:w="465" w:type="pct"/>
            <w:vAlign w:val="center"/>
          </w:tcPr>
          <w:p w14:paraId="0295CA79">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b/>
                <w:bCs/>
                <w:color w:val="auto"/>
                <w:kern w:val="0"/>
                <w:sz w:val="21"/>
                <w:szCs w:val="20"/>
                <w:lang w:val="en-US" w:eastAsia="zh-CN" w:bidi="ar-SA"/>
              </w:rPr>
            </w:pPr>
          </w:p>
        </w:tc>
        <w:tc>
          <w:tcPr>
            <w:tcW w:w="2227" w:type="pct"/>
            <w:vAlign w:val="center"/>
          </w:tcPr>
          <w:p w14:paraId="67CA4E6F">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6EED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0C4283D4">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vAlign w:val="center"/>
          </w:tcPr>
          <w:p w14:paraId="0471084D">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“一河（湖）一策”编制实施</w:t>
            </w:r>
          </w:p>
          <w:p w14:paraId="6C5270F5">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（5分）</w:t>
            </w:r>
          </w:p>
        </w:tc>
        <w:tc>
          <w:tcPr>
            <w:tcW w:w="465" w:type="pct"/>
            <w:vAlign w:val="center"/>
          </w:tcPr>
          <w:p w14:paraId="64C6B3F4">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073ED676">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1EC5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33EBF393">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vAlign w:val="center"/>
          </w:tcPr>
          <w:p w14:paraId="0B813AAD">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其他基础工作开展情况</w:t>
            </w:r>
          </w:p>
          <w:p w14:paraId="2CD12DCF">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（5分）</w:t>
            </w:r>
          </w:p>
        </w:tc>
        <w:tc>
          <w:tcPr>
            <w:tcW w:w="465" w:type="pct"/>
            <w:vAlign w:val="center"/>
          </w:tcPr>
          <w:p w14:paraId="21777AB4">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2B6665F5">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0725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56B69B54">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vAlign w:val="center"/>
          </w:tcPr>
          <w:p w14:paraId="2C63AED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重要河湖水域岸线智慧监管</w:t>
            </w:r>
          </w:p>
          <w:p w14:paraId="4F4712FF">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（3分）</w:t>
            </w:r>
          </w:p>
        </w:tc>
        <w:tc>
          <w:tcPr>
            <w:tcW w:w="465" w:type="pct"/>
            <w:vAlign w:val="center"/>
          </w:tcPr>
          <w:p w14:paraId="402586B2">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5A323ADD">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47437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restart"/>
            <w:vAlign w:val="center"/>
          </w:tcPr>
          <w:p w14:paraId="6B614B01">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标本兼治复苏河湖生态</w:t>
            </w:r>
          </w:p>
        </w:tc>
        <w:tc>
          <w:tcPr>
            <w:tcW w:w="1581" w:type="pct"/>
            <w:shd w:val="clear" w:color="auto" w:fill="auto"/>
            <w:vAlign w:val="center"/>
          </w:tcPr>
          <w:p w14:paraId="5D93FB87">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防洪排涝工程体系建设情况</w:t>
            </w:r>
          </w:p>
          <w:p w14:paraId="2A59034A">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default"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（5分）</w:t>
            </w:r>
          </w:p>
        </w:tc>
        <w:tc>
          <w:tcPr>
            <w:tcW w:w="465" w:type="pct"/>
            <w:vAlign w:val="center"/>
          </w:tcPr>
          <w:p w14:paraId="569A64C6">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3C2D116C">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0873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32283639">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shd w:val="clear" w:color="auto" w:fill="auto"/>
            <w:vAlign w:val="center"/>
          </w:tcPr>
          <w:p w14:paraId="0BE97E55">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河湖岸线自然状况</w:t>
            </w:r>
          </w:p>
          <w:p w14:paraId="57B30AF3">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（5分）</w:t>
            </w:r>
          </w:p>
        </w:tc>
        <w:tc>
          <w:tcPr>
            <w:tcW w:w="465" w:type="pct"/>
            <w:vAlign w:val="center"/>
          </w:tcPr>
          <w:p w14:paraId="72C26A04">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101AADCD">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1224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15BD6CD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shd w:val="clear" w:color="auto" w:fill="auto"/>
            <w:vAlign w:val="center"/>
          </w:tcPr>
          <w:p w14:paraId="381DB85A">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河湖空间管控状况</w:t>
            </w:r>
          </w:p>
          <w:p w14:paraId="7AC84DC9">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（9分）</w:t>
            </w:r>
          </w:p>
        </w:tc>
        <w:tc>
          <w:tcPr>
            <w:tcW w:w="465" w:type="pct"/>
            <w:vAlign w:val="center"/>
          </w:tcPr>
          <w:p w14:paraId="1434CA0F">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058B28B6">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3D4E5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198A3AD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vAlign w:val="center"/>
          </w:tcPr>
          <w:p w14:paraId="2CFFCFCC">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水质状况</w:t>
            </w:r>
          </w:p>
          <w:p w14:paraId="54C98E40">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（10分）</w:t>
            </w:r>
          </w:p>
        </w:tc>
        <w:tc>
          <w:tcPr>
            <w:tcW w:w="465" w:type="pct"/>
            <w:vAlign w:val="center"/>
          </w:tcPr>
          <w:p w14:paraId="146A40E6">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0F7C575B">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28FD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0535C80C">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vAlign w:val="center"/>
          </w:tcPr>
          <w:p w14:paraId="5097FDC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黑臭水体整治情况</w:t>
            </w:r>
          </w:p>
          <w:p w14:paraId="1D85658D">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（5分）</w:t>
            </w:r>
          </w:p>
        </w:tc>
        <w:tc>
          <w:tcPr>
            <w:tcW w:w="465" w:type="pct"/>
            <w:vAlign w:val="center"/>
          </w:tcPr>
          <w:p w14:paraId="4280BEDC">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12B24D8B">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61760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6DA88875">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vAlign w:val="center"/>
          </w:tcPr>
          <w:p w14:paraId="40B3793D">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面源污染治理状况</w:t>
            </w:r>
          </w:p>
          <w:p w14:paraId="1FE8F5E5">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（5分）</w:t>
            </w:r>
          </w:p>
        </w:tc>
        <w:tc>
          <w:tcPr>
            <w:tcW w:w="465" w:type="pct"/>
            <w:vAlign w:val="center"/>
          </w:tcPr>
          <w:p w14:paraId="6A9387EB">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15C6D120">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31C0F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30C9F0FF">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vAlign w:val="center"/>
          </w:tcPr>
          <w:p w14:paraId="688957B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生态流量（水位）满足程度</w:t>
            </w:r>
          </w:p>
          <w:p w14:paraId="59FEA78C">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（5分）</w:t>
            </w:r>
          </w:p>
        </w:tc>
        <w:tc>
          <w:tcPr>
            <w:tcW w:w="465" w:type="pct"/>
            <w:vAlign w:val="center"/>
          </w:tcPr>
          <w:p w14:paraId="0E9C04E5">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23617D7B">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6D41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restart"/>
            <w:vAlign w:val="center"/>
          </w:tcPr>
          <w:p w14:paraId="59CF5B41">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建设健康美丽幸福河湖</w:t>
            </w:r>
          </w:p>
        </w:tc>
        <w:tc>
          <w:tcPr>
            <w:tcW w:w="1581" w:type="pct"/>
            <w:vAlign w:val="center"/>
          </w:tcPr>
          <w:p w14:paraId="66B5DA8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幸福河湖建设情况</w:t>
            </w:r>
          </w:p>
          <w:p w14:paraId="031A721F">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（10分）</w:t>
            </w:r>
          </w:p>
        </w:tc>
        <w:tc>
          <w:tcPr>
            <w:tcW w:w="465" w:type="pct"/>
            <w:vAlign w:val="center"/>
          </w:tcPr>
          <w:p w14:paraId="6BE3218B">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37CC5523">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2AAB8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424919A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vAlign w:val="center"/>
          </w:tcPr>
          <w:p w14:paraId="07AAE7FE">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水文化载体建设情况</w:t>
            </w:r>
          </w:p>
          <w:p w14:paraId="651765EC">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（6分）</w:t>
            </w:r>
          </w:p>
        </w:tc>
        <w:tc>
          <w:tcPr>
            <w:tcW w:w="465" w:type="pct"/>
            <w:vAlign w:val="center"/>
          </w:tcPr>
          <w:p w14:paraId="7BACFE37">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57DAFD8B">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2C55B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77BA908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vAlign w:val="center"/>
          </w:tcPr>
          <w:p w14:paraId="10847844">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成效彰显</w:t>
            </w:r>
          </w:p>
          <w:p w14:paraId="5667C6B3">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（9分）</w:t>
            </w:r>
          </w:p>
        </w:tc>
        <w:tc>
          <w:tcPr>
            <w:tcW w:w="465" w:type="pct"/>
            <w:vAlign w:val="center"/>
          </w:tcPr>
          <w:p w14:paraId="05015496">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790512BF">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41C9D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6" w:type="pct"/>
            <w:vMerge w:val="continue"/>
            <w:vAlign w:val="center"/>
          </w:tcPr>
          <w:p w14:paraId="6503D8A1">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1581" w:type="pct"/>
            <w:vAlign w:val="center"/>
          </w:tcPr>
          <w:p w14:paraId="762217C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群众满意度</w:t>
            </w:r>
          </w:p>
          <w:p w14:paraId="76EB9F8A">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（8分）</w:t>
            </w:r>
          </w:p>
        </w:tc>
        <w:tc>
          <w:tcPr>
            <w:tcW w:w="465" w:type="pct"/>
            <w:vAlign w:val="center"/>
          </w:tcPr>
          <w:p w14:paraId="3841B00F">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c>
          <w:tcPr>
            <w:tcW w:w="2227" w:type="pct"/>
            <w:vAlign w:val="center"/>
          </w:tcPr>
          <w:p w14:paraId="5E7765CE">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r w14:paraId="35410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07" w:type="pct"/>
            <w:gridSpan w:val="2"/>
            <w:vAlign w:val="center"/>
          </w:tcPr>
          <w:p w14:paraId="6FA3C037">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r>
              <w:rPr>
                <w:rFonts w:hint="eastAsia" w:ascii="宋体" w:hAnsi="Times New Roman" w:cs="Times New Roman"/>
                <w:color w:val="auto"/>
                <w:kern w:val="0"/>
                <w:sz w:val="21"/>
                <w:szCs w:val="20"/>
                <w:lang w:val="en-US" w:eastAsia="zh-CN" w:bidi="ar-SA"/>
              </w:rPr>
              <w:t>合计</w:t>
            </w:r>
          </w:p>
        </w:tc>
        <w:tc>
          <w:tcPr>
            <w:tcW w:w="2692" w:type="pct"/>
            <w:gridSpan w:val="2"/>
            <w:vAlign w:val="center"/>
          </w:tcPr>
          <w:p w14:paraId="25EC759F">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宋体" w:hAnsi="Times New Roman" w:eastAsia="宋体" w:cs="Times New Roman"/>
                <w:color w:val="auto"/>
                <w:kern w:val="0"/>
                <w:sz w:val="21"/>
                <w:szCs w:val="20"/>
                <w:lang w:val="en-US" w:eastAsia="zh-CN" w:bidi="ar-SA"/>
              </w:rPr>
            </w:pPr>
          </w:p>
        </w:tc>
      </w:tr>
    </w:tbl>
    <w:p w14:paraId="5570503A">
      <w:pPr>
        <w:pStyle w:val="56"/>
        <w:ind w:firstLine="420"/>
      </w:pPr>
    </w:p>
    <w:p w14:paraId="6D109EDF">
      <w:pPr>
        <w:pStyle w:val="198"/>
      </w:pPr>
    </w:p>
    <w:p w14:paraId="5E021C9E">
      <w:pPr>
        <w:pStyle w:val="199"/>
        <w:numPr>
          <w:ilvl w:val="0"/>
          <w:numId w:val="32"/>
        </w:numPr>
      </w:pPr>
    </w:p>
    <w:bookmarkEnd w:id="55"/>
    <w:p w14:paraId="31860183">
      <w:bookmarkStart w:id="56" w:name="BookMark6"/>
      <w:r>
        <w:br w:type="page"/>
      </w:r>
    </w:p>
    <w:p w14:paraId="515DD745">
      <w:pPr>
        <w:pStyle w:val="76"/>
        <w:keepNext w:val="0"/>
        <w:keepLines w:val="0"/>
        <w:pageBreakBefore w:val="0"/>
        <w:widowControl/>
        <w:shd w:val="clear" w:color="FFFFFF" w:fill="FFFFFF"/>
        <w:tabs>
          <w:tab w:val="left" w:pos="3990"/>
        </w:tabs>
        <w:kinsoku/>
        <w:wordWrap/>
        <w:overflowPunct/>
        <w:topLinePunct w:val="0"/>
        <w:autoSpaceDE/>
        <w:autoSpaceDN/>
        <w:bidi w:val="0"/>
        <w:adjustRightInd/>
        <w:snapToGrid/>
        <w:spacing w:before="10" w:after="156"/>
        <w:textAlignment w:val="auto"/>
        <w:rPr>
          <w:color w:val="auto"/>
        </w:rPr>
      </w:pPr>
      <w:r>
        <w:rPr>
          <w:color w:val="auto"/>
        </w:rPr>
        <w:br w:type="textWrapping"/>
      </w:r>
      <w:r>
        <w:rPr>
          <w:rFonts w:hint="eastAsia"/>
          <w:color w:val="auto"/>
        </w:rPr>
        <w:t>（资料性）</w:t>
      </w:r>
      <w:r>
        <w:rPr>
          <w:color w:val="auto"/>
        </w:rPr>
        <w:br w:type="textWrapping"/>
      </w:r>
      <w:r>
        <w:rPr>
          <w:rFonts w:hint="eastAsia"/>
          <w:color w:val="auto"/>
        </w:rPr>
        <w:t>河湖长制能效提级县</w:t>
      </w:r>
      <w:r>
        <w:rPr>
          <w:rFonts w:hint="eastAsia"/>
          <w:color w:val="auto"/>
          <w:lang w:eastAsia="zh-CN"/>
        </w:rPr>
        <w:t>建设工作方案提纲</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14:paraId="0FC1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14:paraId="16CDAE63">
            <w:pPr>
              <w:keepNext w:val="0"/>
              <w:keepLines w:val="0"/>
              <w:pageBreakBefore w:val="0"/>
              <w:widowControl w:val="0"/>
              <w:kinsoku/>
              <w:wordWrap/>
              <w:overflowPunct w:val="0"/>
              <w:topLinePunct w:val="0"/>
              <w:autoSpaceDE/>
              <w:autoSpaceDN/>
              <w:bidi w:val="0"/>
              <w:adjustRightInd w:val="0"/>
              <w:snapToGrid w:val="0"/>
              <w:spacing w:line="400" w:lineRule="exact"/>
              <w:jc w:val="center"/>
              <w:textAlignment w:val="auto"/>
              <w:outlineLvl w:val="1"/>
              <w:rPr>
                <w:rFonts w:hint="eastAsia" w:ascii="黑体" w:hAnsi="黑体" w:eastAsia="黑体" w:cs="黑体"/>
                <w:color w:val="auto"/>
                <w:spacing w:val="-6"/>
                <w:sz w:val="21"/>
                <w:szCs w:val="21"/>
              </w:rPr>
            </w:pPr>
            <w:r>
              <w:rPr>
                <w:rFonts w:hint="eastAsia" w:ascii="黑体" w:hAnsi="黑体" w:eastAsia="黑体" w:cs="黑体"/>
                <w:color w:val="auto"/>
                <w:spacing w:val="-6"/>
                <w:sz w:val="21"/>
                <w:szCs w:val="21"/>
                <w:lang w:val="en-US" w:eastAsia="zh-CN"/>
              </w:rPr>
              <w:t>XX县（市、区）</w:t>
            </w:r>
            <w:r>
              <w:rPr>
                <w:rFonts w:hint="eastAsia" w:ascii="黑体" w:hAnsi="黑体" w:eastAsia="黑体" w:cs="黑体"/>
                <w:color w:val="auto"/>
                <w:spacing w:val="-6"/>
                <w:sz w:val="21"/>
                <w:szCs w:val="21"/>
              </w:rPr>
              <w:t>河湖长制</w:t>
            </w:r>
            <w:r>
              <w:rPr>
                <w:rFonts w:hint="eastAsia" w:ascii="黑体" w:hAnsi="黑体" w:eastAsia="黑体" w:cs="黑体"/>
                <w:color w:val="auto"/>
                <w:spacing w:val="-6"/>
                <w:sz w:val="21"/>
                <w:szCs w:val="21"/>
                <w:lang w:val="en" w:eastAsia="zh-CN"/>
              </w:rPr>
              <w:t>能效提级县</w:t>
            </w:r>
            <w:r>
              <w:rPr>
                <w:rFonts w:hint="eastAsia" w:ascii="黑体" w:hAnsi="黑体" w:eastAsia="黑体" w:cs="黑体"/>
                <w:color w:val="auto"/>
                <w:spacing w:val="-6"/>
                <w:sz w:val="21"/>
                <w:szCs w:val="21"/>
              </w:rPr>
              <w:t>建设</w:t>
            </w:r>
            <w:r>
              <w:rPr>
                <w:rFonts w:hint="eastAsia" w:ascii="黑体" w:hAnsi="黑体" w:eastAsia="黑体" w:cs="黑体"/>
                <w:color w:val="auto"/>
                <w:spacing w:val="-6"/>
                <w:sz w:val="21"/>
                <w:szCs w:val="21"/>
                <w:lang w:eastAsia="zh-CN"/>
              </w:rPr>
              <w:t>工作方案</w:t>
            </w:r>
          </w:p>
          <w:p w14:paraId="21E65094">
            <w:pPr>
              <w:keepNext w:val="0"/>
              <w:keepLines w:val="0"/>
              <w:pageBreakBefore w:val="0"/>
              <w:widowControl w:val="0"/>
              <w:kinsoku/>
              <w:wordWrap/>
              <w:overflowPunct w:val="0"/>
              <w:topLinePunct w:val="0"/>
              <w:autoSpaceDE/>
              <w:autoSpaceDN/>
              <w:bidi w:val="0"/>
              <w:adjustRightInd w:val="0"/>
              <w:snapToGrid w:val="0"/>
              <w:spacing w:line="400" w:lineRule="exact"/>
              <w:ind w:firstLine="447" w:firstLineChars="213"/>
              <w:textAlignment w:val="auto"/>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前言，简述</w:t>
            </w:r>
            <w:r>
              <w:rPr>
                <w:rFonts w:hint="eastAsia" w:ascii="宋体" w:hAnsi="宋体" w:cs="宋体"/>
                <w:bCs/>
                <w:color w:val="auto"/>
                <w:sz w:val="21"/>
                <w:szCs w:val="21"/>
                <w:lang w:val="en-US" w:eastAsia="zh-CN" w:bidi="ar"/>
              </w:rPr>
              <w:t>能效提级县建设背景、建设目标</w:t>
            </w:r>
            <w:r>
              <w:rPr>
                <w:rFonts w:hint="eastAsia" w:ascii="宋体" w:hAnsi="宋体" w:eastAsia="宋体" w:cs="宋体"/>
                <w:bCs/>
                <w:color w:val="auto"/>
                <w:sz w:val="21"/>
                <w:szCs w:val="21"/>
                <w:lang w:bidi="ar"/>
              </w:rPr>
              <w:t>等。</w:t>
            </w:r>
          </w:p>
          <w:p w14:paraId="05ADDB31">
            <w:pPr>
              <w:keepNext w:val="0"/>
              <w:keepLines w:val="0"/>
              <w:pageBreakBefore w:val="0"/>
              <w:widowControl w:val="0"/>
              <w:kinsoku/>
              <w:wordWrap/>
              <w:overflowPunct w:val="0"/>
              <w:topLinePunct w:val="0"/>
              <w:autoSpaceDE/>
              <w:autoSpaceDN/>
              <w:bidi w:val="0"/>
              <w:adjustRightInd w:val="0"/>
              <w:snapToGrid w:val="0"/>
              <w:spacing w:line="400" w:lineRule="exact"/>
              <w:ind w:firstLine="396" w:firstLineChars="200"/>
              <w:jc w:val="left"/>
              <w:textAlignment w:val="auto"/>
              <w:outlineLvl w:val="1"/>
              <w:rPr>
                <w:rFonts w:hint="eastAsia" w:ascii="黑体" w:hAnsi="黑体" w:eastAsia="黑体" w:cs="黑体"/>
                <w:b w:val="0"/>
                <w:bCs w:val="0"/>
                <w:color w:val="auto"/>
                <w:spacing w:val="-6"/>
                <w:sz w:val="21"/>
                <w:szCs w:val="21"/>
                <w:lang w:eastAsia="zh-CN"/>
              </w:rPr>
            </w:pPr>
            <w:r>
              <w:rPr>
                <w:rFonts w:hint="eastAsia" w:ascii="黑体" w:hAnsi="黑体" w:eastAsia="黑体" w:cs="黑体"/>
                <w:b w:val="0"/>
                <w:bCs w:val="0"/>
                <w:color w:val="auto"/>
                <w:spacing w:val="-6"/>
                <w:sz w:val="21"/>
                <w:szCs w:val="21"/>
                <w:lang w:bidi="ar"/>
              </w:rPr>
              <w:t>一、</w:t>
            </w:r>
            <w:r>
              <w:rPr>
                <w:rFonts w:hint="eastAsia" w:ascii="黑体" w:hAnsi="黑体" w:eastAsia="黑体" w:cs="黑体"/>
                <w:b w:val="0"/>
                <w:bCs w:val="0"/>
                <w:color w:val="auto"/>
                <w:spacing w:val="-6"/>
                <w:sz w:val="21"/>
                <w:szCs w:val="21"/>
                <w:lang w:val="en-US" w:eastAsia="zh-CN" w:bidi="ar"/>
              </w:rPr>
              <w:t>基本情况</w:t>
            </w:r>
          </w:p>
          <w:p w14:paraId="35CAE53B">
            <w:pPr>
              <w:keepNext w:val="0"/>
              <w:keepLines w:val="0"/>
              <w:pageBreakBefore w:val="0"/>
              <w:widowControl w:val="0"/>
              <w:kinsoku/>
              <w:wordWrap/>
              <w:overflowPunct w:val="0"/>
              <w:topLinePunct w:val="0"/>
              <w:autoSpaceDE/>
              <w:autoSpaceDN/>
              <w:bidi w:val="0"/>
              <w:adjustRightInd w:val="0"/>
              <w:snapToGrid w:val="0"/>
              <w:spacing w:line="400" w:lineRule="exact"/>
              <w:ind w:firstLine="398" w:firstLineChars="200"/>
              <w:textAlignment w:val="auto"/>
              <w:outlineLvl w:val="2"/>
              <w:rPr>
                <w:rFonts w:hint="default" w:ascii="宋体" w:hAnsi="宋体" w:eastAsia="宋体" w:cs="宋体"/>
                <w:b/>
                <w:bCs/>
                <w:color w:val="auto"/>
                <w:spacing w:val="-6"/>
                <w:sz w:val="21"/>
                <w:szCs w:val="21"/>
                <w:lang w:val="en-US" w:eastAsia="zh-CN" w:bidi="ar"/>
              </w:rPr>
            </w:pPr>
            <w:r>
              <w:rPr>
                <w:rFonts w:hint="eastAsia" w:ascii="宋体" w:hAnsi="宋体" w:eastAsia="宋体" w:cs="宋体"/>
                <w:b/>
                <w:bCs/>
                <w:color w:val="auto"/>
                <w:spacing w:val="-6"/>
                <w:sz w:val="21"/>
                <w:szCs w:val="21"/>
                <w:lang w:eastAsia="zh-CN" w:bidi="ar"/>
              </w:rPr>
              <w:t>（一）</w:t>
            </w:r>
            <w:r>
              <w:rPr>
                <w:rFonts w:hint="eastAsia" w:ascii="宋体" w:hAnsi="宋体" w:cs="宋体"/>
                <w:b/>
                <w:bCs/>
                <w:color w:val="auto"/>
                <w:spacing w:val="-6"/>
                <w:sz w:val="21"/>
                <w:szCs w:val="21"/>
                <w:lang w:val="en-US" w:eastAsia="zh-CN" w:bidi="ar"/>
              </w:rPr>
              <w:t>区域概况</w:t>
            </w:r>
          </w:p>
          <w:p w14:paraId="4E61134C">
            <w:pPr>
              <w:keepNext w:val="0"/>
              <w:keepLines w:val="0"/>
              <w:pageBreakBefore w:val="0"/>
              <w:widowControl w:val="0"/>
              <w:kinsoku/>
              <w:wordWrap/>
              <w:overflowPunct w:val="0"/>
              <w:topLinePunct w:val="0"/>
              <w:autoSpaceDE/>
              <w:autoSpaceDN/>
              <w:bidi w:val="0"/>
              <w:adjustRightInd w:val="0"/>
              <w:snapToGrid w:val="0"/>
              <w:spacing w:line="400" w:lineRule="exact"/>
              <w:ind w:firstLine="447" w:firstLineChars="213"/>
              <w:textAlignment w:val="auto"/>
              <w:rPr>
                <w:rFonts w:hint="eastAsia" w:ascii="宋体" w:hAnsi="宋体" w:eastAsia="宋体" w:cs="宋体"/>
                <w:bCs/>
                <w:color w:val="auto"/>
                <w:sz w:val="21"/>
                <w:szCs w:val="21"/>
                <w:lang w:eastAsia="zh-CN" w:bidi="ar"/>
              </w:rPr>
            </w:pPr>
            <w:r>
              <w:rPr>
                <w:rFonts w:hint="eastAsia" w:ascii="宋体" w:hAnsi="宋体" w:eastAsia="宋体" w:cs="宋体"/>
                <w:bCs/>
                <w:color w:val="auto"/>
                <w:sz w:val="21"/>
                <w:szCs w:val="21"/>
                <w:lang w:eastAsia="zh-CN" w:bidi="ar"/>
              </w:rPr>
              <w:t>简述</w:t>
            </w:r>
            <w:r>
              <w:rPr>
                <w:rFonts w:hint="eastAsia" w:ascii="宋体" w:hAnsi="宋体" w:cs="宋体"/>
                <w:bCs/>
                <w:color w:val="auto"/>
                <w:sz w:val="21"/>
                <w:szCs w:val="21"/>
                <w:lang w:val="en-US" w:eastAsia="zh-CN" w:bidi="ar"/>
              </w:rPr>
              <w:t>自然地理、资源禀赋、历史底蕴、经济社会发展等区域</w:t>
            </w:r>
            <w:r>
              <w:rPr>
                <w:rFonts w:hint="eastAsia" w:ascii="宋体" w:hAnsi="宋体" w:eastAsia="宋体" w:cs="宋体"/>
                <w:bCs/>
                <w:color w:val="auto"/>
                <w:sz w:val="21"/>
                <w:szCs w:val="21"/>
                <w:lang w:eastAsia="zh-CN" w:bidi="ar"/>
              </w:rPr>
              <w:t>基本情况。</w:t>
            </w:r>
          </w:p>
          <w:p w14:paraId="5ED77125">
            <w:pPr>
              <w:keepNext w:val="0"/>
              <w:keepLines w:val="0"/>
              <w:pageBreakBefore w:val="0"/>
              <w:widowControl w:val="0"/>
              <w:kinsoku/>
              <w:wordWrap/>
              <w:overflowPunct w:val="0"/>
              <w:topLinePunct w:val="0"/>
              <w:autoSpaceDE/>
              <w:autoSpaceDN/>
              <w:bidi w:val="0"/>
              <w:adjustRightInd w:val="0"/>
              <w:snapToGrid w:val="0"/>
              <w:spacing w:line="400" w:lineRule="exact"/>
              <w:ind w:firstLine="398" w:firstLineChars="200"/>
              <w:textAlignment w:val="auto"/>
              <w:outlineLvl w:val="2"/>
              <w:rPr>
                <w:rFonts w:hint="eastAsia" w:ascii="宋体" w:hAnsi="宋体" w:eastAsia="宋体" w:cs="宋体"/>
                <w:b/>
                <w:bCs/>
                <w:color w:val="auto"/>
                <w:spacing w:val="-6"/>
                <w:sz w:val="21"/>
                <w:szCs w:val="21"/>
                <w:lang w:eastAsia="zh-CN" w:bidi="ar"/>
              </w:rPr>
            </w:pPr>
            <w:r>
              <w:rPr>
                <w:rFonts w:hint="eastAsia" w:ascii="宋体" w:hAnsi="宋体" w:eastAsia="宋体" w:cs="宋体"/>
                <w:b/>
                <w:bCs/>
                <w:color w:val="auto"/>
                <w:spacing w:val="-6"/>
                <w:sz w:val="21"/>
                <w:szCs w:val="21"/>
                <w:lang w:eastAsia="zh-CN" w:bidi="ar"/>
              </w:rPr>
              <w:t>（二）</w:t>
            </w:r>
            <w:r>
              <w:rPr>
                <w:rFonts w:hint="eastAsia" w:ascii="宋体" w:hAnsi="宋体" w:cs="宋体"/>
                <w:b/>
                <w:bCs/>
                <w:color w:val="auto"/>
                <w:spacing w:val="-6"/>
                <w:sz w:val="21"/>
                <w:szCs w:val="21"/>
                <w:lang w:val="en-US" w:eastAsia="zh-CN" w:bidi="ar"/>
              </w:rPr>
              <w:t>河湖概况</w:t>
            </w:r>
          </w:p>
          <w:p w14:paraId="365F3CBD">
            <w:pPr>
              <w:keepNext w:val="0"/>
              <w:keepLines w:val="0"/>
              <w:pageBreakBefore w:val="0"/>
              <w:widowControl w:val="0"/>
              <w:kinsoku/>
              <w:wordWrap/>
              <w:overflowPunct w:val="0"/>
              <w:topLinePunct w:val="0"/>
              <w:autoSpaceDE/>
              <w:autoSpaceDN/>
              <w:bidi w:val="0"/>
              <w:adjustRightInd w:val="0"/>
              <w:snapToGrid w:val="0"/>
              <w:spacing w:line="400" w:lineRule="exact"/>
              <w:ind w:firstLine="447" w:firstLineChars="213"/>
              <w:textAlignment w:val="auto"/>
              <w:rPr>
                <w:rFonts w:hint="default" w:ascii="宋体" w:hAnsi="宋体" w:eastAsia="宋体" w:cs="宋体"/>
                <w:bCs/>
                <w:color w:val="auto"/>
                <w:sz w:val="21"/>
                <w:szCs w:val="21"/>
                <w:lang w:val="en-US" w:eastAsia="zh-CN" w:bidi="ar"/>
              </w:rPr>
            </w:pPr>
            <w:r>
              <w:rPr>
                <w:rFonts w:hint="eastAsia" w:ascii="宋体" w:hAnsi="宋体" w:cs="宋体"/>
                <w:bCs/>
                <w:color w:val="auto"/>
                <w:sz w:val="21"/>
                <w:szCs w:val="21"/>
                <w:lang w:val="en-US" w:eastAsia="zh-CN" w:bidi="ar"/>
              </w:rPr>
              <w:t>简述流域河湖水系、水利工程、水资源开发、水环境水生态等基本情况。</w:t>
            </w:r>
          </w:p>
          <w:p w14:paraId="07700002">
            <w:pPr>
              <w:keepNext w:val="0"/>
              <w:keepLines w:val="0"/>
              <w:pageBreakBefore w:val="0"/>
              <w:widowControl w:val="0"/>
              <w:kinsoku/>
              <w:wordWrap/>
              <w:overflowPunct w:val="0"/>
              <w:topLinePunct w:val="0"/>
              <w:autoSpaceDE/>
              <w:autoSpaceDN/>
              <w:bidi w:val="0"/>
              <w:adjustRightInd w:val="0"/>
              <w:snapToGrid w:val="0"/>
              <w:spacing w:line="400" w:lineRule="exact"/>
              <w:ind w:firstLine="396" w:firstLineChars="200"/>
              <w:jc w:val="left"/>
              <w:textAlignment w:val="auto"/>
              <w:outlineLvl w:val="1"/>
              <w:rPr>
                <w:rFonts w:hint="default" w:ascii="黑体" w:hAnsi="黑体" w:eastAsia="黑体" w:cs="黑体"/>
                <w:b w:val="0"/>
                <w:bCs w:val="0"/>
                <w:color w:val="auto"/>
                <w:spacing w:val="-6"/>
                <w:sz w:val="21"/>
                <w:szCs w:val="21"/>
                <w:lang w:val="en-US" w:eastAsia="zh-CN" w:bidi="ar"/>
              </w:rPr>
            </w:pPr>
            <w:bookmarkStart w:id="57" w:name="OLE_LINK1"/>
            <w:r>
              <w:rPr>
                <w:rFonts w:hint="eastAsia" w:ascii="黑体" w:hAnsi="黑体" w:eastAsia="黑体" w:cs="黑体"/>
                <w:b w:val="0"/>
                <w:bCs w:val="0"/>
                <w:color w:val="auto"/>
                <w:spacing w:val="-6"/>
                <w:sz w:val="21"/>
                <w:szCs w:val="21"/>
                <w:lang w:bidi="ar"/>
              </w:rPr>
              <w:t>二、</w:t>
            </w:r>
            <w:r>
              <w:rPr>
                <w:rFonts w:hint="eastAsia" w:ascii="黑体" w:hAnsi="黑体" w:eastAsia="黑体" w:cs="黑体"/>
                <w:b w:val="0"/>
                <w:bCs w:val="0"/>
                <w:color w:val="auto"/>
                <w:spacing w:val="-6"/>
                <w:sz w:val="21"/>
                <w:szCs w:val="21"/>
                <w:lang w:val="en-US" w:eastAsia="zh-CN" w:bidi="ar"/>
              </w:rPr>
              <w:t>能效提级条件剖析</w:t>
            </w:r>
          </w:p>
          <w:bookmarkEnd w:id="57"/>
          <w:p w14:paraId="07BB83FB">
            <w:pPr>
              <w:keepNext w:val="0"/>
              <w:keepLines w:val="0"/>
              <w:pageBreakBefore w:val="0"/>
              <w:widowControl w:val="0"/>
              <w:kinsoku/>
              <w:wordWrap/>
              <w:overflowPunct w:val="0"/>
              <w:topLinePunct w:val="0"/>
              <w:autoSpaceDE/>
              <w:autoSpaceDN/>
              <w:bidi w:val="0"/>
              <w:adjustRightInd w:val="0"/>
              <w:snapToGrid w:val="0"/>
              <w:spacing w:line="400" w:lineRule="exact"/>
              <w:ind w:firstLine="398" w:firstLineChars="200"/>
              <w:textAlignment w:val="auto"/>
              <w:outlineLvl w:val="2"/>
              <w:rPr>
                <w:rFonts w:hint="default" w:ascii="宋体" w:hAnsi="宋体" w:eastAsia="宋体" w:cs="宋体"/>
                <w:b/>
                <w:bCs/>
                <w:color w:val="auto"/>
                <w:spacing w:val="-6"/>
                <w:sz w:val="21"/>
                <w:szCs w:val="21"/>
                <w:lang w:val="en-US" w:eastAsia="zh-CN" w:bidi="ar"/>
              </w:rPr>
            </w:pPr>
            <w:r>
              <w:rPr>
                <w:rFonts w:hint="eastAsia" w:ascii="宋体" w:hAnsi="宋体" w:eastAsia="宋体" w:cs="宋体"/>
                <w:b/>
                <w:bCs/>
                <w:color w:val="auto"/>
                <w:spacing w:val="-6"/>
                <w:sz w:val="21"/>
                <w:szCs w:val="21"/>
                <w:lang w:eastAsia="zh-CN" w:bidi="ar"/>
              </w:rPr>
              <w:t>（一）</w:t>
            </w:r>
            <w:r>
              <w:rPr>
                <w:rFonts w:hint="eastAsia" w:ascii="宋体" w:hAnsi="宋体" w:cs="宋体"/>
                <w:b/>
                <w:bCs/>
                <w:color w:val="auto"/>
                <w:spacing w:val="-6"/>
                <w:sz w:val="21"/>
                <w:szCs w:val="21"/>
                <w:lang w:val="en-US" w:eastAsia="zh-CN" w:bidi="ar"/>
              </w:rPr>
              <w:t>能效提级形势分析</w:t>
            </w:r>
          </w:p>
          <w:p w14:paraId="1A04807E">
            <w:pPr>
              <w:keepNext w:val="0"/>
              <w:keepLines w:val="0"/>
              <w:pageBreakBefore w:val="0"/>
              <w:widowControl w:val="0"/>
              <w:kinsoku/>
              <w:wordWrap/>
              <w:overflowPunct w:val="0"/>
              <w:topLinePunct w:val="0"/>
              <w:autoSpaceDE/>
              <w:autoSpaceDN/>
              <w:bidi w:val="0"/>
              <w:adjustRightInd w:val="0"/>
              <w:snapToGrid w:val="0"/>
              <w:spacing w:line="400" w:lineRule="exact"/>
              <w:ind w:firstLine="447" w:firstLineChars="213"/>
              <w:textAlignment w:val="auto"/>
              <w:rPr>
                <w:rFonts w:hint="eastAsia" w:ascii="宋体" w:hAnsi="宋体" w:eastAsia="宋体" w:cs="宋体"/>
                <w:bCs/>
                <w:color w:val="auto"/>
                <w:sz w:val="21"/>
                <w:szCs w:val="21"/>
                <w:lang w:bidi="ar"/>
              </w:rPr>
            </w:pPr>
            <w:r>
              <w:rPr>
                <w:rFonts w:hint="eastAsia" w:ascii="宋体" w:hAnsi="宋体" w:cs="宋体"/>
                <w:bCs/>
                <w:color w:val="auto"/>
                <w:sz w:val="21"/>
                <w:szCs w:val="21"/>
                <w:lang w:val="en-US" w:eastAsia="zh-CN" w:bidi="ar"/>
              </w:rPr>
              <w:t>简述能效提级背景、剖析发展机遇等。</w:t>
            </w:r>
          </w:p>
          <w:p w14:paraId="76451F9D">
            <w:pPr>
              <w:keepNext w:val="0"/>
              <w:keepLines w:val="0"/>
              <w:pageBreakBefore w:val="0"/>
              <w:widowControl w:val="0"/>
              <w:kinsoku/>
              <w:wordWrap/>
              <w:overflowPunct w:val="0"/>
              <w:topLinePunct w:val="0"/>
              <w:autoSpaceDE/>
              <w:autoSpaceDN/>
              <w:bidi w:val="0"/>
              <w:adjustRightInd w:val="0"/>
              <w:snapToGrid w:val="0"/>
              <w:spacing w:line="400" w:lineRule="exact"/>
              <w:ind w:firstLine="398" w:firstLineChars="200"/>
              <w:textAlignment w:val="auto"/>
              <w:outlineLvl w:val="2"/>
              <w:rPr>
                <w:rFonts w:hint="default" w:ascii="宋体" w:hAnsi="宋体" w:eastAsia="宋体" w:cs="宋体"/>
                <w:b/>
                <w:bCs/>
                <w:color w:val="auto"/>
                <w:spacing w:val="-6"/>
                <w:sz w:val="21"/>
                <w:szCs w:val="21"/>
                <w:lang w:val="en-US" w:bidi="ar"/>
              </w:rPr>
            </w:pPr>
            <w:r>
              <w:rPr>
                <w:rFonts w:hint="eastAsia" w:ascii="宋体" w:hAnsi="宋体" w:eastAsia="宋体" w:cs="宋体"/>
                <w:b/>
                <w:bCs/>
                <w:color w:val="auto"/>
                <w:spacing w:val="-6"/>
                <w:sz w:val="21"/>
                <w:szCs w:val="21"/>
                <w:lang w:bidi="ar"/>
              </w:rPr>
              <w:t>（二）</w:t>
            </w:r>
            <w:r>
              <w:rPr>
                <w:rFonts w:hint="eastAsia" w:ascii="宋体" w:hAnsi="宋体" w:cs="宋体"/>
                <w:b/>
                <w:bCs/>
                <w:color w:val="auto"/>
                <w:spacing w:val="-6"/>
                <w:sz w:val="21"/>
                <w:szCs w:val="21"/>
                <w:lang w:val="en-US" w:eastAsia="zh-CN" w:bidi="ar"/>
              </w:rPr>
              <w:t>基础条件</w:t>
            </w:r>
          </w:p>
          <w:p w14:paraId="2E11C1FC">
            <w:pPr>
              <w:keepNext w:val="0"/>
              <w:keepLines w:val="0"/>
              <w:pageBreakBefore w:val="0"/>
              <w:widowControl w:val="0"/>
              <w:kinsoku/>
              <w:wordWrap/>
              <w:overflowPunct w:val="0"/>
              <w:topLinePunct w:val="0"/>
              <w:autoSpaceDE/>
              <w:autoSpaceDN/>
              <w:bidi w:val="0"/>
              <w:adjustRightInd w:val="0"/>
              <w:snapToGrid w:val="0"/>
              <w:spacing w:line="400" w:lineRule="exact"/>
              <w:ind w:firstLine="420" w:firstLineChars="200"/>
              <w:textAlignment w:val="auto"/>
              <w:rPr>
                <w:rFonts w:hint="eastAsia" w:ascii="宋体" w:hAnsi="宋体" w:eastAsia="宋体" w:cs="宋体"/>
                <w:bCs/>
                <w:color w:val="auto"/>
                <w:sz w:val="21"/>
                <w:szCs w:val="21"/>
                <w:lang w:eastAsia="zh-CN" w:bidi="ar"/>
              </w:rPr>
            </w:pPr>
            <w:r>
              <w:rPr>
                <w:rFonts w:hint="eastAsia" w:ascii="宋体" w:hAnsi="宋体" w:cs="宋体"/>
                <w:bCs/>
                <w:color w:val="auto"/>
                <w:sz w:val="21"/>
                <w:szCs w:val="21"/>
                <w:lang w:val="en-US" w:eastAsia="zh-CN" w:bidi="ar"/>
              </w:rPr>
              <w:t>简述河湖长制实施情况</w:t>
            </w:r>
            <w:r>
              <w:rPr>
                <w:rFonts w:hint="eastAsia" w:ascii="宋体" w:hAnsi="宋体" w:cs="宋体"/>
                <w:b w:val="0"/>
                <w:bCs/>
                <w:color w:val="auto"/>
                <w:sz w:val="21"/>
                <w:szCs w:val="21"/>
                <w:lang w:val="en-US" w:eastAsia="zh-CN" w:bidi="ar"/>
              </w:rPr>
              <w:t>，对评估指标进行前期评估打分，结合现场调研、现状分析等，根据评估情况，分析能效提级差距</w:t>
            </w:r>
            <w:r>
              <w:rPr>
                <w:rFonts w:hint="eastAsia" w:ascii="宋体" w:hAnsi="宋体" w:eastAsia="宋体" w:cs="宋体"/>
                <w:b w:val="0"/>
                <w:bCs/>
                <w:color w:val="auto"/>
                <w:sz w:val="21"/>
                <w:szCs w:val="21"/>
                <w:lang w:eastAsia="zh-CN" w:bidi="ar"/>
              </w:rPr>
              <w:t>。</w:t>
            </w:r>
          </w:p>
          <w:p w14:paraId="49C76A0C">
            <w:pPr>
              <w:keepNext w:val="0"/>
              <w:keepLines w:val="0"/>
              <w:pageBreakBefore w:val="0"/>
              <w:widowControl w:val="0"/>
              <w:kinsoku/>
              <w:wordWrap/>
              <w:overflowPunct w:val="0"/>
              <w:topLinePunct w:val="0"/>
              <w:autoSpaceDE/>
              <w:autoSpaceDN/>
              <w:bidi w:val="0"/>
              <w:adjustRightInd w:val="0"/>
              <w:snapToGrid w:val="0"/>
              <w:spacing w:line="400" w:lineRule="exact"/>
              <w:ind w:firstLine="396" w:firstLineChars="200"/>
              <w:jc w:val="left"/>
              <w:textAlignment w:val="auto"/>
              <w:outlineLvl w:val="1"/>
              <w:rPr>
                <w:rFonts w:hint="eastAsia" w:ascii="黑体" w:hAnsi="黑体" w:eastAsia="黑体" w:cs="黑体"/>
                <w:b w:val="0"/>
                <w:bCs w:val="0"/>
                <w:color w:val="auto"/>
                <w:spacing w:val="-6"/>
                <w:sz w:val="21"/>
                <w:szCs w:val="21"/>
                <w:lang w:eastAsia="zh-CN" w:bidi="ar"/>
              </w:rPr>
            </w:pPr>
            <w:r>
              <w:rPr>
                <w:rFonts w:hint="eastAsia" w:ascii="黑体" w:hAnsi="黑体" w:eastAsia="黑体" w:cs="黑体"/>
                <w:b w:val="0"/>
                <w:bCs w:val="0"/>
                <w:color w:val="auto"/>
                <w:spacing w:val="-6"/>
                <w:sz w:val="21"/>
                <w:szCs w:val="21"/>
                <w:lang w:eastAsia="zh-CN" w:bidi="ar"/>
              </w:rPr>
              <w:t>三</w:t>
            </w:r>
            <w:r>
              <w:rPr>
                <w:rFonts w:hint="eastAsia" w:ascii="黑体" w:hAnsi="黑体" w:eastAsia="黑体" w:cs="黑体"/>
                <w:b w:val="0"/>
                <w:bCs w:val="0"/>
                <w:color w:val="auto"/>
                <w:spacing w:val="-6"/>
                <w:sz w:val="21"/>
                <w:szCs w:val="21"/>
                <w:lang w:bidi="ar"/>
              </w:rPr>
              <w:t>、</w:t>
            </w:r>
            <w:r>
              <w:rPr>
                <w:rFonts w:hint="eastAsia" w:ascii="黑体" w:hAnsi="黑体" w:eastAsia="黑体" w:cs="黑体"/>
                <w:b w:val="0"/>
                <w:bCs w:val="0"/>
                <w:color w:val="auto"/>
                <w:spacing w:val="-6"/>
                <w:sz w:val="21"/>
                <w:szCs w:val="21"/>
                <w:lang w:val="en-US" w:eastAsia="zh-CN" w:bidi="ar"/>
              </w:rPr>
              <w:t>总体要求</w:t>
            </w:r>
          </w:p>
          <w:p w14:paraId="393BBE1E">
            <w:pPr>
              <w:keepNext w:val="0"/>
              <w:keepLines w:val="0"/>
              <w:pageBreakBefore w:val="0"/>
              <w:widowControl w:val="0"/>
              <w:kinsoku/>
              <w:wordWrap/>
              <w:overflowPunct w:val="0"/>
              <w:topLinePunct w:val="0"/>
              <w:autoSpaceDE/>
              <w:autoSpaceDN/>
              <w:bidi w:val="0"/>
              <w:adjustRightInd w:val="0"/>
              <w:snapToGrid w:val="0"/>
              <w:spacing w:line="400" w:lineRule="exact"/>
              <w:ind w:firstLine="420" w:firstLineChars="200"/>
              <w:jc w:val="left"/>
              <w:textAlignment w:val="auto"/>
              <w:outlineLvl w:val="1"/>
              <w:rPr>
                <w:rFonts w:hint="eastAsia" w:ascii="宋体" w:hAnsi="宋体" w:eastAsia="宋体" w:cs="宋体"/>
                <w:bCs/>
                <w:color w:val="auto"/>
                <w:sz w:val="21"/>
                <w:szCs w:val="21"/>
                <w:lang w:bidi="ar"/>
              </w:rPr>
            </w:pPr>
            <w:r>
              <w:rPr>
                <w:rFonts w:hint="eastAsia" w:ascii="宋体" w:hAnsi="宋体" w:cs="宋体"/>
                <w:bCs/>
                <w:color w:val="auto"/>
                <w:sz w:val="21"/>
                <w:szCs w:val="21"/>
                <w:lang w:val="en-US" w:eastAsia="zh-CN" w:bidi="ar"/>
              </w:rPr>
              <w:t>明确指导思想、基本原则、工作依据、基准年、实施周期等</w:t>
            </w:r>
            <w:r>
              <w:rPr>
                <w:rFonts w:hint="eastAsia" w:ascii="宋体" w:hAnsi="宋体" w:eastAsia="宋体" w:cs="宋体"/>
                <w:bCs/>
                <w:color w:val="auto"/>
                <w:sz w:val="21"/>
                <w:szCs w:val="21"/>
                <w:lang w:bidi="ar"/>
              </w:rPr>
              <w:t>。</w:t>
            </w:r>
          </w:p>
          <w:p w14:paraId="0069C965">
            <w:pPr>
              <w:keepNext w:val="0"/>
              <w:keepLines w:val="0"/>
              <w:pageBreakBefore w:val="0"/>
              <w:widowControl w:val="0"/>
              <w:kinsoku/>
              <w:wordWrap/>
              <w:overflowPunct w:val="0"/>
              <w:topLinePunct w:val="0"/>
              <w:autoSpaceDE/>
              <w:autoSpaceDN/>
              <w:bidi w:val="0"/>
              <w:adjustRightInd w:val="0"/>
              <w:snapToGrid w:val="0"/>
              <w:spacing w:line="400" w:lineRule="exact"/>
              <w:ind w:firstLine="396" w:firstLineChars="200"/>
              <w:jc w:val="left"/>
              <w:textAlignment w:val="auto"/>
              <w:outlineLvl w:val="1"/>
              <w:rPr>
                <w:rFonts w:hint="eastAsia" w:ascii="黑体" w:hAnsi="黑体" w:eastAsia="黑体" w:cs="黑体"/>
                <w:b w:val="0"/>
                <w:bCs w:val="0"/>
                <w:color w:val="auto"/>
                <w:spacing w:val="-6"/>
                <w:sz w:val="21"/>
                <w:szCs w:val="21"/>
                <w:lang w:eastAsia="zh-CN" w:bidi="ar"/>
              </w:rPr>
            </w:pPr>
            <w:r>
              <w:rPr>
                <w:rFonts w:hint="eastAsia" w:ascii="黑体" w:hAnsi="黑体" w:eastAsia="黑体" w:cs="黑体"/>
                <w:b w:val="0"/>
                <w:bCs w:val="0"/>
                <w:color w:val="auto"/>
                <w:spacing w:val="-6"/>
                <w:sz w:val="21"/>
                <w:szCs w:val="21"/>
                <w:lang w:eastAsia="zh-CN" w:bidi="ar"/>
              </w:rPr>
              <w:t>四</w:t>
            </w:r>
            <w:r>
              <w:rPr>
                <w:rFonts w:hint="eastAsia" w:ascii="黑体" w:hAnsi="黑体" w:eastAsia="黑体" w:cs="黑体"/>
                <w:b w:val="0"/>
                <w:bCs w:val="0"/>
                <w:color w:val="auto"/>
                <w:spacing w:val="-6"/>
                <w:sz w:val="21"/>
                <w:szCs w:val="21"/>
                <w:lang w:bidi="ar"/>
              </w:rPr>
              <w:t>、</w:t>
            </w:r>
            <w:r>
              <w:rPr>
                <w:rFonts w:hint="eastAsia" w:ascii="黑体" w:hAnsi="黑体" w:eastAsia="黑体" w:cs="黑体"/>
                <w:b w:val="0"/>
                <w:bCs w:val="0"/>
                <w:color w:val="auto"/>
                <w:spacing w:val="-6"/>
                <w:sz w:val="21"/>
                <w:szCs w:val="21"/>
                <w:lang w:val="en-US" w:eastAsia="zh-CN" w:bidi="ar"/>
              </w:rPr>
              <w:t>总体布局</w:t>
            </w:r>
          </w:p>
          <w:p w14:paraId="637F83B0">
            <w:pPr>
              <w:keepNext w:val="0"/>
              <w:keepLines w:val="0"/>
              <w:pageBreakBefore w:val="0"/>
              <w:widowControl w:val="0"/>
              <w:kinsoku/>
              <w:wordWrap/>
              <w:overflowPunct w:val="0"/>
              <w:topLinePunct w:val="0"/>
              <w:autoSpaceDE/>
              <w:autoSpaceDN/>
              <w:bidi w:val="0"/>
              <w:adjustRightInd w:val="0"/>
              <w:snapToGrid w:val="0"/>
              <w:spacing w:line="400" w:lineRule="exact"/>
              <w:ind w:firstLine="420" w:firstLineChars="200"/>
              <w:jc w:val="left"/>
              <w:textAlignment w:val="auto"/>
              <w:outlineLvl w:val="1"/>
              <w:rPr>
                <w:rFonts w:hint="default" w:ascii="宋体" w:hAnsi="宋体" w:cs="宋体"/>
                <w:bCs/>
                <w:color w:val="auto"/>
                <w:sz w:val="21"/>
                <w:szCs w:val="21"/>
                <w:lang w:val="en-US" w:eastAsia="zh-CN" w:bidi="ar"/>
              </w:rPr>
            </w:pPr>
            <w:r>
              <w:rPr>
                <w:rFonts w:hint="eastAsia" w:ascii="宋体" w:hAnsi="宋体" w:cs="宋体"/>
                <w:bCs/>
                <w:color w:val="auto"/>
                <w:sz w:val="21"/>
                <w:szCs w:val="21"/>
                <w:lang w:val="en-US" w:eastAsia="zh-CN" w:bidi="ar"/>
              </w:rPr>
              <w:t>提出能效提级县建设总体目标、发展定位、提级布局等。</w:t>
            </w:r>
          </w:p>
          <w:p w14:paraId="6FCB5CF8">
            <w:pPr>
              <w:keepNext w:val="0"/>
              <w:keepLines w:val="0"/>
              <w:pageBreakBefore w:val="0"/>
              <w:widowControl w:val="0"/>
              <w:kinsoku/>
              <w:wordWrap/>
              <w:overflowPunct w:val="0"/>
              <w:topLinePunct w:val="0"/>
              <w:autoSpaceDE/>
              <w:autoSpaceDN/>
              <w:bidi w:val="0"/>
              <w:adjustRightInd w:val="0"/>
              <w:snapToGrid w:val="0"/>
              <w:spacing w:line="400" w:lineRule="exact"/>
              <w:ind w:firstLine="396" w:firstLineChars="200"/>
              <w:jc w:val="left"/>
              <w:textAlignment w:val="auto"/>
              <w:outlineLvl w:val="1"/>
              <w:rPr>
                <w:rFonts w:hint="default" w:ascii="黑体" w:hAnsi="黑体" w:eastAsia="黑体" w:cs="黑体"/>
                <w:b w:val="0"/>
                <w:bCs w:val="0"/>
                <w:color w:val="auto"/>
                <w:spacing w:val="-6"/>
                <w:sz w:val="21"/>
                <w:szCs w:val="21"/>
                <w:lang w:val="en-US" w:eastAsia="zh-CN" w:bidi="ar"/>
              </w:rPr>
            </w:pPr>
            <w:bookmarkStart w:id="58" w:name="OLE_LINK2"/>
            <w:r>
              <w:rPr>
                <w:rFonts w:hint="eastAsia" w:ascii="黑体" w:hAnsi="黑体" w:eastAsia="黑体" w:cs="黑体"/>
                <w:b w:val="0"/>
                <w:bCs w:val="0"/>
                <w:color w:val="auto"/>
                <w:spacing w:val="-6"/>
                <w:sz w:val="21"/>
                <w:szCs w:val="21"/>
                <w:lang w:eastAsia="zh-CN" w:bidi="ar"/>
              </w:rPr>
              <w:t>五</w:t>
            </w:r>
            <w:r>
              <w:rPr>
                <w:rFonts w:hint="eastAsia" w:ascii="黑体" w:hAnsi="黑体" w:eastAsia="黑体" w:cs="黑体"/>
                <w:b w:val="0"/>
                <w:bCs w:val="0"/>
                <w:color w:val="auto"/>
                <w:spacing w:val="-6"/>
                <w:sz w:val="21"/>
                <w:szCs w:val="21"/>
                <w:lang w:bidi="ar"/>
              </w:rPr>
              <w:t>、</w:t>
            </w:r>
            <w:r>
              <w:rPr>
                <w:rFonts w:hint="eastAsia" w:ascii="黑体" w:hAnsi="黑体" w:eastAsia="黑体" w:cs="黑体"/>
                <w:b w:val="0"/>
                <w:bCs w:val="0"/>
                <w:color w:val="auto"/>
                <w:spacing w:val="-6"/>
                <w:sz w:val="21"/>
                <w:szCs w:val="21"/>
                <w:lang w:val="en-US" w:eastAsia="zh-CN" w:bidi="ar"/>
              </w:rPr>
              <w:t>任务与措施</w:t>
            </w:r>
          </w:p>
          <w:bookmarkEnd w:id="58"/>
          <w:p w14:paraId="422E6459">
            <w:pPr>
              <w:keepNext w:val="0"/>
              <w:keepLines w:val="0"/>
              <w:pageBreakBefore w:val="0"/>
              <w:widowControl w:val="0"/>
              <w:kinsoku/>
              <w:wordWrap/>
              <w:overflowPunct w:val="0"/>
              <w:topLinePunct w:val="0"/>
              <w:autoSpaceDE/>
              <w:autoSpaceDN/>
              <w:bidi w:val="0"/>
              <w:adjustRightInd w:val="0"/>
              <w:snapToGrid w:val="0"/>
              <w:spacing w:line="400" w:lineRule="exact"/>
              <w:ind w:firstLine="420" w:firstLineChars="200"/>
              <w:jc w:val="left"/>
              <w:textAlignment w:val="auto"/>
              <w:rPr>
                <w:rFonts w:hint="eastAsia" w:ascii="宋体" w:hAnsi="宋体" w:cs="宋体"/>
                <w:bCs/>
                <w:color w:val="auto"/>
                <w:sz w:val="21"/>
                <w:szCs w:val="21"/>
                <w:lang w:val="en-US" w:eastAsia="zh-CN" w:bidi="ar"/>
              </w:rPr>
            </w:pPr>
            <w:r>
              <w:rPr>
                <w:rFonts w:hint="eastAsia" w:ascii="宋体" w:hAnsi="宋体" w:cs="宋体"/>
                <w:bCs/>
                <w:color w:val="auto"/>
                <w:sz w:val="21"/>
                <w:szCs w:val="21"/>
                <w:lang w:val="en-US" w:eastAsia="zh-CN" w:bidi="ar"/>
              </w:rPr>
              <w:t>从全面强化河湖管护机制、标本兼治复苏河湖生态、建设健康美丽幸福河湖3个层面提出有关任务与措施。</w:t>
            </w:r>
          </w:p>
          <w:p w14:paraId="708213E7">
            <w:pPr>
              <w:keepNext w:val="0"/>
              <w:keepLines w:val="0"/>
              <w:pageBreakBefore w:val="0"/>
              <w:widowControl w:val="0"/>
              <w:kinsoku/>
              <w:wordWrap/>
              <w:overflowPunct w:val="0"/>
              <w:topLinePunct w:val="0"/>
              <w:autoSpaceDE/>
              <w:autoSpaceDN/>
              <w:bidi w:val="0"/>
              <w:adjustRightInd w:val="0"/>
              <w:snapToGrid w:val="0"/>
              <w:spacing w:line="400" w:lineRule="exact"/>
              <w:ind w:firstLine="396" w:firstLineChars="200"/>
              <w:jc w:val="left"/>
              <w:textAlignment w:val="auto"/>
              <w:outlineLvl w:val="1"/>
              <w:rPr>
                <w:rFonts w:hint="default" w:ascii="黑体" w:hAnsi="黑体" w:eastAsia="黑体" w:cs="黑体"/>
                <w:b w:val="0"/>
                <w:bCs w:val="0"/>
                <w:color w:val="auto"/>
                <w:spacing w:val="-6"/>
                <w:sz w:val="21"/>
                <w:szCs w:val="21"/>
                <w:lang w:val="en-US" w:eastAsia="zh-CN" w:bidi="ar"/>
              </w:rPr>
            </w:pPr>
            <w:r>
              <w:rPr>
                <w:rFonts w:hint="eastAsia" w:ascii="黑体" w:hAnsi="黑体" w:eastAsia="黑体" w:cs="黑体"/>
                <w:b w:val="0"/>
                <w:bCs w:val="0"/>
                <w:color w:val="auto"/>
                <w:spacing w:val="-6"/>
                <w:sz w:val="21"/>
                <w:szCs w:val="21"/>
                <w:lang w:val="en-US" w:eastAsia="zh-CN" w:bidi="ar"/>
              </w:rPr>
              <w:t>六</w:t>
            </w:r>
            <w:r>
              <w:rPr>
                <w:rFonts w:hint="eastAsia" w:ascii="黑体" w:hAnsi="黑体" w:eastAsia="黑体" w:cs="黑体"/>
                <w:b w:val="0"/>
                <w:bCs w:val="0"/>
                <w:color w:val="auto"/>
                <w:spacing w:val="-6"/>
                <w:sz w:val="21"/>
                <w:szCs w:val="21"/>
                <w:lang w:bidi="ar"/>
              </w:rPr>
              <w:t>、</w:t>
            </w:r>
            <w:r>
              <w:rPr>
                <w:rFonts w:hint="eastAsia" w:ascii="黑体" w:hAnsi="黑体" w:eastAsia="黑体" w:cs="黑体"/>
                <w:b w:val="0"/>
                <w:bCs w:val="0"/>
                <w:color w:val="auto"/>
                <w:spacing w:val="-6"/>
                <w:sz w:val="21"/>
                <w:szCs w:val="21"/>
                <w:lang w:val="en-US" w:eastAsia="zh-CN" w:bidi="ar"/>
              </w:rPr>
              <w:t>投资匡算</w:t>
            </w:r>
          </w:p>
          <w:p w14:paraId="5E7E238E">
            <w:pPr>
              <w:keepNext w:val="0"/>
              <w:keepLines w:val="0"/>
              <w:pageBreakBefore w:val="0"/>
              <w:widowControl w:val="0"/>
              <w:kinsoku/>
              <w:wordWrap/>
              <w:overflowPunct w:val="0"/>
              <w:topLinePunct w:val="0"/>
              <w:autoSpaceDE/>
              <w:autoSpaceDN/>
              <w:bidi w:val="0"/>
              <w:adjustRightInd w:val="0"/>
              <w:snapToGrid w:val="0"/>
              <w:spacing w:line="400" w:lineRule="exact"/>
              <w:ind w:firstLine="420" w:firstLineChars="200"/>
              <w:jc w:val="left"/>
              <w:textAlignment w:val="auto"/>
              <w:rPr>
                <w:rFonts w:hint="eastAsia" w:ascii="宋体" w:hAnsi="宋体" w:cs="宋体"/>
                <w:bCs/>
                <w:color w:val="auto"/>
                <w:sz w:val="21"/>
                <w:szCs w:val="21"/>
                <w:lang w:val="en-US" w:eastAsia="zh-CN" w:bidi="ar"/>
              </w:rPr>
            </w:pPr>
            <w:r>
              <w:rPr>
                <w:rFonts w:hint="eastAsia" w:ascii="宋体" w:hAnsi="宋体" w:cs="宋体"/>
                <w:bCs/>
                <w:color w:val="auto"/>
                <w:sz w:val="21"/>
                <w:szCs w:val="21"/>
                <w:lang w:val="en-US" w:eastAsia="zh-CN" w:bidi="ar"/>
              </w:rPr>
              <w:t>主要对能效提级专项经费进行匡算。</w:t>
            </w:r>
          </w:p>
          <w:p w14:paraId="63A70375">
            <w:pPr>
              <w:keepNext w:val="0"/>
              <w:keepLines w:val="0"/>
              <w:pageBreakBefore w:val="0"/>
              <w:widowControl w:val="0"/>
              <w:kinsoku/>
              <w:wordWrap/>
              <w:overflowPunct w:val="0"/>
              <w:topLinePunct w:val="0"/>
              <w:autoSpaceDE/>
              <w:autoSpaceDN/>
              <w:bidi w:val="0"/>
              <w:adjustRightInd w:val="0"/>
              <w:snapToGrid w:val="0"/>
              <w:spacing w:line="400" w:lineRule="exact"/>
              <w:ind w:firstLine="396" w:firstLineChars="200"/>
              <w:jc w:val="left"/>
              <w:textAlignment w:val="auto"/>
              <w:outlineLvl w:val="1"/>
              <w:rPr>
                <w:rFonts w:hint="default" w:ascii="黑体" w:hAnsi="黑体" w:eastAsia="黑体" w:cs="黑体"/>
                <w:b w:val="0"/>
                <w:bCs w:val="0"/>
                <w:color w:val="auto"/>
                <w:spacing w:val="-6"/>
                <w:sz w:val="21"/>
                <w:szCs w:val="21"/>
                <w:lang w:val="en-US" w:eastAsia="zh-CN" w:bidi="ar"/>
              </w:rPr>
            </w:pPr>
            <w:r>
              <w:rPr>
                <w:rFonts w:hint="eastAsia" w:ascii="黑体" w:hAnsi="黑体" w:eastAsia="黑体" w:cs="黑体"/>
                <w:b w:val="0"/>
                <w:bCs w:val="0"/>
                <w:color w:val="auto"/>
                <w:spacing w:val="-6"/>
                <w:sz w:val="21"/>
                <w:szCs w:val="21"/>
                <w:lang w:val="en-US" w:eastAsia="zh-CN" w:bidi="ar"/>
              </w:rPr>
              <w:t>七、效益分析</w:t>
            </w:r>
          </w:p>
          <w:p w14:paraId="04B816A5">
            <w:pPr>
              <w:keepNext w:val="0"/>
              <w:keepLines w:val="0"/>
              <w:pageBreakBefore w:val="0"/>
              <w:widowControl w:val="0"/>
              <w:kinsoku/>
              <w:wordWrap/>
              <w:overflowPunct w:val="0"/>
              <w:topLinePunct w:val="0"/>
              <w:autoSpaceDE/>
              <w:autoSpaceDN/>
              <w:bidi w:val="0"/>
              <w:adjustRightInd w:val="0"/>
              <w:snapToGrid w:val="0"/>
              <w:spacing w:line="400" w:lineRule="exact"/>
              <w:ind w:firstLine="420" w:firstLineChars="200"/>
              <w:textAlignment w:val="auto"/>
              <w:rPr>
                <w:rFonts w:hint="eastAsia" w:ascii="宋体" w:hAnsi="宋体" w:eastAsia="宋体" w:cs="宋体"/>
                <w:b w:val="0"/>
                <w:bCs/>
                <w:color w:val="auto"/>
                <w:sz w:val="21"/>
                <w:szCs w:val="21"/>
                <w:lang w:bidi="ar"/>
              </w:rPr>
            </w:pPr>
            <w:r>
              <w:rPr>
                <w:rFonts w:hint="eastAsia" w:ascii="宋体" w:hAnsi="宋体" w:cs="宋体"/>
                <w:b w:val="0"/>
                <w:bCs/>
                <w:color w:val="auto"/>
                <w:sz w:val="21"/>
                <w:szCs w:val="21"/>
                <w:lang w:val="en-US" w:eastAsia="zh-CN" w:bidi="ar"/>
              </w:rPr>
              <w:t>依据评估指标进行能效提级实施后评估打分，从生态效益、社会效益和经济效益等方面分析能效提升情况</w:t>
            </w:r>
            <w:r>
              <w:rPr>
                <w:rFonts w:hint="eastAsia" w:ascii="宋体" w:hAnsi="宋体" w:eastAsia="宋体" w:cs="宋体"/>
                <w:b w:val="0"/>
                <w:bCs/>
                <w:color w:val="auto"/>
                <w:sz w:val="21"/>
                <w:szCs w:val="21"/>
                <w:lang w:eastAsia="zh-CN" w:bidi="ar"/>
              </w:rPr>
              <w:t>。</w:t>
            </w:r>
          </w:p>
          <w:p w14:paraId="6753AAA7">
            <w:pPr>
              <w:keepNext w:val="0"/>
              <w:keepLines w:val="0"/>
              <w:pageBreakBefore w:val="0"/>
              <w:widowControl w:val="0"/>
              <w:kinsoku/>
              <w:wordWrap/>
              <w:overflowPunct w:val="0"/>
              <w:topLinePunct w:val="0"/>
              <w:autoSpaceDE/>
              <w:autoSpaceDN/>
              <w:bidi w:val="0"/>
              <w:adjustRightInd w:val="0"/>
              <w:snapToGrid w:val="0"/>
              <w:spacing w:line="400" w:lineRule="exact"/>
              <w:ind w:firstLine="396" w:firstLineChars="200"/>
              <w:jc w:val="left"/>
              <w:textAlignment w:val="auto"/>
              <w:outlineLvl w:val="1"/>
              <w:rPr>
                <w:rFonts w:hint="default" w:ascii="黑体" w:hAnsi="黑体" w:eastAsia="黑体" w:cs="黑体"/>
                <w:b w:val="0"/>
                <w:bCs w:val="0"/>
                <w:color w:val="auto"/>
                <w:spacing w:val="-6"/>
                <w:sz w:val="21"/>
                <w:szCs w:val="21"/>
                <w:lang w:val="en-US" w:eastAsia="zh-CN" w:bidi="ar"/>
              </w:rPr>
            </w:pPr>
            <w:r>
              <w:rPr>
                <w:rFonts w:hint="eastAsia" w:ascii="黑体" w:hAnsi="黑体" w:eastAsia="黑体" w:cs="黑体"/>
                <w:b w:val="0"/>
                <w:bCs w:val="0"/>
                <w:color w:val="auto"/>
                <w:spacing w:val="-6"/>
                <w:sz w:val="21"/>
                <w:szCs w:val="21"/>
                <w:lang w:val="en-US" w:eastAsia="zh-CN" w:bidi="ar"/>
              </w:rPr>
              <w:t>八、保障措施</w:t>
            </w:r>
          </w:p>
          <w:p w14:paraId="1CECC86E">
            <w:pPr>
              <w:keepNext w:val="0"/>
              <w:keepLines w:val="0"/>
              <w:pageBreakBefore w:val="0"/>
              <w:widowControl w:val="0"/>
              <w:kinsoku/>
              <w:wordWrap/>
              <w:overflowPunct w:val="0"/>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Cs/>
                <w:color w:val="auto"/>
                <w:sz w:val="21"/>
                <w:szCs w:val="21"/>
                <w:lang w:bidi="ar"/>
              </w:rPr>
            </w:pPr>
            <w:r>
              <w:rPr>
                <w:rFonts w:hint="eastAsia" w:ascii="宋体" w:hAnsi="宋体" w:cs="宋体"/>
                <w:bCs/>
                <w:color w:val="auto"/>
                <w:sz w:val="21"/>
                <w:szCs w:val="21"/>
                <w:lang w:val="en-US" w:eastAsia="zh-CN" w:bidi="ar"/>
              </w:rPr>
              <w:t>从组织保障、机制保障、要素保障等方面提出有关保障措施</w:t>
            </w:r>
            <w:r>
              <w:rPr>
                <w:rFonts w:hint="eastAsia" w:ascii="宋体" w:hAnsi="宋体" w:eastAsia="宋体" w:cs="宋体"/>
                <w:bCs/>
                <w:color w:val="auto"/>
                <w:sz w:val="21"/>
                <w:szCs w:val="21"/>
                <w:lang w:bidi="ar"/>
              </w:rPr>
              <w:t>。</w:t>
            </w:r>
          </w:p>
          <w:p w14:paraId="1C95C75E">
            <w:pPr>
              <w:keepNext w:val="0"/>
              <w:keepLines w:val="0"/>
              <w:pageBreakBefore w:val="0"/>
              <w:widowControl w:val="0"/>
              <w:kinsoku/>
              <w:wordWrap/>
              <w:overflowPunct w:val="0"/>
              <w:topLinePunct w:val="0"/>
              <w:autoSpaceDE/>
              <w:autoSpaceDN/>
              <w:bidi w:val="0"/>
              <w:adjustRightInd w:val="0"/>
              <w:snapToGrid w:val="0"/>
              <w:spacing w:line="400" w:lineRule="exact"/>
              <w:ind w:firstLine="396" w:firstLineChars="200"/>
              <w:jc w:val="left"/>
              <w:textAlignment w:val="auto"/>
              <w:rPr>
                <w:rFonts w:hint="eastAsia" w:ascii="黑体" w:hAnsi="黑体" w:eastAsia="黑体" w:cs="黑体"/>
                <w:b w:val="0"/>
                <w:bCs w:val="0"/>
                <w:color w:val="auto"/>
                <w:spacing w:val="-6"/>
                <w:sz w:val="21"/>
                <w:szCs w:val="21"/>
                <w:lang w:val="en-US" w:eastAsia="zh-CN" w:bidi="ar"/>
              </w:rPr>
            </w:pPr>
            <w:r>
              <w:rPr>
                <w:rFonts w:hint="eastAsia" w:ascii="黑体" w:hAnsi="黑体" w:eastAsia="黑体" w:cs="黑体"/>
                <w:b w:val="0"/>
                <w:bCs w:val="0"/>
                <w:color w:val="auto"/>
                <w:spacing w:val="-6"/>
                <w:sz w:val="21"/>
                <w:szCs w:val="21"/>
                <w:lang w:val="en-US" w:eastAsia="zh-CN" w:bidi="ar"/>
              </w:rPr>
              <w:t>附图</w:t>
            </w:r>
          </w:p>
          <w:p w14:paraId="1F4DC590">
            <w:pPr>
              <w:keepNext w:val="0"/>
              <w:keepLines w:val="0"/>
              <w:pageBreakBefore w:val="0"/>
              <w:widowControl w:val="0"/>
              <w:kinsoku/>
              <w:wordWrap/>
              <w:overflowPunct w:val="0"/>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Cs/>
                <w:color w:val="auto"/>
                <w:sz w:val="21"/>
                <w:szCs w:val="21"/>
                <w:lang w:val="en-US" w:eastAsia="zh-CN" w:bidi="ar"/>
              </w:rPr>
            </w:pPr>
            <w:r>
              <w:rPr>
                <w:rFonts w:hint="eastAsia" w:ascii="宋体" w:hAnsi="宋体" w:cs="宋体"/>
                <w:bCs/>
                <w:color w:val="auto"/>
                <w:sz w:val="21"/>
                <w:szCs w:val="21"/>
                <w:lang w:val="en-US" w:eastAsia="zh-CN" w:bidi="ar"/>
              </w:rPr>
              <w:t>包括水系分布图、总体布局图等。</w:t>
            </w:r>
          </w:p>
        </w:tc>
      </w:tr>
    </w:tbl>
    <w:p w14:paraId="6E92DBD4">
      <w:pPr>
        <w:pStyle w:val="56"/>
        <w:rPr>
          <w:color w:val="auto"/>
        </w:rPr>
      </w:pPr>
    </w:p>
    <w:p w14:paraId="1A1537CC">
      <w:pPr>
        <w:rPr>
          <w:color w:val="auto"/>
        </w:rPr>
      </w:pPr>
      <w:r>
        <w:rPr>
          <w:color w:val="auto"/>
        </w:rPr>
        <w:br w:type="page"/>
      </w:r>
    </w:p>
    <w:p w14:paraId="22809581">
      <w:pPr>
        <w:pStyle w:val="76"/>
        <w:shd w:val="clear" w:color="FFFFFF" w:fill="FFFFFF"/>
        <w:tabs>
          <w:tab w:val="left" w:pos="3990"/>
        </w:tabs>
        <w:spacing w:after="156"/>
        <w:rPr>
          <w:color w:val="auto"/>
        </w:rPr>
      </w:pPr>
      <w:r>
        <w:rPr>
          <w:color w:val="auto"/>
        </w:rPr>
        <w:br w:type="textWrapping"/>
      </w:r>
      <w:r>
        <w:rPr>
          <w:rFonts w:hint="eastAsia"/>
          <w:color w:val="auto"/>
        </w:rPr>
        <w:t>（资料性）</w:t>
      </w:r>
      <w:r>
        <w:rPr>
          <w:color w:val="auto"/>
        </w:rPr>
        <w:br w:type="textWrapping"/>
      </w:r>
      <w:r>
        <w:rPr>
          <w:rFonts w:hint="eastAsia"/>
          <w:color w:val="auto"/>
        </w:rPr>
        <w:t>河湖长制能效提级县</w:t>
      </w:r>
      <w:r>
        <w:rPr>
          <w:rFonts w:hint="eastAsia"/>
          <w:color w:val="auto"/>
          <w:lang w:eastAsia="zh-CN"/>
        </w:rPr>
        <w:t>评估报告提纲</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14:paraId="65C2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14:paraId="32EE008E">
            <w:pPr>
              <w:keepNext w:val="0"/>
              <w:keepLines w:val="0"/>
              <w:pageBreakBefore w:val="0"/>
              <w:kinsoku/>
              <w:wordWrap/>
              <w:overflowPunct w:val="0"/>
              <w:topLinePunct w:val="0"/>
              <w:autoSpaceDE/>
              <w:autoSpaceDN/>
              <w:bidi w:val="0"/>
              <w:snapToGrid w:val="0"/>
              <w:spacing w:line="540" w:lineRule="exact"/>
              <w:jc w:val="center"/>
              <w:outlineLvl w:val="1"/>
              <w:rPr>
                <w:rFonts w:hint="eastAsia" w:ascii="黑体" w:hAnsi="黑体" w:eastAsia="黑体" w:cs="黑体"/>
                <w:color w:val="auto"/>
                <w:spacing w:val="-6"/>
                <w:sz w:val="21"/>
                <w:szCs w:val="21"/>
              </w:rPr>
            </w:pPr>
            <w:r>
              <w:rPr>
                <w:rFonts w:hint="eastAsia" w:ascii="黑体" w:hAnsi="黑体" w:eastAsia="黑体" w:cs="黑体"/>
                <w:color w:val="auto"/>
                <w:spacing w:val="-6"/>
                <w:sz w:val="21"/>
                <w:szCs w:val="21"/>
                <w:lang w:val="en-US" w:eastAsia="zh-CN"/>
              </w:rPr>
              <w:t>XX县</w:t>
            </w:r>
            <w:r>
              <w:rPr>
                <w:rFonts w:hint="eastAsia" w:ascii="黑体" w:hAnsi="黑体" w:eastAsia="黑体" w:cs="黑体"/>
                <w:color w:val="auto"/>
                <w:spacing w:val="-6"/>
                <w:sz w:val="21"/>
                <w:szCs w:val="21"/>
              </w:rPr>
              <w:t>河湖长制</w:t>
            </w:r>
            <w:r>
              <w:rPr>
                <w:rFonts w:hint="eastAsia" w:ascii="黑体" w:hAnsi="黑体" w:eastAsia="黑体" w:cs="黑体"/>
                <w:color w:val="auto"/>
                <w:spacing w:val="-6"/>
                <w:sz w:val="21"/>
                <w:szCs w:val="21"/>
                <w:lang w:val="en" w:eastAsia="zh-CN"/>
              </w:rPr>
              <w:t>能效提级县</w:t>
            </w:r>
            <w:r>
              <w:rPr>
                <w:rFonts w:hint="eastAsia" w:ascii="黑体" w:hAnsi="黑体" w:eastAsia="黑体" w:cs="黑体"/>
                <w:color w:val="auto"/>
                <w:spacing w:val="-6"/>
                <w:sz w:val="21"/>
                <w:szCs w:val="21"/>
              </w:rPr>
              <w:t>建设</w:t>
            </w:r>
            <w:r>
              <w:rPr>
                <w:rFonts w:hint="eastAsia" w:ascii="黑体" w:hAnsi="黑体" w:eastAsia="黑体" w:cs="黑体"/>
                <w:color w:val="auto"/>
                <w:spacing w:val="-6"/>
                <w:sz w:val="21"/>
                <w:szCs w:val="21"/>
                <w:lang w:eastAsia="zh-CN"/>
              </w:rPr>
              <w:t>成效评估</w:t>
            </w:r>
            <w:r>
              <w:rPr>
                <w:rFonts w:hint="eastAsia" w:ascii="黑体" w:hAnsi="黑体" w:eastAsia="黑体" w:cs="黑体"/>
                <w:color w:val="auto"/>
                <w:spacing w:val="-6"/>
                <w:sz w:val="21"/>
                <w:szCs w:val="21"/>
              </w:rPr>
              <w:t>报告</w:t>
            </w:r>
          </w:p>
          <w:p w14:paraId="3899B566">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前言，简述</w:t>
            </w:r>
            <w:r>
              <w:rPr>
                <w:rFonts w:hint="eastAsia" w:ascii="宋体" w:hAnsi="宋体" w:eastAsia="宋体" w:cs="宋体"/>
                <w:bCs/>
                <w:color w:val="auto"/>
                <w:sz w:val="21"/>
                <w:szCs w:val="21"/>
                <w:lang w:eastAsia="zh-CN" w:bidi="ar"/>
              </w:rPr>
              <w:t>建设情况、</w:t>
            </w:r>
            <w:r>
              <w:rPr>
                <w:rFonts w:hint="eastAsia" w:ascii="宋体" w:hAnsi="宋体" w:eastAsia="宋体" w:cs="宋体"/>
                <w:bCs/>
                <w:color w:val="auto"/>
                <w:sz w:val="21"/>
                <w:szCs w:val="21"/>
                <w:lang w:bidi="ar"/>
              </w:rPr>
              <w:t>自评依据、自评过程等情况。</w:t>
            </w:r>
          </w:p>
          <w:p w14:paraId="0F0CB702">
            <w:pPr>
              <w:keepNext w:val="0"/>
              <w:keepLines w:val="0"/>
              <w:pageBreakBefore w:val="0"/>
              <w:kinsoku/>
              <w:wordWrap/>
              <w:overflowPunct w:val="0"/>
              <w:topLinePunct w:val="0"/>
              <w:autoSpaceDE/>
              <w:autoSpaceDN/>
              <w:bidi w:val="0"/>
              <w:snapToGrid w:val="0"/>
              <w:spacing w:line="540" w:lineRule="exact"/>
              <w:ind w:firstLine="396" w:firstLineChars="200"/>
              <w:jc w:val="left"/>
              <w:outlineLvl w:val="1"/>
              <w:rPr>
                <w:rFonts w:hint="eastAsia" w:ascii="黑体" w:hAnsi="黑体" w:eastAsia="黑体" w:cs="黑体"/>
                <w:b w:val="0"/>
                <w:bCs w:val="0"/>
                <w:color w:val="auto"/>
                <w:spacing w:val="-6"/>
                <w:sz w:val="21"/>
                <w:szCs w:val="21"/>
              </w:rPr>
            </w:pPr>
            <w:r>
              <w:rPr>
                <w:rFonts w:hint="eastAsia" w:ascii="黑体" w:hAnsi="黑体" w:eastAsia="黑体" w:cs="黑体"/>
                <w:b w:val="0"/>
                <w:bCs w:val="0"/>
                <w:color w:val="auto"/>
                <w:spacing w:val="-6"/>
                <w:sz w:val="21"/>
                <w:szCs w:val="21"/>
                <w:lang w:bidi="ar"/>
              </w:rPr>
              <w:t>一、建设概况</w:t>
            </w:r>
          </w:p>
          <w:p w14:paraId="79B781D1">
            <w:pPr>
              <w:keepNext w:val="0"/>
              <w:keepLines w:val="0"/>
              <w:pageBreakBefore w:val="0"/>
              <w:kinsoku/>
              <w:wordWrap/>
              <w:overflowPunct w:val="0"/>
              <w:topLinePunct w:val="0"/>
              <w:autoSpaceDE/>
              <w:autoSpaceDN/>
              <w:bidi w:val="0"/>
              <w:snapToGrid w:val="0"/>
              <w:spacing w:line="540" w:lineRule="exact"/>
              <w:ind w:firstLine="398" w:firstLineChars="200"/>
              <w:outlineLvl w:val="2"/>
              <w:rPr>
                <w:rFonts w:hint="eastAsia" w:ascii="宋体" w:hAnsi="宋体" w:eastAsia="宋体" w:cs="宋体"/>
                <w:b/>
                <w:bCs/>
                <w:color w:val="auto"/>
                <w:spacing w:val="-6"/>
                <w:sz w:val="21"/>
                <w:szCs w:val="21"/>
                <w:lang w:eastAsia="zh-CN" w:bidi="ar"/>
              </w:rPr>
            </w:pPr>
            <w:r>
              <w:rPr>
                <w:rFonts w:hint="eastAsia" w:ascii="宋体" w:hAnsi="宋体" w:eastAsia="宋体" w:cs="宋体"/>
                <w:b/>
                <w:bCs/>
                <w:color w:val="auto"/>
                <w:spacing w:val="-6"/>
                <w:sz w:val="21"/>
                <w:szCs w:val="21"/>
                <w:lang w:eastAsia="zh-CN" w:bidi="ar"/>
              </w:rPr>
              <w:t>（一）基本情况</w:t>
            </w:r>
          </w:p>
          <w:p w14:paraId="6D3A3A39">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eastAsia="zh-CN" w:bidi="ar"/>
              </w:rPr>
            </w:pPr>
            <w:r>
              <w:rPr>
                <w:rFonts w:hint="eastAsia" w:ascii="宋体" w:hAnsi="宋体" w:eastAsia="宋体" w:cs="宋体"/>
                <w:bCs/>
                <w:color w:val="auto"/>
                <w:sz w:val="21"/>
                <w:szCs w:val="21"/>
                <w:lang w:eastAsia="zh-CN" w:bidi="ar"/>
              </w:rPr>
              <w:t>简述</w:t>
            </w:r>
            <w:r>
              <w:rPr>
                <w:rFonts w:hint="eastAsia" w:ascii="宋体" w:hAnsi="宋体" w:eastAsia="宋体" w:cs="宋体"/>
                <w:bCs/>
                <w:color w:val="auto"/>
                <w:sz w:val="21"/>
                <w:szCs w:val="21"/>
                <w:lang w:bidi="ar"/>
              </w:rPr>
              <w:t>行政区河湖水系、</w:t>
            </w:r>
            <w:r>
              <w:rPr>
                <w:rFonts w:hint="eastAsia" w:ascii="宋体" w:hAnsi="宋体" w:eastAsia="宋体" w:cs="宋体"/>
                <w:bCs/>
                <w:color w:val="auto"/>
                <w:sz w:val="21"/>
                <w:szCs w:val="21"/>
                <w:lang w:val="en-US" w:eastAsia="zh-CN" w:bidi="ar"/>
              </w:rPr>
              <w:t>水安全、水资源、</w:t>
            </w:r>
            <w:r>
              <w:rPr>
                <w:rFonts w:hint="eastAsia" w:ascii="宋体" w:hAnsi="宋体" w:eastAsia="宋体" w:cs="宋体"/>
                <w:bCs/>
                <w:color w:val="auto"/>
                <w:sz w:val="21"/>
                <w:szCs w:val="21"/>
                <w:lang w:bidi="ar"/>
              </w:rPr>
              <w:t>水环境</w:t>
            </w:r>
            <w:r>
              <w:rPr>
                <w:rFonts w:hint="eastAsia" w:ascii="宋体" w:hAnsi="宋体" w:eastAsia="宋体" w:cs="宋体"/>
                <w:bCs/>
                <w:color w:val="auto"/>
                <w:sz w:val="21"/>
                <w:szCs w:val="21"/>
                <w:lang w:eastAsia="zh-CN" w:bidi="ar"/>
              </w:rPr>
              <w:t>、</w:t>
            </w:r>
            <w:r>
              <w:rPr>
                <w:rFonts w:hint="eastAsia" w:ascii="宋体" w:hAnsi="宋体" w:eastAsia="宋体" w:cs="宋体"/>
                <w:bCs/>
                <w:color w:val="auto"/>
                <w:sz w:val="21"/>
                <w:szCs w:val="21"/>
                <w:lang w:val="en-US" w:eastAsia="zh-CN" w:bidi="ar"/>
              </w:rPr>
              <w:t>水生态、水文化、水管理</w:t>
            </w:r>
            <w:r>
              <w:rPr>
                <w:rFonts w:hint="eastAsia" w:ascii="宋体" w:hAnsi="宋体" w:eastAsia="宋体" w:cs="宋体"/>
                <w:bCs/>
                <w:color w:val="auto"/>
                <w:sz w:val="21"/>
                <w:szCs w:val="21"/>
                <w:lang w:eastAsia="zh-CN" w:bidi="ar"/>
              </w:rPr>
              <w:t>等基本情况。</w:t>
            </w:r>
          </w:p>
          <w:p w14:paraId="24339D90">
            <w:pPr>
              <w:keepNext w:val="0"/>
              <w:keepLines w:val="0"/>
              <w:pageBreakBefore w:val="0"/>
              <w:kinsoku/>
              <w:wordWrap/>
              <w:overflowPunct w:val="0"/>
              <w:topLinePunct w:val="0"/>
              <w:autoSpaceDE/>
              <w:autoSpaceDN/>
              <w:bidi w:val="0"/>
              <w:snapToGrid w:val="0"/>
              <w:spacing w:line="540" w:lineRule="exact"/>
              <w:ind w:firstLine="398" w:firstLineChars="200"/>
              <w:outlineLvl w:val="2"/>
              <w:rPr>
                <w:rFonts w:hint="eastAsia" w:ascii="宋体" w:hAnsi="宋体" w:eastAsia="宋体" w:cs="宋体"/>
                <w:b/>
                <w:bCs/>
                <w:color w:val="auto"/>
                <w:spacing w:val="-6"/>
                <w:sz w:val="21"/>
                <w:szCs w:val="21"/>
                <w:lang w:eastAsia="zh-CN" w:bidi="ar"/>
              </w:rPr>
            </w:pPr>
            <w:r>
              <w:rPr>
                <w:rFonts w:hint="eastAsia" w:ascii="宋体" w:hAnsi="宋体" w:eastAsia="宋体" w:cs="宋体"/>
                <w:b/>
                <w:bCs/>
                <w:color w:val="auto"/>
                <w:spacing w:val="-6"/>
                <w:sz w:val="21"/>
                <w:szCs w:val="21"/>
                <w:lang w:eastAsia="zh-CN" w:bidi="ar"/>
              </w:rPr>
              <w:t>（二）能效提级县建设情况</w:t>
            </w:r>
          </w:p>
          <w:p w14:paraId="56A6137C">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eastAsia="zh-CN" w:bidi="ar"/>
              </w:rPr>
            </w:pPr>
            <w:r>
              <w:rPr>
                <w:rFonts w:hint="eastAsia" w:ascii="宋体" w:hAnsi="宋体" w:eastAsia="宋体" w:cs="宋体"/>
                <w:bCs/>
                <w:color w:val="auto"/>
                <w:sz w:val="21"/>
                <w:szCs w:val="21"/>
                <w:lang w:eastAsia="zh-CN" w:bidi="ar"/>
              </w:rPr>
              <w:t>概述能效提级县建设实施情况，包括部署落实情况、</w:t>
            </w:r>
            <w:r>
              <w:rPr>
                <w:rFonts w:hint="eastAsia" w:ascii="宋体" w:hAnsi="宋体" w:eastAsia="宋体" w:cs="宋体"/>
                <w:bCs/>
                <w:color w:val="auto"/>
                <w:sz w:val="21"/>
                <w:szCs w:val="21"/>
                <w:lang w:val="en-US" w:eastAsia="zh-CN" w:bidi="ar"/>
              </w:rPr>
              <w:t>工作</w:t>
            </w:r>
            <w:r>
              <w:rPr>
                <w:rFonts w:hint="eastAsia" w:ascii="宋体" w:hAnsi="宋体" w:eastAsia="宋体" w:cs="宋体"/>
                <w:bCs/>
                <w:color w:val="auto"/>
                <w:sz w:val="21"/>
                <w:szCs w:val="21"/>
                <w:lang w:eastAsia="zh-CN" w:bidi="ar"/>
              </w:rPr>
              <w:t>方案</w:t>
            </w:r>
            <w:r>
              <w:rPr>
                <w:rFonts w:hint="eastAsia" w:ascii="宋体" w:hAnsi="宋体" w:eastAsia="宋体" w:cs="宋体"/>
                <w:bCs/>
                <w:color w:val="auto"/>
                <w:sz w:val="21"/>
                <w:szCs w:val="21"/>
                <w:lang w:val="en-US" w:eastAsia="zh-CN" w:bidi="ar"/>
              </w:rPr>
              <w:t>制定及</w:t>
            </w:r>
            <w:r>
              <w:rPr>
                <w:rFonts w:hint="eastAsia" w:ascii="宋体" w:hAnsi="宋体" w:eastAsia="宋体" w:cs="宋体"/>
                <w:bCs/>
                <w:color w:val="auto"/>
                <w:sz w:val="21"/>
                <w:szCs w:val="21"/>
                <w:lang w:eastAsia="zh-CN" w:bidi="ar"/>
              </w:rPr>
              <w:t>完成情况等。</w:t>
            </w:r>
          </w:p>
          <w:p w14:paraId="6AC0B4F1">
            <w:pPr>
              <w:keepNext w:val="0"/>
              <w:keepLines w:val="0"/>
              <w:pageBreakBefore w:val="0"/>
              <w:kinsoku/>
              <w:wordWrap/>
              <w:overflowPunct w:val="0"/>
              <w:topLinePunct w:val="0"/>
              <w:autoSpaceDE/>
              <w:autoSpaceDN/>
              <w:bidi w:val="0"/>
              <w:snapToGrid w:val="0"/>
              <w:spacing w:line="540" w:lineRule="exact"/>
              <w:ind w:firstLine="396" w:firstLineChars="200"/>
              <w:jc w:val="left"/>
              <w:outlineLvl w:val="1"/>
              <w:rPr>
                <w:rFonts w:hint="eastAsia" w:ascii="黑体" w:hAnsi="黑体" w:eastAsia="黑体" w:cs="黑体"/>
                <w:b w:val="0"/>
                <w:bCs w:val="0"/>
                <w:color w:val="auto"/>
                <w:spacing w:val="-6"/>
                <w:sz w:val="21"/>
                <w:szCs w:val="21"/>
                <w:lang w:bidi="ar"/>
              </w:rPr>
            </w:pPr>
            <w:r>
              <w:rPr>
                <w:rFonts w:hint="eastAsia" w:ascii="黑体" w:hAnsi="黑体" w:eastAsia="黑体" w:cs="黑体"/>
                <w:b w:val="0"/>
                <w:bCs w:val="0"/>
                <w:color w:val="auto"/>
                <w:spacing w:val="-6"/>
                <w:sz w:val="21"/>
                <w:szCs w:val="21"/>
                <w:lang w:bidi="ar"/>
              </w:rPr>
              <w:t>二、自评情况</w:t>
            </w:r>
          </w:p>
          <w:p w14:paraId="02AD11C0">
            <w:pPr>
              <w:keepNext w:val="0"/>
              <w:keepLines w:val="0"/>
              <w:pageBreakBefore w:val="0"/>
              <w:kinsoku/>
              <w:wordWrap/>
              <w:overflowPunct w:val="0"/>
              <w:topLinePunct w:val="0"/>
              <w:autoSpaceDE/>
              <w:autoSpaceDN/>
              <w:bidi w:val="0"/>
              <w:snapToGrid w:val="0"/>
              <w:spacing w:line="540" w:lineRule="exact"/>
              <w:ind w:firstLine="398" w:firstLineChars="200"/>
              <w:outlineLvl w:val="2"/>
              <w:rPr>
                <w:rFonts w:hint="eastAsia" w:ascii="宋体" w:hAnsi="宋体" w:eastAsia="宋体" w:cs="宋体"/>
                <w:b/>
                <w:bCs/>
                <w:color w:val="auto"/>
                <w:spacing w:val="-6"/>
                <w:sz w:val="21"/>
                <w:szCs w:val="21"/>
                <w:lang w:bidi="ar"/>
              </w:rPr>
            </w:pPr>
            <w:r>
              <w:rPr>
                <w:rFonts w:hint="eastAsia" w:ascii="宋体" w:hAnsi="宋体" w:eastAsia="宋体" w:cs="宋体"/>
                <w:b/>
                <w:bCs/>
                <w:color w:val="auto"/>
                <w:spacing w:val="-6"/>
                <w:sz w:val="21"/>
                <w:szCs w:val="21"/>
                <w:lang w:bidi="ar"/>
              </w:rPr>
              <w:t>（一）前提条件</w:t>
            </w:r>
          </w:p>
          <w:p w14:paraId="72ADE537">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对照</w:t>
            </w:r>
            <w:r>
              <w:rPr>
                <w:rFonts w:hint="eastAsia" w:ascii="宋体" w:hAnsi="宋体" w:eastAsia="宋体" w:cs="宋体"/>
                <w:bCs/>
                <w:color w:val="auto"/>
                <w:sz w:val="21"/>
                <w:szCs w:val="21"/>
                <w:lang w:eastAsia="zh-CN" w:bidi="ar"/>
              </w:rPr>
              <w:t>河湖长制能效提级县成效评估</w:t>
            </w:r>
            <w:r>
              <w:rPr>
                <w:rFonts w:hint="eastAsia" w:ascii="宋体" w:hAnsi="宋体" w:eastAsia="宋体" w:cs="宋体"/>
                <w:bCs/>
                <w:color w:val="auto"/>
                <w:sz w:val="21"/>
                <w:szCs w:val="21"/>
                <w:lang w:bidi="ar"/>
              </w:rPr>
              <w:t>前提条件，逐条</w:t>
            </w:r>
            <w:r>
              <w:rPr>
                <w:rFonts w:hint="eastAsia" w:ascii="宋体" w:hAnsi="宋体" w:eastAsia="宋体" w:cs="宋体"/>
                <w:bCs/>
                <w:color w:val="auto"/>
                <w:sz w:val="21"/>
                <w:szCs w:val="21"/>
                <w:lang w:eastAsia="zh-CN" w:bidi="ar"/>
              </w:rPr>
              <w:t>说明</w:t>
            </w:r>
            <w:r>
              <w:rPr>
                <w:rFonts w:hint="eastAsia" w:ascii="宋体" w:hAnsi="宋体" w:eastAsia="宋体" w:cs="宋体"/>
                <w:bCs/>
                <w:color w:val="auto"/>
                <w:sz w:val="21"/>
                <w:szCs w:val="21"/>
                <w:lang w:bidi="ar"/>
              </w:rPr>
              <w:t>是否满足。</w:t>
            </w:r>
          </w:p>
          <w:p w14:paraId="23D8E090">
            <w:pPr>
              <w:keepNext w:val="0"/>
              <w:keepLines w:val="0"/>
              <w:pageBreakBefore w:val="0"/>
              <w:kinsoku/>
              <w:wordWrap/>
              <w:overflowPunct w:val="0"/>
              <w:topLinePunct w:val="0"/>
              <w:autoSpaceDE/>
              <w:autoSpaceDN/>
              <w:bidi w:val="0"/>
              <w:snapToGrid w:val="0"/>
              <w:spacing w:line="540" w:lineRule="exact"/>
              <w:ind w:firstLine="398" w:firstLineChars="200"/>
              <w:outlineLvl w:val="2"/>
              <w:rPr>
                <w:rFonts w:hint="eastAsia" w:ascii="宋体" w:hAnsi="宋体" w:eastAsia="宋体" w:cs="宋体"/>
                <w:b/>
                <w:bCs/>
                <w:color w:val="auto"/>
                <w:spacing w:val="-6"/>
                <w:sz w:val="21"/>
                <w:szCs w:val="21"/>
                <w:lang w:bidi="ar"/>
              </w:rPr>
            </w:pPr>
            <w:r>
              <w:rPr>
                <w:rFonts w:hint="eastAsia" w:ascii="宋体" w:hAnsi="宋体" w:eastAsia="宋体" w:cs="宋体"/>
                <w:b/>
                <w:bCs/>
                <w:color w:val="auto"/>
                <w:spacing w:val="-6"/>
                <w:sz w:val="21"/>
                <w:szCs w:val="21"/>
                <w:lang w:bidi="ar"/>
              </w:rPr>
              <w:t>（二）</w:t>
            </w:r>
            <w:r>
              <w:rPr>
                <w:rFonts w:hint="eastAsia" w:ascii="宋体" w:hAnsi="宋体" w:eastAsia="宋体" w:cs="宋体"/>
                <w:b/>
                <w:bCs/>
                <w:color w:val="auto"/>
                <w:spacing w:val="-6"/>
                <w:sz w:val="21"/>
                <w:szCs w:val="21"/>
                <w:lang w:eastAsia="zh-CN" w:bidi="ar"/>
              </w:rPr>
              <w:t>成效评估指标完成情况</w:t>
            </w:r>
          </w:p>
          <w:p w14:paraId="50823608">
            <w:pPr>
              <w:keepNext w:val="0"/>
              <w:keepLines w:val="0"/>
              <w:pageBreakBefore w:val="0"/>
              <w:kinsoku/>
              <w:wordWrap/>
              <w:overflowPunct w:val="0"/>
              <w:topLinePunct w:val="0"/>
              <w:autoSpaceDE/>
              <w:autoSpaceDN/>
              <w:bidi w:val="0"/>
              <w:snapToGrid w:val="0"/>
              <w:spacing w:line="540" w:lineRule="exact"/>
              <w:ind w:firstLine="420" w:firstLineChars="200"/>
              <w:rPr>
                <w:rFonts w:hint="eastAsia" w:ascii="宋体" w:hAnsi="宋体" w:eastAsia="宋体" w:cs="宋体"/>
                <w:bCs/>
                <w:color w:val="auto"/>
                <w:sz w:val="21"/>
                <w:szCs w:val="21"/>
                <w:lang w:eastAsia="zh-CN" w:bidi="ar"/>
              </w:rPr>
            </w:pPr>
            <w:r>
              <w:rPr>
                <w:rFonts w:hint="eastAsia" w:ascii="宋体" w:hAnsi="宋体" w:eastAsia="宋体" w:cs="宋体"/>
                <w:bCs/>
                <w:color w:val="auto"/>
                <w:sz w:val="21"/>
                <w:szCs w:val="21"/>
                <w:lang w:bidi="ar"/>
              </w:rPr>
              <w:t>对</w:t>
            </w:r>
            <w:r>
              <w:rPr>
                <w:rFonts w:hint="eastAsia" w:ascii="宋体" w:hAnsi="宋体" w:eastAsia="宋体" w:cs="宋体"/>
                <w:bCs/>
                <w:color w:val="auto"/>
                <w:sz w:val="21"/>
                <w:szCs w:val="21"/>
                <w:lang w:eastAsia="zh-CN" w:bidi="ar"/>
              </w:rPr>
              <w:t>评估</w:t>
            </w:r>
            <w:r>
              <w:rPr>
                <w:rFonts w:hint="eastAsia" w:ascii="宋体" w:hAnsi="宋体" w:eastAsia="宋体" w:cs="宋体"/>
                <w:bCs/>
                <w:color w:val="auto"/>
                <w:sz w:val="21"/>
                <w:szCs w:val="21"/>
                <w:lang w:bidi="ar"/>
              </w:rPr>
              <w:t>指标完成情况逐一自评打分，并提供佐证材料</w:t>
            </w:r>
            <w:r>
              <w:rPr>
                <w:rFonts w:hint="eastAsia" w:ascii="宋体" w:hAnsi="宋体" w:eastAsia="宋体" w:cs="宋体"/>
                <w:bCs/>
                <w:color w:val="auto"/>
                <w:sz w:val="21"/>
                <w:szCs w:val="21"/>
                <w:lang w:eastAsia="zh-CN" w:bidi="ar"/>
              </w:rPr>
              <w:t>。</w:t>
            </w:r>
          </w:p>
          <w:p w14:paraId="69AD80EA">
            <w:pPr>
              <w:keepNext w:val="0"/>
              <w:keepLines w:val="0"/>
              <w:pageBreakBefore w:val="0"/>
              <w:kinsoku/>
              <w:wordWrap/>
              <w:overflowPunct w:val="0"/>
              <w:topLinePunct w:val="0"/>
              <w:autoSpaceDE/>
              <w:autoSpaceDN/>
              <w:bidi w:val="0"/>
              <w:snapToGrid w:val="0"/>
              <w:spacing w:line="540" w:lineRule="exact"/>
              <w:ind w:firstLine="398" w:firstLineChars="200"/>
              <w:outlineLvl w:val="2"/>
              <w:rPr>
                <w:rFonts w:hint="eastAsia" w:ascii="宋体" w:hAnsi="宋体" w:eastAsia="宋体" w:cs="宋体"/>
                <w:b/>
                <w:bCs/>
                <w:color w:val="auto"/>
                <w:spacing w:val="-6"/>
                <w:sz w:val="21"/>
                <w:szCs w:val="21"/>
                <w:lang w:bidi="ar"/>
              </w:rPr>
            </w:pPr>
            <w:r>
              <w:rPr>
                <w:rFonts w:hint="eastAsia" w:ascii="宋体" w:hAnsi="宋体" w:eastAsia="宋体" w:cs="宋体"/>
                <w:b/>
                <w:bCs/>
                <w:color w:val="auto"/>
                <w:spacing w:val="-6"/>
                <w:sz w:val="21"/>
                <w:szCs w:val="21"/>
                <w:lang w:eastAsia="zh-CN" w:bidi="ar"/>
              </w:rPr>
              <w:t>（三）</w:t>
            </w:r>
            <w:r>
              <w:rPr>
                <w:rFonts w:hint="eastAsia" w:ascii="宋体" w:hAnsi="宋体" w:eastAsia="宋体" w:cs="宋体"/>
                <w:b/>
                <w:bCs/>
                <w:color w:val="auto"/>
                <w:spacing w:val="-6"/>
                <w:sz w:val="21"/>
                <w:szCs w:val="21"/>
                <w:lang w:bidi="ar"/>
              </w:rPr>
              <w:t>任务措施推进完成情况</w:t>
            </w:r>
          </w:p>
          <w:p w14:paraId="7CFCAEB1">
            <w:pPr>
              <w:keepNext w:val="0"/>
              <w:keepLines w:val="0"/>
              <w:pageBreakBefore w:val="0"/>
              <w:kinsoku/>
              <w:wordWrap/>
              <w:overflowPunct w:val="0"/>
              <w:topLinePunct w:val="0"/>
              <w:autoSpaceDE/>
              <w:autoSpaceDN/>
              <w:bidi w:val="0"/>
              <w:snapToGrid w:val="0"/>
              <w:spacing w:line="540" w:lineRule="exact"/>
              <w:ind w:firstLine="420" w:firstLineChars="200"/>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（1）全面强化河湖管护机制</w:t>
            </w:r>
          </w:p>
          <w:p w14:paraId="4393B5B3">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 xml:space="preserve">任务措施1：   </w:t>
            </w:r>
          </w:p>
          <w:p w14:paraId="0AAF80B0">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完成情况：........</w:t>
            </w:r>
          </w:p>
          <w:p w14:paraId="0EB02E2D">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color w:val="auto"/>
                <w:sz w:val="21"/>
                <w:szCs w:val="21"/>
              </w:rPr>
            </w:pPr>
            <w:r>
              <w:rPr>
                <w:rFonts w:hint="eastAsia" w:ascii="宋体" w:hAnsi="宋体" w:eastAsia="宋体" w:cs="宋体"/>
                <w:bCs/>
                <w:color w:val="auto"/>
                <w:sz w:val="21"/>
                <w:szCs w:val="21"/>
                <w:lang w:bidi="ar"/>
              </w:rPr>
              <w:t>佐证材料：........</w:t>
            </w:r>
          </w:p>
          <w:p w14:paraId="6D924341">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任务措施2：</w:t>
            </w:r>
          </w:p>
          <w:p w14:paraId="2F176A40">
            <w:pPr>
              <w:keepNext w:val="0"/>
              <w:keepLines w:val="0"/>
              <w:pageBreakBefore w:val="0"/>
              <w:kinsoku/>
              <w:wordWrap/>
              <w:overflowPunct w:val="0"/>
              <w:topLinePunct w:val="0"/>
              <w:autoSpaceDE/>
              <w:autoSpaceDN/>
              <w:bidi w:val="0"/>
              <w:snapToGrid w:val="0"/>
              <w:spacing w:line="540" w:lineRule="exact"/>
              <w:ind w:firstLine="420" w:firstLineChars="200"/>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（2）标本兼治复苏河湖生态</w:t>
            </w:r>
          </w:p>
          <w:p w14:paraId="38E04FD9">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任务措施1：</w:t>
            </w:r>
          </w:p>
          <w:p w14:paraId="185FDA68">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完成情况：........</w:t>
            </w:r>
          </w:p>
          <w:p w14:paraId="3E7DCBB2">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佐证材料：........</w:t>
            </w:r>
          </w:p>
          <w:p w14:paraId="2EAF41B1">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color w:val="auto"/>
                <w:sz w:val="21"/>
                <w:szCs w:val="21"/>
              </w:rPr>
            </w:pPr>
            <w:r>
              <w:rPr>
                <w:rFonts w:hint="eastAsia" w:ascii="宋体" w:hAnsi="宋体" w:eastAsia="宋体" w:cs="宋体"/>
                <w:bCs/>
                <w:color w:val="auto"/>
                <w:sz w:val="21"/>
                <w:szCs w:val="21"/>
                <w:lang w:bidi="ar"/>
              </w:rPr>
              <w:t>任务措施2：</w:t>
            </w:r>
          </w:p>
          <w:p w14:paraId="7002FEB6">
            <w:pPr>
              <w:keepNext w:val="0"/>
              <w:keepLines w:val="0"/>
              <w:pageBreakBefore w:val="0"/>
              <w:kinsoku/>
              <w:wordWrap/>
              <w:overflowPunct w:val="0"/>
              <w:topLinePunct w:val="0"/>
              <w:autoSpaceDE/>
              <w:autoSpaceDN/>
              <w:bidi w:val="0"/>
              <w:snapToGrid w:val="0"/>
              <w:spacing w:line="540" w:lineRule="exact"/>
              <w:ind w:firstLine="420" w:firstLineChars="200"/>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（3）建设健康美丽幸福河湖</w:t>
            </w:r>
          </w:p>
          <w:p w14:paraId="3D2DA9FA">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 xml:space="preserve">任务措施1： </w:t>
            </w:r>
          </w:p>
          <w:p w14:paraId="7E9B076D">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完成情况：........</w:t>
            </w:r>
          </w:p>
          <w:p w14:paraId="1607C161">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佐证材料：........</w:t>
            </w:r>
          </w:p>
          <w:p w14:paraId="59EE5F10">
            <w:pPr>
              <w:keepNext w:val="0"/>
              <w:keepLines w:val="0"/>
              <w:pageBreakBefore w:val="0"/>
              <w:kinsoku/>
              <w:wordWrap/>
              <w:overflowPunct w:val="0"/>
              <w:topLinePunct w:val="0"/>
              <w:autoSpaceDE/>
              <w:autoSpaceDN/>
              <w:bidi w:val="0"/>
              <w:snapToGrid w:val="0"/>
              <w:spacing w:line="540" w:lineRule="exact"/>
              <w:ind w:firstLine="447" w:firstLineChars="213"/>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任务措施2：</w:t>
            </w:r>
          </w:p>
          <w:p w14:paraId="67E8A44F">
            <w:pPr>
              <w:keepNext w:val="0"/>
              <w:keepLines w:val="0"/>
              <w:pageBreakBefore w:val="0"/>
              <w:kinsoku/>
              <w:wordWrap/>
              <w:overflowPunct w:val="0"/>
              <w:topLinePunct w:val="0"/>
              <w:autoSpaceDE/>
              <w:autoSpaceDN/>
              <w:bidi w:val="0"/>
              <w:snapToGrid w:val="0"/>
              <w:spacing w:line="540" w:lineRule="exact"/>
              <w:ind w:firstLine="396" w:firstLineChars="200"/>
              <w:jc w:val="left"/>
              <w:outlineLvl w:val="1"/>
              <w:rPr>
                <w:rFonts w:hint="eastAsia" w:ascii="黑体" w:hAnsi="黑体" w:eastAsia="黑体" w:cs="黑体"/>
                <w:b w:val="0"/>
                <w:bCs w:val="0"/>
                <w:color w:val="auto"/>
                <w:spacing w:val="-6"/>
                <w:sz w:val="21"/>
                <w:szCs w:val="21"/>
                <w:lang w:bidi="ar"/>
              </w:rPr>
            </w:pPr>
            <w:r>
              <w:rPr>
                <w:rFonts w:hint="eastAsia" w:ascii="黑体" w:hAnsi="黑体" w:eastAsia="黑体" w:cs="黑体"/>
                <w:b w:val="0"/>
                <w:bCs w:val="0"/>
                <w:color w:val="auto"/>
                <w:spacing w:val="-6"/>
                <w:sz w:val="21"/>
                <w:szCs w:val="21"/>
                <w:lang w:eastAsia="zh-CN" w:bidi="ar"/>
              </w:rPr>
              <w:t>三</w:t>
            </w:r>
            <w:r>
              <w:rPr>
                <w:rFonts w:hint="eastAsia" w:ascii="黑体" w:hAnsi="黑体" w:eastAsia="黑体" w:cs="黑体"/>
                <w:b w:val="0"/>
                <w:bCs w:val="0"/>
                <w:color w:val="auto"/>
                <w:spacing w:val="-6"/>
                <w:sz w:val="21"/>
                <w:szCs w:val="21"/>
                <w:lang w:bidi="ar"/>
              </w:rPr>
              <w:t>、自评结论</w:t>
            </w:r>
          </w:p>
          <w:p w14:paraId="0B957F25">
            <w:pPr>
              <w:keepNext w:val="0"/>
              <w:keepLines w:val="0"/>
              <w:pageBreakBefore w:val="0"/>
              <w:kinsoku/>
              <w:wordWrap/>
              <w:overflowPunct w:val="0"/>
              <w:topLinePunct w:val="0"/>
              <w:autoSpaceDE/>
              <w:autoSpaceDN/>
              <w:bidi w:val="0"/>
              <w:snapToGrid w:val="0"/>
              <w:spacing w:line="540" w:lineRule="exact"/>
              <w:ind w:firstLine="420" w:firstLineChars="200"/>
              <w:jc w:val="left"/>
              <w:outlineLvl w:val="1"/>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bidi="ar"/>
              </w:rPr>
              <w:t>形成是否通过自评的结论，提出改进意见。</w:t>
            </w:r>
          </w:p>
          <w:p w14:paraId="082306E8">
            <w:pPr>
              <w:keepNext w:val="0"/>
              <w:keepLines w:val="0"/>
              <w:pageBreakBefore w:val="0"/>
              <w:kinsoku/>
              <w:wordWrap/>
              <w:overflowPunct w:val="0"/>
              <w:topLinePunct w:val="0"/>
              <w:autoSpaceDE/>
              <w:autoSpaceDN/>
              <w:bidi w:val="0"/>
              <w:snapToGrid w:val="0"/>
              <w:spacing w:line="540" w:lineRule="exact"/>
              <w:ind w:firstLine="396" w:firstLineChars="200"/>
              <w:jc w:val="left"/>
              <w:outlineLvl w:val="1"/>
              <w:rPr>
                <w:rFonts w:hint="eastAsia" w:ascii="黑体" w:hAnsi="黑体" w:eastAsia="黑体" w:cs="黑体"/>
                <w:b w:val="0"/>
                <w:bCs w:val="0"/>
                <w:color w:val="auto"/>
                <w:spacing w:val="-6"/>
                <w:sz w:val="21"/>
                <w:szCs w:val="21"/>
                <w:lang w:bidi="ar"/>
              </w:rPr>
            </w:pPr>
            <w:r>
              <w:rPr>
                <w:rFonts w:hint="eastAsia" w:ascii="黑体" w:hAnsi="黑体" w:eastAsia="黑体" w:cs="黑体"/>
                <w:b w:val="0"/>
                <w:bCs w:val="0"/>
                <w:color w:val="auto"/>
                <w:spacing w:val="-6"/>
                <w:sz w:val="21"/>
                <w:szCs w:val="21"/>
                <w:lang w:eastAsia="zh-CN" w:bidi="ar"/>
              </w:rPr>
              <w:t>四</w:t>
            </w:r>
            <w:r>
              <w:rPr>
                <w:rFonts w:hint="eastAsia" w:ascii="黑体" w:hAnsi="黑体" w:eastAsia="黑体" w:cs="黑体"/>
                <w:b w:val="0"/>
                <w:bCs w:val="0"/>
                <w:color w:val="auto"/>
                <w:spacing w:val="-6"/>
                <w:sz w:val="21"/>
                <w:szCs w:val="21"/>
                <w:lang w:bidi="ar"/>
              </w:rPr>
              <w:t>、经验做法总结</w:t>
            </w:r>
          </w:p>
          <w:p w14:paraId="5F75A973">
            <w:pPr>
              <w:keepNext w:val="0"/>
              <w:keepLines w:val="0"/>
              <w:pageBreakBefore w:val="0"/>
              <w:kinsoku/>
              <w:wordWrap/>
              <w:overflowPunct w:val="0"/>
              <w:topLinePunct w:val="0"/>
              <w:autoSpaceDE/>
              <w:autoSpaceDN/>
              <w:bidi w:val="0"/>
              <w:snapToGrid w:val="0"/>
              <w:spacing w:line="540" w:lineRule="exact"/>
              <w:ind w:firstLine="396" w:firstLineChars="200"/>
              <w:rPr>
                <w:rFonts w:hint="eastAsia" w:ascii="宋体" w:hAnsi="宋体" w:eastAsia="宋体" w:cs="宋体"/>
                <w:bCs/>
                <w:color w:val="auto"/>
                <w:sz w:val="21"/>
                <w:szCs w:val="21"/>
                <w:lang w:bidi="ar"/>
              </w:rPr>
            </w:pPr>
            <w:r>
              <w:rPr>
                <w:rFonts w:hint="eastAsia" w:ascii="宋体" w:hAnsi="宋体" w:eastAsia="宋体" w:cs="宋体"/>
                <w:color w:val="auto"/>
                <w:spacing w:val="-6"/>
                <w:sz w:val="21"/>
                <w:szCs w:val="21"/>
              </w:rPr>
              <w:t>总结河湖长制</w:t>
            </w:r>
            <w:r>
              <w:rPr>
                <w:rFonts w:hint="eastAsia" w:ascii="宋体" w:hAnsi="宋体" w:eastAsia="宋体" w:cs="宋体"/>
                <w:color w:val="auto"/>
                <w:spacing w:val="-6"/>
                <w:sz w:val="21"/>
                <w:szCs w:val="21"/>
                <w:lang w:val="en" w:eastAsia="zh-CN"/>
              </w:rPr>
              <w:t>“能效”提级县</w:t>
            </w:r>
            <w:r>
              <w:rPr>
                <w:rFonts w:hint="eastAsia" w:ascii="宋体" w:hAnsi="宋体" w:eastAsia="宋体" w:cs="宋体"/>
                <w:color w:val="auto"/>
                <w:spacing w:val="-6"/>
                <w:sz w:val="21"/>
                <w:szCs w:val="21"/>
              </w:rPr>
              <w:t>建设特色突出、可复制、可推广的好做法、好经验。</w:t>
            </w:r>
          </w:p>
          <w:p w14:paraId="4E3DAD85">
            <w:pPr>
              <w:keepNext w:val="0"/>
              <w:keepLines w:val="0"/>
              <w:pageBreakBefore w:val="0"/>
              <w:kinsoku/>
              <w:wordWrap/>
              <w:overflowPunct w:val="0"/>
              <w:topLinePunct w:val="0"/>
              <w:autoSpaceDE/>
              <w:autoSpaceDN/>
              <w:bidi w:val="0"/>
              <w:snapToGrid w:val="0"/>
              <w:spacing w:line="540" w:lineRule="exact"/>
              <w:ind w:firstLine="449" w:firstLineChars="213"/>
              <w:rPr>
                <w:rFonts w:hint="eastAsia" w:ascii="宋体" w:hAnsi="宋体" w:eastAsia="宋体" w:cs="宋体"/>
                <w:color w:val="auto"/>
                <w:spacing w:val="-6"/>
                <w:sz w:val="21"/>
                <w:szCs w:val="21"/>
                <w:lang w:val="en"/>
              </w:rPr>
            </w:pPr>
            <w:r>
              <w:rPr>
                <w:rFonts w:hint="eastAsia" w:ascii="宋体" w:hAnsi="宋体" w:eastAsia="宋体" w:cs="宋体"/>
                <w:b/>
                <w:color w:val="auto"/>
                <w:sz w:val="21"/>
                <w:szCs w:val="21"/>
                <w:lang w:bidi="ar"/>
              </w:rPr>
              <w:t>说明：</w:t>
            </w:r>
            <w:r>
              <w:rPr>
                <w:rFonts w:hint="eastAsia" w:ascii="宋体" w:hAnsi="宋体" w:eastAsia="宋体" w:cs="宋体"/>
                <w:color w:val="auto"/>
                <w:spacing w:val="-6"/>
                <w:sz w:val="21"/>
                <w:szCs w:val="21"/>
                <w:lang w:val="en"/>
              </w:rPr>
              <w:t>可附有关前后对比照片。</w:t>
            </w:r>
          </w:p>
          <w:p w14:paraId="004F6DDA">
            <w:pPr>
              <w:keepNext w:val="0"/>
              <w:keepLines w:val="0"/>
              <w:pageBreakBefore w:val="0"/>
              <w:kinsoku/>
              <w:wordWrap/>
              <w:overflowPunct w:val="0"/>
              <w:topLinePunct w:val="0"/>
              <w:autoSpaceDE/>
              <w:autoSpaceDN/>
              <w:bidi w:val="0"/>
              <w:snapToGrid w:val="0"/>
              <w:spacing w:line="540" w:lineRule="exact"/>
              <w:ind w:firstLine="396" w:firstLineChars="200"/>
              <w:jc w:val="left"/>
              <w:outlineLvl w:val="1"/>
              <w:rPr>
                <w:rFonts w:hint="eastAsia" w:ascii="黑体" w:hAnsi="黑体" w:eastAsia="黑体" w:cs="黑体"/>
                <w:b w:val="0"/>
                <w:bCs w:val="0"/>
                <w:color w:val="auto"/>
                <w:spacing w:val="-6"/>
                <w:sz w:val="21"/>
                <w:szCs w:val="21"/>
                <w:lang w:eastAsia="zh-CN" w:bidi="ar"/>
              </w:rPr>
            </w:pPr>
            <w:r>
              <w:rPr>
                <w:rFonts w:hint="eastAsia" w:ascii="黑体" w:hAnsi="黑体" w:eastAsia="黑体" w:cs="黑体"/>
                <w:b w:val="0"/>
                <w:bCs w:val="0"/>
                <w:color w:val="auto"/>
                <w:spacing w:val="-6"/>
                <w:sz w:val="21"/>
                <w:szCs w:val="21"/>
                <w:lang w:eastAsia="zh-CN" w:bidi="ar"/>
              </w:rPr>
              <w:t>五</w:t>
            </w:r>
            <w:r>
              <w:rPr>
                <w:rFonts w:hint="eastAsia" w:ascii="黑体" w:hAnsi="黑体" w:eastAsia="黑体" w:cs="黑体"/>
                <w:b w:val="0"/>
                <w:bCs w:val="0"/>
                <w:color w:val="auto"/>
                <w:spacing w:val="-6"/>
                <w:sz w:val="21"/>
                <w:szCs w:val="21"/>
                <w:lang w:bidi="ar"/>
              </w:rPr>
              <w:t>、</w:t>
            </w:r>
            <w:r>
              <w:rPr>
                <w:rFonts w:hint="eastAsia" w:ascii="黑体" w:hAnsi="黑体" w:eastAsia="黑体" w:cs="黑体"/>
                <w:b w:val="0"/>
                <w:bCs w:val="0"/>
                <w:color w:val="auto"/>
                <w:spacing w:val="-6"/>
                <w:sz w:val="21"/>
                <w:szCs w:val="21"/>
                <w:lang w:eastAsia="zh-CN" w:bidi="ar"/>
              </w:rPr>
              <w:t>后续建设的思考</w:t>
            </w:r>
          </w:p>
          <w:p w14:paraId="5777055A">
            <w:pPr>
              <w:keepNext w:val="0"/>
              <w:keepLines w:val="0"/>
              <w:pageBreakBefore w:val="0"/>
              <w:kinsoku/>
              <w:wordWrap/>
              <w:overflowPunct w:val="0"/>
              <w:topLinePunct w:val="0"/>
              <w:autoSpaceDE/>
              <w:autoSpaceDN/>
              <w:bidi w:val="0"/>
              <w:snapToGrid w:val="0"/>
              <w:spacing w:line="540" w:lineRule="exact"/>
              <w:ind w:firstLine="420" w:firstLineChars="200"/>
              <w:jc w:val="left"/>
              <w:rPr>
                <w:rFonts w:hint="eastAsia" w:ascii="宋体" w:hAnsi="宋体" w:eastAsia="宋体" w:cs="宋体"/>
                <w:bCs/>
                <w:color w:val="auto"/>
                <w:sz w:val="21"/>
                <w:szCs w:val="21"/>
                <w:lang w:bidi="ar"/>
              </w:rPr>
            </w:pPr>
            <w:r>
              <w:rPr>
                <w:rFonts w:hint="eastAsia" w:ascii="宋体" w:hAnsi="宋体" w:eastAsia="宋体" w:cs="宋体"/>
                <w:bCs/>
                <w:color w:val="auto"/>
                <w:sz w:val="21"/>
                <w:szCs w:val="21"/>
                <w:lang w:eastAsia="zh-CN" w:bidi="ar"/>
              </w:rPr>
              <w:t>河湖长制“</w:t>
            </w:r>
            <w:r>
              <w:rPr>
                <w:rFonts w:hint="eastAsia" w:ascii="宋体" w:hAnsi="宋体" w:eastAsia="宋体" w:cs="宋体"/>
                <w:bCs/>
                <w:color w:val="auto"/>
                <w:sz w:val="21"/>
                <w:szCs w:val="21"/>
                <w:lang w:val="en" w:bidi="ar"/>
              </w:rPr>
              <w:t>能效</w:t>
            </w:r>
            <w:r>
              <w:rPr>
                <w:rFonts w:hint="eastAsia" w:ascii="宋体" w:hAnsi="宋体" w:eastAsia="宋体" w:cs="宋体"/>
                <w:bCs/>
                <w:color w:val="auto"/>
                <w:sz w:val="21"/>
                <w:szCs w:val="21"/>
                <w:lang w:eastAsia="zh-CN" w:bidi="ar"/>
              </w:rPr>
              <w:t>”</w:t>
            </w:r>
            <w:r>
              <w:rPr>
                <w:rFonts w:hint="eastAsia" w:ascii="宋体" w:hAnsi="宋体" w:eastAsia="宋体" w:cs="宋体"/>
                <w:bCs/>
                <w:color w:val="auto"/>
                <w:sz w:val="21"/>
                <w:szCs w:val="21"/>
                <w:lang w:bidi="ar"/>
              </w:rPr>
              <w:t>提级</w:t>
            </w:r>
            <w:r>
              <w:rPr>
                <w:rFonts w:hint="eastAsia" w:ascii="宋体" w:hAnsi="宋体" w:eastAsia="宋体" w:cs="宋体"/>
                <w:bCs/>
                <w:color w:val="auto"/>
                <w:sz w:val="21"/>
                <w:szCs w:val="21"/>
                <w:lang w:eastAsia="zh-CN" w:bidi="ar"/>
              </w:rPr>
              <w:t>县下一步工作计划和后续建设方向</w:t>
            </w:r>
            <w:r>
              <w:rPr>
                <w:rFonts w:hint="eastAsia" w:ascii="宋体" w:hAnsi="宋体" w:eastAsia="宋体" w:cs="宋体"/>
                <w:bCs/>
                <w:color w:val="auto"/>
                <w:sz w:val="21"/>
                <w:szCs w:val="21"/>
                <w:lang w:bidi="ar"/>
              </w:rPr>
              <w:t>。</w:t>
            </w:r>
          </w:p>
          <w:p w14:paraId="6F502249">
            <w:pPr>
              <w:keepNext w:val="0"/>
              <w:keepLines w:val="0"/>
              <w:pageBreakBefore w:val="0"/>
              <w:kinsoku/>
              <w:wordWrap/>
              <w:overflowPunct w:val="0"/>
              <w:topLinePunct w:val="0"/>
              <w:autoSpaceDE/>
              <w:autoSpaceDN/>
              <w:bidi w:val="0"/>
              <w:snapToGrid w:val="0"/>
              <w:spacing w:line="540" w:lineRule="exact"/>
              <w:ind w:firstLine="396" w:firstLineChars="200"/>
              <w:jc w:val="left"/>
              <w:rPr>
                <w:vertAlign w:val="baseline"/>
              </w:rPr>
            </w:pPr>
            <w:r>
              <w:rPr>
                <w:rFonts w:hint="eastAsia" w:ascii="黑体" w:hAnsi="黑体" w:eastAsia="黑体" w:cs="黑体"/>
                <w:b w:val="0"/>
                <w:bCs w:val="0"/>
                <w:color w:val="auto"/>
                <w:spacing w:val="-6"/>
                <w:sz w:val="21"/>
                <w:szCs w:val="21"/>
                <w:lang w:eastAsia="zh-CN" w:bidi="ar"/>
              </w:rPr>
              <w:t>相关附件（佐证材料、照片、视频片等）</w:t>
            </w:r>
          </w:p>
        </w:tc>
      </w:tr>
    </w:tbl>
    <w:p w14:paraId="0273C172">
      <w:pPr>
        <w:pStyle w:val="105"/>
        <w:numPr>
          <w:ilvl w:val="2"/>
          <w:numId w:val="0"/>
        </w:numPr>
        <w:spacing w:before="156" w:after="156"/>
        <w:ind w:leftChars="0"/>
        <w:jc w:val="center"/>
        <w:rPr>
          <w:rFonts w:hint="eastAsia"/>
          <w:color w:val="FF0000"/>
          <w:lang w:eastAsia="zh-CN"/>
        </w:rPr>
      </w:pPr>
    </w:p>
    <w:bookmarkEnd w:id="56"/>
    <w:p w14:paraId="492FDB41">
      <w:pPr>
        <w:pStyle w:val="56"/>
        <w:ind w:firstLine="0" w:firstLineChars="0"/>
        <w:jc w:val="center"/>
      </w:pPr>
      <w:bookmarkStart w:id="59"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DejaVu Math TeX Gyre">
    <w:panose1 w:val="02000503000000000000"/>
    <w:charset w:val="00"/>
    <w:family w:val="auto"/>
    <w:pitch w:val="default"/>
    <w:sig w:usb0="A10000EF" w:usb1="4201F9EE" w:usb2="02000000" w:usb3="00000000" w:csb0="60000193" w:csb1="0DD4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27930">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03259">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5FD30">
    <w:pPr>
      <w:pStyle w:val="52"/>
    </w:pPr>
    <w:r>
      <w:fldChar w:fldCharType="begin"/>
    </w:r>
    <w:r>
      <w:instrText xml:space="preserve">PAGE   \* MERGEFORMAT</w:instrText>
    </w:r>
    <w:r>
      <w:fldChar w:fldCharType="separate"/>
    </w:r>
    <w:r>
      <w:rPr>
        <w:lang w:val="zh-CN"/>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5947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43EF2">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9C557">
    <w:pPr>
      <w:pStyle w:val="61"/>
    </w:pPr>
    <w:r>
      <w:fldChar w:fldCharType="begin"/>
    </w:r>
    <w:r>
      <w:instrText xml:space="preserve"> STYLEREF  标准文件_文件编号  \* MERGEFORMAT </w:instrText>
    </w:r>
    <w:r>
      <w:fldChar w:fldCharType="separate"/>
    </w:r>
    <w:r>
      <w:t>DB 34/T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1C18B">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1702"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attachedTemplate r:id="rId1"/>
  <w:documentProtection w:edit="forms" w:enforcement="1" w:cryptProviderType="rsaAES" w:cryptAlgorithmClass="hash" w:cryptAlgorithmType="typeAny" w:cryptAlgorithmSid="14" w:cryptSpinCount="100000" w:hash="QIfo3BzP8aENDHjWEkrMD2FRgqbbQ6Ad1buuCbNb4Obb177vPc22QrJP4dZuEhGJJdWL1LDx45ghFn9N1fNNdg==" w:salt="L1P2/S8kODsLmuZWsQTlW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2Y2I4ZTQ1YjAxMzBjM2UzZDZjMGJkY2U3OTQ2NjAifQ=="/>
  </w:docVars>
  <w:rsids>
    <w:rsidRoot w:val="008C5A89"/>
    <w:rsid w:val="0000040A"/>
    <w:rsid w:val="00000A7E"/>
    <w:rsid w:val="00000A94"/>
    <w:rsid w:val="00001972"/>
    <w:rsid w:val="00001D9A"/>
    <w:rsid w:val="00007B3A"/>
    <w:rsid w:val="000107E0"/>
    <w:rsid w:val="00011FDE"/>
    <w:rsid w:val="00012FFD"/>
    <w:rsid w:val="00014162"/>
    <w:rsid w:val="00014340"/>
    <w:rsid w:val="0001632D"/>
    <w:rsid w:val="00016A9C"/>
    <w:rsid w:val="00022184"/>
    <w:rsid w:val="0002263A"/>
    <w:rsid w:val="00022762"/>
    <w:rsid w:val="000238E0"/>
    <w:rsid w:val="000249DB"/>
    <w:rsid w:val="0002595E"/>
    <w:rsid w:val="000303C3"/>
    <w:rsid w:val="000331D3"/>
    <w:rsid w:val="000346A5"/>
    <w:rsid w:val="000350CA"/>
    <w:rsid w:val="000359C3"/>
    <w:rsid w:val="00035A7D"/>
    <w:rsid w:val="000365ED"/>
    <w:rsid w:val="0004249A"/>
    <w:rsid w:val="00043282"/>
    <w:rsid w:val="00044286"/>
    <w:rsid w:val="00047F28"/>
    <w:rsid w:val="000503AA"/>
    <w:rsid w:val="000506A1"/>
    <w:rsid w:val="000515DD"/>
    <w:rsid w:val="0005265A"/>
    <w:rsid w:val="00053230"/>
    <w:rsid w:val="000539DD"/>
    <w:rsid w:val="00053BD3"/>
    <w:rsid w:val="000556ED"/>
    <w:rsid w:val="00055FE2"/>
    <w:rsid w:val="0005616F"/>
    <w:rsid w:val="00060C2E"/>
    <w:rsid w:val="00061033"/>
    <w:rsid w:val="000619E9"/>
    <w:rsid w:val="00061F2E"/>
    <w:rsid w:val="000622D4"/>
    <w:rsid w:val="0006357D"/>
    <w:rsid w:val="0006534E"/>
    <w:rsid w:val="000672E0"/>
    <w:rsid w:val="00067F1E"/>
    <w:rsid w:val="00070E13"/>
    <w:rsid w:val="00071CC0"/>
    <w:rsid w:val="00073C8C"/>
    <w:rsid w:val="00077B64"/>
    <w:rsid w:val="00080A1C"/>
    <w:rsid w:val="00082317"/>
    <w:rsid w:val="00083D2C"/>
    <w:rsid w:val="00086AA1"/>
    <w:rsid w:val="00087A77"/>
    <w:rsid w:val="00090CA6"/>
    <w:rsid w:val="000924E3"/>
    <w:rsid w:val="00092B8A"/>
    <w:rsid w:val="00092FB0"/>
    <w:rsid w:val="000934C5"/>
    <w:rsid w:val="00093D25"/>
    <w:rsid w:val="00093DAB"/>
    <w:rsid w:val="00094D73"/>
    <w:rsid w:val="00096D63"/>
    <w:rsid w:val="000A0B60"/>
    <w:rsid w:val="000A0EB8"/>
    <w:rsid w:val="000A19FC"/>
    <w:rsid w:val="000A296B"/>
    <w:rsid w:val="000A7311"/>
    <w:rsid w:val="000A7380"/>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070"/>
    <w:rsid w:val="000E2601"/>
    <w:rsid w:val="000E4C9E"/>
    <w:rsid w:val="000E6FD7"/>
    <w:rsid w:val="000E767B"/>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34F"/>
    <w:rsid w:val="001529E5"/>
    <w:rsid w:val="00153C7E"/>
    <w:rsid w:val="00156B25"/>
    <w:rsid w:val="00156E1A"/>
    <w:rsid w:val="001572F4"/>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03C"/>
    <w:rsid w:val="001A1A53"/>
    <w:rsid w:val="001A234A"/>
    <w:rsid w:val="001A4CF3"/>
    <w:rsid w:val="001B06E8"/>
    <w:rsid w:val="001B71D0"/>
    <w:rsid w:val="001B71EE"/>
    <w:rsid w:val="001C04A8"/>
    <w:rsid w:val="001C253A"/>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A51"/>
    <w:rsid w:val="001E3CC4"/>
    <w:rsid w:val="001E4882"/>
    <w:rsid w:val="001E73AB"/>
    <w:rsid w:val="001F092D"/>
    <w:rsid w:val="001F143A"/>
    <w:rsid w:val="001F1605"/>
    <w:rsid w:val="001F2508"/>
    <w:rsid w:val="001F4816"/>
    <w:rsid w:val="001F4EE9"/>
    <w:rsid w:val="001F69B4"/>
    <w:rsid w:val="001F77C7"/>
    <w:rsid w:val="001F7B7F"/>
    <w:rsid w:val="00200183"/>
    <w:rsid w:val="00200333"/>
    <w:rsid w:val="0020107D"/>
    <w:rsid w:val="00202AA4"/>
    <w:rsid w:val="002031F7"/>
    <w:rsid w:val="002040E6"/>
    <w:rsid w:val="0020527B"/>
    <w:rsid w:val="00205F2C"/>
    <w:rsid w:val="00210B15"/>
    <w:rsid w:val="002142EA"/>
    <w:rsid w:val="002204BB"/>
    <w:rsid w:val="00221B79"/>
    <w:rsid w:val="00221C6B"/>
    <w:rsid w:val="00222D10"/>
    <w:rsid w:val="002253A1"/>
    <w:rsid w:val="00225CF8"/>
    <w:rsid w:val="0022794E"/>
    <w:rsid w:val="00233D64"/>
    <w:rsid w:val="0023482A"/>
    <w:rsid w:val="002359CB"/>
    <w:rsid w:val="002372F5"/>
    <w:rsid w:val="00237545"/>
    <w:rsid w:val="00243540"/>
    <w:rsid w:val="0024497B"/>
    <w:rsid w:val="0024515B"/>
    <w:rsid w:val="00246021"/>
    <w:rsid w:val="0024666E"/>
    <w:rsid w:val="00247228"/>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317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8A"/>
    <w:rsid w:val="002C7EBB"/>
    <w:rsid w:val="002D06C1"/>
    <w:rsid w:val="002D42B5"/>
    <w:rsid w:val="002D4F1A"/>
    <w:rsid w:val="002D6EC6"/>
    <w:rsid w:val="002D79AC"/>
    <w:rsid w:val="002E039D"/>
    <w:rsid w:val="002E4D5A"/>
    <w:rsid w:val="002E6326"/>
    <w:rsid w:val="002E6654"/>
    <w:rsid w:val="002F172D"/>
    <w:rsid w:val="002F30E0"/>
    <w:rsid w:val="002F35E4"/>
    <w:rsid w:val="002F3730"/>
    <w:rsid w:val="002F38E1"/>
    <w:rsid w:val="002F79B5"/>
    <w:rsid w:val="002F7AF6"/>
    <w:rsid w:val="00300E63"/>
    <w:rsid w:val="00302F5F"/>
    <w:rsid w:val="0030441D"/>
    <w:rsid w:val="00306063"/>
    <w:rsid w:val="00311569"/>
    <w:rsid w:val="00313B85"/>
    <w:rsid w:val="00317988"/>
    <w:rsid w:val="003221B4"/>
    <w:rsid w:val="0032258D"/>
    <w:rsid w:val="00322E62"/>
    <w:rsid w:val="00324D13"/>
    <w:rsid w:val="00324D2A"/>
    <w:rsid w:val="00324EDD"/>
    <w:rsid w:val="003266FD"/>
    <w:rsid w:val="003331E4"/>
    <w:rsid w:val="00336C64"/>
    <w:rsid w:val="00337162"/>
    <w:rsid w:val="0034194F"/>
    <w:rsid w:val="00344605"/>
    <w:rsid w:val="003474AA"/>
    <w:rsid w:val="00350D1D"/>
    <w:rsid w:val="00352C83"/>
    <w:rsid w:val="003562CD"/>
    <w:rsid w:val="003615D2"/>
    <w:rsid w:val="00361F1C"/>
    <w:rsid w:val="0036224E"/>
    <w:rsid w:val="0036429C"/>
    <w:rsid w:val="00364A53"/>
    <w:rsid w:val="003654CB"/>
    <w:rsid w:val="00365AA9"/>
    <w:rsid w:val="00365F86"/>
    <w:rsid w:val="00365F87"/>
    <w:rsid w:val="00366E89"/>
    <w:rsid w:val="003705F4"/>
    <w:rsid w:val="00370D58"/>
    <w:rsid w:val="00371316"/>
    <w:rsid w:val="00376713"/>
    <w:rsid w:val="003769D2"/>
    <w:rsid w:val="00381815"/>
    <w:rsid w:val="003819AF"/>
    <w:rsid w:val="003820E9"/>
    <w:rsid w:val="00382DE7"/>
    <w:rsid w:val="00384FFC"/>
    <w:rsid w:val="003872FC"/>
    <w:rsid w:val="00387ADC"/>
    <w:rsid w:val="00390020"/>
    <w:rsid w:val="003903D6"/>
    <w:rsid w:val="00390EE6"/>
    <w:rsid w:val="0039118F"/>
    <w:rsid w:val="00392AD7"/>
    <w:rsid w:val="003933CE"/>
    <w:rsid w:val="003938D9"/>
    <w:rsid w:val="00394376"/>
    <w:rsid w:val="003943FF"/>
    <w:rsid w:val="00395700"/>
    <w:rsid w:val="00397460"/>
    <w:rsid w:val="003974EB"/>
    <w:rsid w:val="00397CC5"/>
    <w:rsid w:val="003A1582"/>
    <w:rsid w:val="003A4077"/>
    <w:rsid w:val="003A654D"/>
    <w:rsid w:val="003B09AD"/>
    <w:rsid w:val="003B1F18"/>
    <w:rsid w:val="003B5BF0"/>
    <w:rsid w:val="003B60BF"/>
    <w:rsid w:val="003B6BE3"/>
    <w:rsid w:val="003C010C"/>
    <w:rsid w:val="003C0A6C"/>
    <w:rsid w:val="003C14F8"/>
    <w:rsid w:val="003C4DF1"/>
    <w:rsid w:val="003C5A43"/>
    <w:rsid w:val="003D0519"/>
    <w:rsid w:val="003D0FF6"/>
    <w:rsid w:val="003D262C"/>
    <w:rsid w:val="003D6D61"/>
    <w:rsid w:val="003D79C6"/>
    <w:rsid w:val="003E091D"/>
    <w:rsid w:val="003E1C53"/>
    <w:rsid w:val="003E2A69"/>
    <w:rsid w:val="003E2D49"/>
    <w:rsid w:val="003E2FD4"/>
    <w:rsid w:val="003E4629"/>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0E1"/>
    <w:rsid w:val="00425F48"/>
    <w:rsid w:val="00432DAA"/>
    <w:rsid w:val="00434305"/>
    <w:rsid w:val="00435DF7"/>
    <w:rsid w:val="0044083F"/>
    <w:rsid w:val="00441AE7"/>
    <w:rsid w:val="00445574"/>
    <w:rsid w:val="004467FB"/>
    <w:rsid w:val="00451DD8"/>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B82"/>
    <w:rsid w:val="004A12DF"/>
    <w:rsid w:val="004A15C5"/>
    <w:rsid w:val="004A17E6"/>
    <w:rsid w:val="004A1BA8"/>
    <w:rsid w:val="004A4B57"/>
    <w:rsid w:val="004A4CF0"/>
    <w:rsid w:val="004A63FA"/>
    <w:rsid w:val="004B0272"/>
    <w:rsid w:val="004B21E4"/>
    <w:rsid w:val="004B2701"/>
    <w:rsid w:val="004B2E1B"/>
    <w:rsid w:val="004B2EA7"/>
    <w:rsid w:val="004B3AA8"/>
    <w:rsid w:val="004B3E93"/>
    <w:rsid w:val="004B76D2"/>
    <w:rsid w:val="004C1FBC"/>
    <w:rsid w:val="004C3F1D"/>
    <w:rsid w:val="004C458D"/>
    <w:rsid w:val="004C4C1C"/>
    <w:rsid w:val="004C7556"/>
    <w:rsid w:val="004C7854"/>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3B5"/>
    <w:rsid w:val="004F391A"/>
    <w:rsid w:val="004F3CFB"/>
    <w:rsid w:val="004F6456"/>
    <w:rsid w:val="004F696E"/>
    <w:rsid w:val="004F6C71"/>
    <w:rsid w:val="00501139"/>
    <w:rsid w:val="0050363E"/>
    <w:rsid w:val="005039BC"/>
    <w:rsid w:val="005043BB"/>
    <w:rsid w:val="00504A3D"/>
    <w:rsid w:val="00505767"/>
    <w:rsid w:val="005073F0"/>
    <w:rsid w:val="00510A7B"/>
    <w:rsid w:val="00510FD5"/>
    <w:rsid w:val="00512F6E"/>
    <w:rsid w:val="00513038"/>
    <w:rsid w:val="00514174"/>
    <w:rsid w:val="00516088"/>
    <w:rsid w:val="0051660F"/>
    <w:rsid w:val="00516B0B"/>
    <w:rsid w:val="005220EC"/>
    <w:rsid w:val="00523F95"/>
    <w:rsid w:val="00524D65"/>
    <w:rsid w:val="00525B16"/>
    <w:rsid w:val="0053306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615"/>
    <w:rsid w:val="00570E22"/>
    <w:rsid w:val="00573D9E"/>
    <w:rsid w:val="005756EA"/>
    <w:rsid w:val="005801E3"/>
    <w:rsid w:val="00581802"/>
    <w:rsid w:val="00582CE4"/>
    <w:rsid w:val="005836A8"/>
    <w:rsid w:val="0058409C"/>
    <w:rsid w:val="00584262"/>
    <w:rsid w:val="00586630"/>
    <w:rsid w:val="00587ADD"/>
    <w:rsid w:val="00590F2E"/>
    <w:rsid w:val="00591E27"/>
    <w:rsid w:val="00596160"/>
    <w:rsid w:val="005966E2"/>
    <w:rsid w:val="00597007"/>
    <w:rsid w:val="0059758D"/>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6B2E"/>
    <w:rsid w:val="005E7881"/>
    <w:rsid w:val="005E78E0"/>
    <w:rsid w:val="005F0D9C"/>
    <w:rsid w:val="005F284E"/>
    <w:rsid w:val="005F4712"/>
    <w:rsid w:val="006015CE"/>
    <w:rsid w:val="00604784"/>
    <w:rsid w:val="00606419"/>
    <w:rsid w:val="00607D29"/>
    <w:rsid w:val="00612315"/>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4D0"/>
    <w:rsid w:val="00645904"/>
    <w:rsid w:val="006509DF"/>
    <w:rsid w:val="00651ACB"/>
    <w:rsid w:val="00651C47"/>
    <w:rsid w:val="00652AB2"/>
    <w:rsid w:val="00653FED"/>
    <w:rsid w:val="00654EC0"/>
    <w:rsid w:val="0065525B"/>
    <w:rsid w:val="00655D4F"/>
    <w:rsid w:val="00656D29"/>
    <w:rsid w:val="006640E5"/>
    <w:rsid w:val="006646F1"/>
    <w:rsid w:val="00664929"/>
    <w:rsid w:val="00664F62"/>
    <w:rsid w:val="006655E1"/>
    <w:rsid w:val="00671E4C"/>
    <w:rsid w:val="00672060"/>
    <w:rsid w:val="00672BFD"/>
    <w:rsid w:val="006770F4"/>
    <w:rsid w:val="00677A84"/>
    <w:rsid w:val="0068026D"/>
    <w:rsid w:val="00680A27"/>
    <w:rsid w:val="006816A4"/>
    <w:rsid w:val="006816BA"/>
    <w:rsid w:val="006819B8"/>
    <w:rsid w:val="00683476"/>
    <w:rsid w:val="006840A6"/>
    <w:rsid w:val="006850CD"/>
    <w:rsid w:val="00685AAB"/>
    <w:rsid w:val="00693C99"/>
    <w:rsid w:val="00695D22"/>
    <w:rsid w:val="006A07AA"/>
    <w:rsid w:val="006A25E5"/>
    <w:rsid w:val="006A2B46"/>
    <w:rsid w:val="006A336D"/>
    <w:rsid w:val="006A37B9"/>
    <w:rsid w:val="006B2672"/>
    <w:rsid w:val="006B53DF"/>
    <w:rsid w:val="006B54BF"/>
    <w:rsid w:val="006B5F44"/>
    <w:rsid w:val="006B5F90"/>
    <w:rsid w:val="006B62E4"/>
    <w:rsid w:val="006C1BBA"/>
    <w:rsid w:val="006C2079"/>
    <w:rsid w:val="006C5A62"/>
    <w:rsid w:val="006C5D68"/>
    <w:rsid w:val="006C6976"/>
    <w:rsid w:val="006C6DD0"/>
    <w:rsid w:val="006D04EA"/>
    <w:rsid w:val="006D0AB7"/>
    <w:rsid w:val="006D0E39"/>
    <w:rsid w:val="006D16C4"/>
    <w:rsid w:val="006D3E96"/>
    <w:rsid w:val="006D4515"/>
    <w:rsid w:val="006D4BB1"/>
    <w:rsid w:val="006D6593"/>
    <w:rsid w:val="006E23EA"/>
    <w:rsid w:val="006F03A8"/>
    <w:rsid w:val="006F2ACA"/>
    <w:rsid w:val="006F2ADC"/>
    <w:rsid w:val="006F2BFE"/>
    <w:rsid w:val="006F31E9"/>
    <w:rsid w:val="006F6284"/>
    <w:rsid w:val="006F7AED"/>
    <w:rsid w:val="006F7C45"/>
    <w:rsid w:val="007002C5"/>
    <w:rsid w:val="00702073"/>
    <w:rsid w:val="0070342E"/>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B7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13B"/>
    <w:rsid w:val="00755402"/>
    <w:rsid w:val="00756B26"/>
    <w:rsid w:val="00756EDF"/>
    <w:rsid w:val="007600E3"/>
    <w:rsid w:val="007651C2"/>
    <w:rsid w:val="00765C43"/>
    <w:rsid w:val="00765EFB"/>
    <w:rsid w:val="007671CA"/>
    <w:rsid w:val="00767A86"/>
    <w:rsid w:val="00767C61"/>
    <w:rsid w:val="0077008A"/>
    <w:rsid w:val="007719CA"/>
    <w:rsid w:val="00771B57"/>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20D"/>
    <w:rsid w:val="007C4593"/>
    <w:rsid w:val="007C5309"/>
    <w:rsid w:val="007C6069"/>
    <w:rsid w:val="007D06C4"/>
    <w:rsid w:val="007D1352"/>
    <w:rsid w:val="007D2508"/>
    <w:rsid w:val="007D346A"/>
    <w:rsid w:val="007D4FA4"/>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5DE"/>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1FF9"/>
    <w:rsid w:val="008B3615"/>
    <w:rsid w:val="008B4AC4"/>
    <w:rsid w:val="008B50C8"/>
    <w:rsid w:val="008B5281"/>
    <w:rsid w:val="008B7E05"/>
    <w:rsid w:val="008C1797"/>
    <w:rsid w:val="008C219C"/>
    <w:rsid w:val="008C475E"/>
    <w:rsid w:val="008C5A89"/>
    <w:rsid w:val="008C619A"/>
    <w:rsid w:val="008D0CE8"/>
    <w:rsid w:val="008D16C5"/>
    <w:rsid w:val="008D2D1D"/>
    <w:rsid w:val="008D453D"/>
    <w:rsid w:val="008D53AD"/>
    <w:rsid w:val="008D562B"/>
    <w:rsid w:val="008D5733"/>
    <w:rsid w:val="008D622B"/>
    <w:rsid w:val="008D666C"/>
    <w:rsid w:val="008D6A2D"/>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0E3"/>
    <w:rsid w:val="009021ED"/>
    <w:rsid w:val="00902722"/>
    <w:rsid w:val="009027BC"/>
    <w:rsid w:val="009062E6"/>
    <w:rsid w:val="00911BE5"/>
    <w:rsid w:val="00913CA9"/>
    <w:rsid w:val="009145AE"/>
    <w:rsid w:val="009146CE"/>
    <w:rsid w:val="00914CA7"/>
    <w:rsid w:val="00915C3E"/>
    <w:rsid w:val="009161A8"/>
    <w:rsid w:val="009161F8"/>
    <w:rsid w:val="00916B43"/>
    <w:rsid w:val="009245F5"/>
    <w:rsid w:val="009249EC"/>
    <w:rsid w:val="009273B3"/>
    <w:rsid w:val="009305B5"/>
    <w:rsid w:val="00934A29"/>
    <w:rsid w:val="009429D5"/>
    <w:rsid w:val="009429EA"/>
    <w:rsid w:val="00942BF1"/>
    <w:rsid w:val="009437F9"/>
    <w:rsid w:val="00945180"/>
    <w:rsid w:val="00945428"/>
    <w:rsid w:val="0094607B"/>
    <w:rsid w:val="00953604"/>
    <w:rsid w:val="0095496B"/>
    <w:rsid w:val="00955C36"/>
    <w:rsid w:val="009610DC"/>
    <w:rsid w:val="00961490"/>
    <w:rsid w:val="0096381A"/>
    <w:rsid w:val="00965E04"/>
    <w:rsid w:val="009674AD"/>
    <w:rsid w:val="00970CDC"/>
    <w:rsid w:val="00974E1D"/>
    <w:rsid w:val="00975F80"/>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207"/>
    <w:rsid w:val="009A5429"/>
    <w:rsid w:val="009A72AD"/>
    <w:rsid w:val="009B09E0"/>
    <w:rsid w:val="009B0BC5"/>
    <w:rsid w:val="009B1247"/>
    <w:rsid w:val="009B46F9"/>
    <w:rsid w:val="009B6029"/>
    <w:rsid w:val="009B6971"/>
    <w:rsid w:val="009C27F1"/>
    <w:rsid w:val="009C3152"/>
    <w:rsid w:val="009C49B4"/>
    <w:rsid w:val="009C4CFA"/>
    <w:rsid w:val="009C5070"/>
    <w:rsid w:val="009D112C"/>
    <w:rsid w:val="009D47FA"/>
    <w:rsid w:val="009D4C5B"/>
    <w:rsid w:val="009D50D2"/>
    <w:rsid w:val="009D6BCA"/>
    <w:rsid w:val="009D7692"/>
    <w:rsid w:val="009E0F62"/>
    <w:rsid w:val="009E4A58"/>
    <w:rsid w:val="009E5A2D"/>
    <w:rsid w:val="009E5AB2"/>
    <w:rsid w:val="009E6219"/>
    <w:rsid w:val="009F03B3"/>
    <w:rsid w:val="009F58FC"/>
    <w:rsid w:val="00A0096C"/>
    <w:rsid w:val="00A01757"/>
    <w:rsid w:val="00A028C0"/>
    <w:rsid w:val="00A02BAE"/>
    <w:rsid w:val="00A06A6B"/>
    <w:rsid w:val="00A07E47"/>
    <w:rsid w:val="00A106FD"/>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684"/>
    <w:rsid w:val="00A36DD1"/>
    <w:rsid w:val="00A4006C"/>
    <w:rsid w:val="00A40091"/>
    <w:rsid w:val="00A4030F"/>
    <w:rsid w:val="00A41C79"/>
    <w:rsid w:val="00A41CB5"/>
    <w:rsid w:val="00A42A02"/>
    <w:rsid w:val="00A42CDF"/>
    <w:rsid w:val="00A4452E"/>
    <w:rsid w:val="00A4472C"/>
    <w:rsid w:val="00A44E69"/>
    <w:rsid w:val="00A4661E"/>
    <w:rsid w:val="00A55BD6"/>
    <w:rsid w:val="00A55D50"/>
    <w:rsid w:val="00A57142"/>
    <w:rsid w:val="00A6034E"/>
    <w:rsid w:val="00A648CD"/>
    <w:rsid w:val="00A6537A"/>
    <w:rsid w:val="00A67866"/>
    <w:rsid w:val="00A70B07"/>
    <w:rsid w:val="00A723F8"/>
    <w:rsid w:val="00A77CCB"/>
    <w:rsid w:val="00A82644"/>
    <w:rsid w:val="00A83D8D"/>
    <w:rsid w:val="00A8446B"/>
    <w:rsid w:val="00A8473F"/>
    <w:rsid w:val="00A862D6"/>
    <w:rsid w:val="00A8715E"/>
    <w:rsid w:val="00A9295B"/>
    <w:rsid w:val="00A93B09"/>
    <w:rsid w:val="00A94247"/>
    <w:rsid w:val="00A952D7"/>
    <w:rsid w:val="00A956CA"/>
    <w:rsid w:val="00A963F7"/>
    <w:rsid w:val="00A96AD8"/>
    <w:rsid w:val="00AA052C"/>
    <w:rsid w:val="00AA1AB8"/>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F38"/>
    <w:rsid w:val="00AE101C"/>
    <w:rsid w:val="00AE37E5"/>
    <w:rsid w:val="00AE3C20"/>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BB9"/>
    <w:rsid w:val="00B34DC2"/>
    <w:rsid w:val="00B35B0A"/>
    <w:rsid w:val="00B378E5"/>
    <w:rsid w:val="00B4346D"/>
    <w:rsid w:val="00B440F4"/>
    <w:rsid w:val="00B447A5"/>
    <w:rsid w:val="00B4654C"/>
    <w:rsid w:val="00B46AF0"/>
    <w:rsid w:val="00B47293"/>
    <w:rsid w:val="00B50E50"/>
    <w:rsid w:val="00B52120"/>
    <w:rsid w:val="00B54ABC"/>
    <w:rsid w:val="00B54DDE"/>
    <w:rsid w:val="00B56B34"/>
    <w:rsid w:val="00B56FBE"/>
    <w:rsid w:val="00B60ACF"/>
    <w:rsid w:val="00B61120"/>
    <w:rsid w:val="00B62B58"/>
    <w:rsid w:val="00B65149"/>
    <w:rsid w:val="00B66567"/>
    <w:rsid w:val="00B66F52"/>
    <w:rsid w:val="00B66FE5"/>
    <w:rsid w:val="00B7174A"/>
    <w:rsid w:val="00B72880"/>
    <w:rsid w:val="00B758BF"/>
    <w:rsid w:val="00B77EC8"/>
    <w:rsid w:val="00B827A6"/>
    <w:rsid w:val="00B831CE"/>
    <w:rsid w:val="00B86677"/>
    <w:rsid w:val="00B87131"/>
    <w:rsid w:val="00B87AF5"/>
    <w:rsid w:val="00B939B1"/>
    <w:rsid w:val="00B96D40"/>
    <w:rsid w:val="00B97386"/>
    <w:rsid w:val="00BA0898"/>
    <w:rsid w:val="00BA263B"/>
    <w:rsid w:val="00BA42B2"/>
    <w:rsid w:val="00BA58D4"/>
    <w:rsid w:val="00BA5B9E"/>
    <w:rsid w:val="00BA7C9A"/>
    <w:rsid w:val="00BB203B"/>
    <w:rsid w:val="00BB5F8F"/>
    <w:rsid w:val="00BB657A"/>
    <w:rsid w:val="00BC1A4E"/>
    <w:rsid w:val="00BC4790"/>
    <w:rsid w:val="00BC5DC7"/>
    <w:rsid w:val="00BC6B8B"/>
    <w:rsid w:val="00BC73D8"/>
    <w:rsid w:val="00BD3B64"/>
    <w:rsid w:val="00BD52D7"/>
    <w:rsid w:val="00BD5AD2"/>
    <w:rsid w:val="00BE22F3"/>
    <w:rsid w:val="00BE5B52"/>
    <w:rsid w:val="00BE7B8D"/>
    <w:rsid w:val="00BF0993"/>
    <w:rsid w:val="00BF10A9"/>
    <w:rsid w:val="00BF1703"/>
    <w:rsid w:val="00BF1E3C"/>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279FB"/>
    <w:rsid w:val="00C33E50"/>
    <w:rsid w:val="00C34C20"/>
    <w:rsid w:val="00C35A3E"/>
    <w:rsid w:val="00C42130"/>
    <w:rsid w:val="00C423A4"/>
    <w:rsid w:val="00C43C35"/>
    <w:rsid w:val="00C44BF5"/>
    <w:rsid w:val="00C521D6"/>
    <w:rsid w:val="00C55232"/>
    <w:rsid w:val="00C553A4"/>
    <w:rsid w:val="00C55A06"/>
    <w:rsid w:val="00C55D03"/>
    <w:rsid w:val="00C601BC"/>
    <w:rsid w:val="00C610CB"/>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0525"/>
    <w:rsid w:val="00CA1661"/>
    <w:rsid w:val="00CA2D1B"/>
    <w:rsid w:val="00CA375D"/>
    <w:rsid w:val="00CA662A"/>
    <w:rsid w:val="00CA7AFD"/>
    <w:rsid w:val="00CA7C3C"/>
    <w:rsid w:val="00CB0189"/>
    <w:rsid w:val="00CB0BA2"/>
    <w:rsid w:val="00CB1A42"/>
    <w:rsid w:val="00CB1B0C"/>
    <w:rsid w:val="00CB2C0B"/>
    <w:rsid w:val="00CB517D"/>
    <w:rsid w:val="00CC038D"/>
    <w:rsid w:val="00CC060E"/>
    <w:rsid w:val="00CC08DB"/>
    <w:rsid w:val="00CC39FF"/>
    <w:rsid w:val="00CC3C2F"/>
    <w:rsid w:val="00CC4AC8"/>
    <w:rsid w:val="00CC5233"/>
    <w:rsid w:val="00CC5DE6"/>
    <w:rsid w:val="00CC6E4E"/>
    <w:rsid w:val="00CC6FE8"/>
    <w:rsid w:val="00CC7202"/>
    <w:rsid w:val="00CD173D"/>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8AB"/>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37AD"/>
    <w:rsid w:val="00D647FA"/>
    <w:rsid w:val="00D66846"/>
    <w:rsid w:val="00D675FB"/>
    <w:rsid w:val="00D71F25"/>
    <w:rsid w:val="00D72A9C"/>
    <w:rsid w:val="00D77031"/>
    <w:rsid w:val="00D8364B"/>
    <w:rsid w:val="00D84941"/>
    <w:rsid w:val="00D84FA1"/>
    <w:rsid w:val="00D851F0"/>
    <w:rsid w:val="00D86DB7"/>
    <w:rsid w:val="00D926D0"/>
    <w:rsid w:val="00D93030"/>
    <w:rsid w:val="00D950E1"/>
    <w:rsid w:val="00D952A6"/>
    <w:rsid w:val="00D97F99"/>
    <w:rsid w:val="00DA1E08"/>
    <w:rsid w:val="00DA24F8"/>
    <w:rsid w:val="00DA28E8"/>
    <w:rsid w:val="00DA3374"/>
    <w:rsid w:val="00DA38D3"/>
    <w:rsid w:val="00DA3932"/>
    <w:rsid w:val="00DA3AFC"/>
    <w:rsid w:val="00DA5191"/>
    <w:rsid w:val="00DA64F8"/>
    <w:rsid w:val="00DA6C15"/>
    <w:rsid w:val="00DB0258"/>
    <w:rsid w:val="00DB38EE"/>
    <w:rsid w:val="00DB498B"/>
    <w:rsid w:val="00DB5ED1"/>
    <w:rsid w:val="00DB66CA"/>
    <w:rsid w:val="00DB6BCA"/>
    <w:rsid w:val="00DB73F7"/>
    <w:rsid w:val="00DC0321"/>
    <w:rsid w:val="00DC3067"/>
    <w:rsid w:val="00DC370B"/>
    <w:rsid w:val="00DC50D6"/>
    <w:rsid w:val="00DC5B90"/>
    <w:rsid w:val="00DD00FF"/>
    <w:rsid w:val="00DD0619"/>
    <w:rsid w:val="00DD07FB"/>
    <w:rsid w:val="00DD25C6"/>
    <w:rsid w:val="00DD4FE5"/>
    <w:rsid w:val="00DD54B0"/>
    <w:rsid w:val="00DD57EE"/>
    <w:rsid w:val="00DD6BCC"/>
    <w:rsid w:val="00DD760F"/>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0D6"/>
    <w:rsid w:val="00E053A5"/>
    <w:rsid w:val="00E06404"/>
    <w:rsid w:val="00E065D2"/>
    <w:rsid w:val="00E07092"/>
    <w:rsid w:val="00E11A85"/>
    <w:rsid w:val="00E12495"/>
    <w:rsid w:val="00E15CCD"/>
    <w:rsid w:val="00E202EF"/>
    <w:rsid w:val="00E210B5"/>
    <w:rsid w:val="00E23D99"/>
    <w:rsid w:val="00E25172"/>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E4D"/>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841"/>
    <w:rsid w:val="00F06D05"/>
    <w:rsid w:val="00F06D37"/>
    <w:rsid w:val="00F07B9D"/>
    <w:rsid w:val="00F11586"/>
    <w:rsid w:val="00F1183B"/>
    <w:rsid w:val="00F11C9F"/>
    <w:rsid w:val="00F12263"/>
    <w:rsid w:val="00F12C22"/>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569"/>
    <w:rsid w:val="00F6194E"/>
    <w:rsid w:val="00F623AC"/>
    <w:rsid w:val="00F6412A"/>
    <w:rsid w:val="00F642A7"/>
    <w:rsid w:val="00F65893"/>
    <w:rsid w:val="00F66A4A"/>
    <w:rsid w:val="00F71E22"/>
    <w:rsid w:val="00F72142"/>
    <w:rsid w:val="00F726B3"/>
    <w:rsid w:val="00F72AE7"/>
    <w:rsid w:val="00F81141"/>
    <w:rsid w:val="00F811FC"/>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F82"/>
    <w:rsid w:val="00FF730C"/>
    <w:rsid w:val="00FF73F4"/>
    <w:rsid w:val="00FF7CE4"/>
    <w:rsid w:val="00FF7E39"/>
    <w:rsid w:val="03502196"/>
    <w:rsid w:val="04555734"/>
    <w:rsid w:val="06944354"/>
    <w:rsid w:val="090C1333"/>
    <w:rsid w:val="0B1F7887"/>
    <w:rsid w:val="0B592D46"/>
    <w:rsid w:val="0B700447"/>
    <w:rsid w:val="0C0D4800"/>
    <w:rsid w:val="0F0A4FE8"/>
    <w:rsid w:val="115B567E"/>
    <w:rsid w:val="13F95A9D"/>
    <w:rsid w:val="14920F35"/>
    <w:rsid w:val="1587557C"/>
    <w:rsid w:val="164D42E1"/>
    <w:rsid w:val="19792045"/>
    <w:rsid w:val="1ACF3437"/>
    <w:rsid w:val="1FA707AE"/>
    <w:rsid w:val="220D1EC3"/>
    <w:rsid w:val="23CD1943"/>
    <w:rsid w:val="24BE7AF7"/>
    <w:rsid w:val="26105AEF"/>
    <w:rsid w:val="29D07A70"/>
    <w:rsid w:val="2C5A3F68"/>
    <w:rsid w:val="2E725502"/>
    <w:rsid w:val="2F725125"/>
    <w:rsid w:val="2FB67708"/>
    <w:rsid w:val="33C9271E"/>
    <w:rsid w:val="348E0C53"/>
    <w:rsid w:val="3BD21BC4"/>
    <w:rsid w:val="3EB80428"/>
    <w:rsid w:val="40F0596B"/>
    <w:rsid w:val="4119644D"/>
    <w:rsid w:val="42B0274C"/>
    <w:rsid w:val="44670FCC"/>
    <w:rsid w:val="45A167D0"/>
    <w:rsid w:val="461C401E"/>
    <w:rsid w:val="46517D32"/>
    <w:rsid w:val="48AE3D5B"/>
    <w:rsid w:val="49F97A2E"/>
    <w:rsid w:val="4C6862BA"/>
    <w:rsid w:val="4C9B4C08"/>
    <w:rsid w:val="4EAD4B6E"/>
    <w:rsid w:val="4FCC7771"/>
    <w:rsid w:val="523B7711"/>
    <w:rsid w:val="52532CD9"/>
    <w:rsid w:val="52FC4049"/>
    <w:rsid w:val="531279FF"/>
    <w:rsid w:val="533C2A44"/>
    <w:rsid w:val="53E82400"/>
    <w:rsid w:val="54EB7381"/>
    <w:rsid w:val="55FA2717"/>
    <w:rsid w:val="56916943"/>
    <w:rsid w:val="59194EED"/>
    <w:rsid w:val="5BCC25F1"/>
    <w:rsid w:val="5D290C69"/>
    <w:rsid w:val="5F8A7BC2"/>
    <w:rsid w:val="64DB4361"/>
    <w:rsid w:val="686A0E68"/>
    <w:rsid w:val="6A226D4B"/>
    <w:rsid w:val="6BC229B5"/>
    <w:rsid w:val="6DDB453B"/>
    <w:rsid w:val="6F984159"/>
    <w:rsid w:val="7686274D"/>
    <w:rsid w:val="76AF218D"/>
    <w:rsid w:val="783061A4"/>
    <w:rsid w:val="7A8815AA"/>
    <w:rsid w:val="7BB0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ind w:left="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171C2FF6BEB4906BB8589EE9FE16BA8"/>
        <w:style w:val=""/>
        <w:category>
          <w:name w:val="常规"/>
          <w:gallery w:val="placeholder"/>
        </w:category>
        <w:types>
          <w:type w:val="bbPlcHdr"/>
        </w:types>
        <w:behaviors>
          <w:behavior w:val="content"/>
        </w:behaviors>
        <w:description w:val=""/>
        <w:guid w:val="{04D8FFA6-C53C-4491-877B-F606956D003F}"/>
      </w:docPartPr>
      <w:docPartBody>
        <w:p w14:paraId="1DD5E2D0">
          <w:pPr>
            <w:pStyle w:val="5"/>
          </w:pPr>
          <w:r>
            <w:rPr>
              <w:rStyle w:val="4"/>
              <w:rFonts w:hint="eastAsia"/>
            </w:rPr>
            <w:t>单击或点击此处输入文字。</w:t>
          </w:r>
        </w:p>
      </w:docPartBody>
    </w:docPart>
    <w:docPart>
      <w:docPartPr>
        <w:name w:val="CF2B065EAC424261A4A6A3731D7F48BB"/>
        <w:style w:val=""/>
        <w:category>
          <w:name w:val="常规"/>
          <w:gallery w:val="placeholder"/>
        </w:category>
        <w:types>
          <w:type w:val="bbPlcHdr"/>
        </w:types>
        <w:behaviors>
          <w:behavior w:val="content"/>
        </w:behaviors>
        <w:description w:val=""/>
        <w:guid w:val="{EC8B87AD-C6F0-41D2-B029-E9D018C6F21A}"/>
      </w:docPartPr>
      <w:docPartBody>
        <w:p w14:paraId="55AECBA4">
          <w:pPr>
            <w:pStyle w:val="6"/>
          </w:pPr>
          <w:r>
            <w:rPr>
              <w:rStyle w:val="4"/>
              <w:rFonts w:hint="eastAsia"/>
            </w:rPr>
            <w:t>选择一项。</w:t>
          </w:r>
        </w:p>
      </w:docPartBody>
    </w:docPart>
    <w:docPart>
      <w:docPartPr>
        <w:name w:val="58513EA5206544D3A99AE8DD7F00FBEB"/>
        <w:style w:val=""/>
        <w:category>
          <w:name w:val="常规"/>
          <w:gallery w:val="placeholder"/>
        </w:category>
        <w:types>
          <w:type w:val="bbPlcHdr"/>
        </w:types>
        <w:behaviors>
          <w:behavior w:val="content"/>
        </w:behaviors>
        <w:description w:val=""/>
        <w:guid w:val="{14F77B93-B959-4146-BA27-AA21C394AA50}"/>
      </w:docPartPr>
      <w:docPartBody>
        <w:p w14:paraId="2EB3CF6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1A"/>
    <w:rsid w:val="0053371A"/>
    <w:rsid w:val="005D6021"/>
    <w:rsid w:val="00681691"/>
    <w:rsid w:val="00793075"/>
    <w:rsid w:val="00A0381E"/>
    <w:rsid w:val="00C236E2"/>
    <w:rsid w:val="00F17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171C2FF6BEB4906BB8589EE9FE16BA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F2B065EAC424261A4A6A3731D7F48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8513EA5206544D3A99AE8DD7F00FBE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16</Pages>
  <Words>6738</Words>
  <Characters>7067</Characters>
  <Lines>122</Lines>
  <Paragraphs>34</Paragraphs>
  <TotalTime>0</TotalTime>
  <ScaleCrop>false</ScaleCrop>
  <LinksUpToDate>false</LinksUpToDate>
  <CharactersWithSpaces>7183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2023-03-09T05:19:00Z</dcterms:created>
  <dc:creator>步翠兰</dc:creator>
  <dc:description>&lt;config cover="true" show_menu="true" version="1.0.0" doctype="SDKXY"&gt;_x000d_
&lt;/config&gt;</dc:description>
  <cp:lastModifiedBy>顾雯</cp:lastModifiedBy>
  <cp:lastPrinted>2024-11-28T01:51:00Z</cp:lastPrinted>
  <dcterms:modified xsi:type="dcterms:W3CDTF">2024-12-05T01:51:20Z</dcterms:modified>
  <dc:title>地方标准</dc:title>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075BE33EB5B2432B974C4C71CCC0B9CD_12</vt:lpwstr>
  </property>
</Properties>
</file>