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1"/>
        <w:framePr w:wrap="around"/>
      </w:pPr>
      <w:r>
        <w:rPr>
          <w:rFonts w:ascii="Times New Roman"/>
        </w:rPr>
        <w:t>ICS</w:t>
      </w:r>
      <w:r>
        <w:rPr>
          <w:rFonts w:hAnsi="黑体"/>
        </w:rPr>
        <w:t> </w:t>
      </w:r>
      <w:r>
        <w:rPr>
          <w:rFonts w:hint="eastAsia"/>
        </w:rPr>
        <w:t>01.140</w:t>
      </w:r>
    </w:p>
    <w:p>
      <w:pPr>
        <w:pStyle w:val="121"/>
        <w:framePr w:wrap="around"/>
      </w:pPr>
      <w:r>
        <w:rPr>
          <w:rFonts w:hint="eastAsia"/>
        </w:rPr>
        <w:t>CCS P 09</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21"/>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1806480234"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K4v7NUAAAAHAQAADwAAAAAA&#10;AAABACAAAAAiAAAAZHJzL2Rvd25yZXYueG1sUEsBAhQAFAAAAAgAh07iQP9avBsWAgAAKQQAAA4A&#10;AAAAAAAAAQAgAAAAJAEAAGRycy9lMm9Eb2MueG1sUEsFBgAAAAAGAAYAWQEAAKw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w:instrText>
            </w:r>
            <w:r>
              <w:rPr>
                <w:rFonts w:hint="eastAsia"/>
              </w:rPr>
              <w:instrText xml:space="preserve">FORMTEXT</w:instrText>
            </w:r>
            <w:r>
              <w:instrText xml:space="preserve"> </w:instrText>
            </w:r>
            <w:r>
              <w:fldChar w:fldCharType="separate"/>
            </w:r>
            <w:r>
              <w:rPr>
                <w:rFonts w:hint="eastAsia"/>
              </w:rPr>
              <w:t>备案号：</w:t>
            </w:r>
            <w:r>
              <w:rPr>
                <w:rFonts w:hint="eastAsia"/>
                <w:lang w:val="en-US" w:eastAsia="zh-CN"/>
              </w:rPr>
              <w:t>2024-4-94</w:t>
            </w:r>
            <w:r>
              <w:fldChar w:fldCharType="end"/>
            </w:r>
            <w:bookmarkEnd w:id="0"/>
          </w:p>
        </w:tc>
      </w:tr>
    </w:tbl>
    <w:p>
      <w:pPr>
        <w:pStyle w:val="107"/>
        <w:framePr w:wrap="around"/>
      </w:pPr>
      <w:r>
        <w:t>D</w:t>
      </w:r>
      <w:r>
        <w:rPr>
          <w:spacing w:val="100"/>
        </w:rPr>
        <w:t>B</w:t>
      </w:r>
      <w:r>
        <w:fldChar w:fldCharType="begin">
          <w:ffData>
            <w:name w:val="c3"/>
            <w:enabled/>
            <w:calcOnExit w:val="0"/>
            <w:entryMacro w:val="ShowHelp16"/>
            <w:textInput/>
          </w:ffData>
        </w:fldChar>
      </w:r>
      <w:bookmarkStart w:id="1" w:name="c3"/>
      <w:r>
        <w:instrText xml:space="preserve"> FORMTEXT </w:instrText>
      </w:r>
      <w:r>
        <w:fldChar w:fldCharType="separate"/>
      </w:r>
      <w:r>
        <w:t>     </w:t>
      </w:r>
      <w:r>
        <w:fldChar w:fldCharType="end"/>
      </w:r>
      <w:bookmarkEnd w:id="1"/>
    </w:p>
    <w:p>
      <w:pPr>
        <w:pStyle w:val="108"/>
        <w:framePr w:wrap="around"/>
        <w:rPr>
          <w:rFonts w:hint="eastAsia"/>
        </w:rPr>
      </w:pPr>
      <w:r>
        <w:fldChar w:fldCharType="begin">
          <w:ffData>
            <w:name w:val="c4"/>
            <w:enabled/>
            <w:calcOnExit w:val="0"/>
            <w:entryMacro w:val="showhelp12"/>
            <w:textInput/>
          </w:ffData>
        </w:fldChar>
      </w:r>
      <w:bookmarkStart w:id="2" w:name="c4"/>
      <w:r>
        <w:instrText xml:space="preserve"> FORMTEXT </w:instrText>
      </w:r>
      <w:r>
        <w:fldChar w:fldCharType="separate"/>
      </w:r>
      <w:r>
        <w:t>     </w:t>
      </w:r>
      <w:r>
        <w:fldChar w:fldCharType="end"/>
      </w:r>
      <w:bookmarkEnd w:id="2"/>
      <w:r>
        <w:t>地方标准</w:t>
      </w:r>
    </w:p>
    <w:p>
      <w:pPr>
        <w:pStyle w:val="45"/>
        <w:framePr w:wrap="around"/>
        <w:rPr>
          <w:rFonts w:hint="eastAsia" w:hAnsi="黑体"/>
        </w:rPr>
      </w:pPr>
      <w:r>
        <w:rPr>
          <w:rFonts w:ascii="Times New Roman"/>
        </w:rPr>
        <w:t xml:space="preserve">DB </w:t>
      </w:r>
      <w:r>
        <w:rPr>
          <w:rFonts w:hAnsi="黑体"/>
        </w:rPr>
        <w:fldChar w:fldCharType="begin">
          <w:ffData>
            <w:name w:val="StdNo0"/>
            <w:enabled/>
            <w:calcOnExit w:val="0"/>
            <w:textInput>
              <w:default w:val="××/T"/>
            </w:textInput>
          </w:ffData>
        </w:fldChar>
      </w:r>
      <w:bookmarkStart w:id="3" w:name="StdNo0"/>
      <w:r>
        <w:rPr>
          <w:rFonts w:hAnsi="黑体"/>
        </w:rPr>
        <w:instrText xml:space="preserve"> FORMTEXT </w:instrText>
      </w:r>
      <w:r>
        <w:rPr>
          <w:rFonts w:hAnsi="黑体"/>
        </w:rPr>
        <w:fldChar w:fldCharType="separate"/>
      </w:r>
      <w:r>
        <w:rPr>
          <w:rFonts w:hAnsi="黑体"/>
        </w:rPr>
        <w:t>××</w:t>
      </w:r>
      <w:r>
        <w:rPr>
          <w:rFonts w:ascii="Times New Roman" w:hAnsi="黑体"/>
        </w:rPr>
        <w:t>/T</w:t>
      </w:r>
      <w:r>
        <w:rPr>
          <w:rFonts w:hAnsi="黑体"/>
        </w:rPr>
        <w:fldChar w:fldCharType="end"/>
      </w:r>
      <w:bookmarkEnd w:id="3"/>
      <w:r>
        <w:rPr>
          <w:rFonts w:hAnsi="黑体"/>
        </w:rPr>
        <w:t xml:space="preserve"> </w:t>
      </w:r>
      <w:r>
        <w:rPr>
          <w:rFonts w:hAnsi="黑体"/>
        </w:rPr>
        <w:fldChar w:fldCharType="begin">
          <w:ffData>
            <w:name w:val="StdNo1"/>
            <w:enabled/>
            <w:calcOnExit w:val="0"/>
            <w:textInput>
              <w:default w:val="××××"/>
            </w:textInput>
          </w:ffData>
        </w:fldChar>
      </w:r>
      <w:bookmarkStart w:id="4" w:name="StdNo1"/>
      <w:r>
        <w:rPr>
          <w:rFonts w:hAnsi="黑体"/>
        </w:rPr>
        <w:instrText xml:space="preserve"> FORMTEXT </w:instrText>
      </w:r>
      <w:r>
        <w:rPr>
          <w:rFonts w:hAnsi="黑体"/>
        </w:rPr>
        <w:fldChar w:fldCharType="separate"/>
      </w:r>
      <w:r>
        <w:rPr>
          <w:rFonts w:hAnsi="黑体"/>
        </w:rPr>
        <w:t>××××</w:t>
      </w:r>
      <w:r>
        <w:rPr>
          <w:rFonts w:hAnsi="黑体"/>
        </w:rPr>
        <w:fldChar w:fldCharType="end"/>
      </w:r>
      <w:bookmarkEnd w:id="4"/>
      <w:r>
        <w:rPr>
          <w:rFonts w:hAnsi="黑体"/>
        </w:rPr>
        <w:t>—</w:t>
      </w:r>
      <w:r>
        <w:rPr>
          <w:rFonts w:hAnsi="黑体"/>
        </w:rPr>
        <w:fldChar w:fldCharType="begin">
          <w:ffData>
            <w:name w:val="StdNo2"/>
            <w:enabled/>
            <w:calcOnExit w:val="0"/>
            <w:textInput>
              <w:default w:val="××××"/>
              <w:maxLength w:val="4"/>
            </w:textInput>
          </w:ffData>
        </w:fldChar>
      </w:r>
      <w:bookmarkStart w:id="5" w:name="StdNo2"/>
      <w:r>
        <w:rPr>
          <w:rFonts w:hAnsi="黑体"/>
        </w:rPr>
        <w:instrText xml:space="preserve"> FORMTEXT </w:instrText>
      </w:r>
      <w:r>
        <w:rPr>
          <w:rFonts w:hAnsi="黑体"/>
        </w:rPr>
        <w:fldChar w:fldCharType="separate"/>
      </w:r>
      <w:r>
        <w:rPr>
          <w:rFonts w:hAnsi="黑体"/>
        </w:rPr>
        <w:t>××××</w:t>
      </w:r>
      <w:r>
        <w:rPr>
          <w:rFonts w:hAnsi="黑体"/>
        </w:rPr>
        <w:fldChar w:fldCharType="end"/>
      </w:r>
      <w:bookmarkEnd w:id="5"/>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74"/>
              <w:framePr w:wrap="around"/>
            </w:pPr>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717841849"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YPLL1gAAAAgBAAAPAAAAAAAAAAEA&#10;IAAAACIAAABkcnMvZG93bnJldi54bWxQSwECFAAUAAAACACHTuJAhYNn2RECAAApBAAADgAAAAAA&#10;AAABACAAAAAlAQAAZHJzL2Uyb0RvYy54bWxQSwUGAAAAAAYABgBZAQAAqAUAAAAA&#10;">
                      <v:fill on="t" focussize="0,0"/>
                      <v:stroke on="f"/>
                      <v:imagedata o:title=""/>
                      <o:lock v:ext="edit" aspectratio="f"/>
                    </v:rect>
                  </w:pict>
                </mc:Fallback>
              </mc:AlternateContent>
            </w:r>
            <w:r>
              <w:fldChar w:fldCharType="begin">
                <w:ffData>
                  <w:name w:val="DT"/>
                  <w:enabled/>
                  <w:calcOnExit w:val="0"/>
                  <w:entryMacro w:val="ShowHelp4"/>
                  <w:textInput/>
                </w:ffData>
              </w:fldChar>
            </w:r>
            <w:bookmarkStart w:id="6" w:name="DT"/>
            <w:r>
              <w:instrText xml:space="preserve"> FORMTEXT </w:instrText>
            </w:r>
            <w:r>
              <w:fldChar w:fldCharType="separate"/>
            </w:r>
            <w:r>
              <w:t>     </w:t>
            </w:r>
            <w:r>
              <w:fldChar w:fldCharType="end"/>
            </w:r>
            <w:bookmarkEnd w:id="6"/>
          </w:p>
        </w:tc>
      </w:tr>
    </w:tbl>
    <w:p>
      <w:pPr>
        <w:pStyle w:val="45"/>
        <w:framePr w:wrap="around"/>
        <w:rPr>
          <w:rFonts w:hint="eastAsia" w:hAnsi="黑体"/>
        </w:rPr>
      </w:pPr>
    </w:p>
    <w:p>
      <w:pPr>
        <w:pStyle w:val="45"/>
        <w:framePr w:wrap="around"/>
        <w:rPr>
          <w:rFonts w:hint="eastAsia" w:hAnsi="黑体"/>
        </w:rPr>
      </w:pPr>
    </w:p>
    <w:p>
      <w:pPr>
        <w:pStyle w:val="76"/>
        <w:framePr w:wrap="around"/>
      </w:pPr>
      <w:r>
        <w:fldChar w:fldCharType="begin">
          <w:ffData>
            <w:name w:val="StdName"/>
            <w:enabled/>
            <w:calcOnExit w:val="0"/>
            <w:textInput>
              <w:default w:val="点击此处添加标准名称"/>
            </w:textInput>
          </w:ffData>
        </w:fldChar>
      </w:r>
      <w:bookmarkStart w:id="7" w:name="StdName"/>
      <w:r>
        <w:instrText xml:space="preserve"> FORMTEXT </w:instrText>
      </w:r>
      <w:r>
        <w:fldChar w:fldCharType="separate"/>
      </w:r>
      <w:r>
        <w:rPr>
          <w:rFonts w:hint="eastAsia"/>
        </w:rPr>
        <w:t>人工关节感染预防指南</w:t>
      </w:r>
      <w:r>
        <w:fldChar w:fldCharType="end"/>
      </w:r>
      <w:bookmarkEnd w:id="7"/>
    </w:p>
    <w:p>
      <w:pPr>
        <w:pStyle w:val="77"/>
        <w:framePr w:wrap="around"/>
      </w:pPr>
      <w:r>
        <w:fldChar w:fldCharType="begin">
          <w:ffData>
            <w:name w:val="StdEnglishName"/>
            <w:enabled/>
            <w:calcOnExit w:val="0"/>
            <w:textInput>
              <w:default w:val="Specifications for the construction of periprosthetic joint infection diagnose and treatment centers in general hospitals"/>
            </w:textInput>
          </w:ffData>
        </w:fldChar>
      </w:r>
      <w:bookmarkStart w:id="8" w:name="StdEnglishName"/>
      <w:r>
        <w:instrText xml:space="preserve"> FORMTEXT </w:instrText>
      </w:r>
      <w:r>
        <w:fldChar w:fldCharType="separate"/>
      </w:r>
      <w:r>
        <w:rPr>
          <w:rFonts w:hint="eastAsia"/>
        </w:rPr>
        <w:t xml:space="preserve">Guideline for Prevention of </w:t>
      </w:r>
      <w:r>
        <w:rPr>
          <w:rFonts w:hint="eastAsia"/>
          <w:lang w:val="en-US" w:eastAsia="zh-CN"/>
        </w:rPr>
        <w:t>Perip</w:t>
      </w:r>
      <w:r>
        <w:rPr>
          <w:rFonts w:hint="eastAsia"/>
        </w:rPr>
        <w:t xml:space="preserve">rosthetic Joint Infection  </w:t>
      </w:r>
      <w:r>
        <w:t>  </w:t>
      </w:r>
      <w:r>
        <w:fldChar w:fldCharType="end"/>
      </w:r>
      <w:bookmarkEnd w:id="8"/>
    </w:p>
    <w:p>
      <w:pPr>
        <w:pStyle w:val="78"/>
        <w:framePr w:wrap="around"/>
      </w:pPr>
      <w:r>
        <w:fldChar w:fldCharType="begin">
          <w:ffData>
            <w:name w:val="YZBS"/>
            <w:enabled/>
            <w:calcOnExit w:val="0"/>
            <w:textInput>
              <w:default w:val="点击此处添加与国际标准一致性程度的标识"/>
            </w:textInput>
          </w:ffData>
        </w:fldChar>
      </w:r>
      <w:bookmarkStart w:id="9" w:name="YZBS"/>
      <w:r>
        <w:instrText xml:space="preserve"> FORMTEXT </w:instrText>
      </w:r>
      <w:r>
        <w:fldChar w:fldCharType="separate"/>
      </w:r>
      <w:r>
        <w:rPr>
          <w:rFonts w:hint="eastAsia"/>
        </w:rPr>
        <w:t>点击此处添加与国际标准一致性程度的标识</w:t>
      </w:r>
      <w:r>
        <w:fldChar w:fldCharType="end"/>
      </w:r>
      <w:bookmarkEnd w:id="9"/>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9"/>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0"/>
                      <wp:wrapNone/>
                      <wp:docPr id="1471373491"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WJrpLVAAAACgEAAA8AAAAAAAAAAQAg&#10;AAAAIgAAAGRycy9kb3ducmV2LnhtbFBLAQIUABQAAAAIAIdO4kDLQs1XEQIAACkEAAAOAAAAAAAA&#10;AAEAIAAAACQBAABkcnMvZTJvRG9jLnhtbFBLBQYAAAAABgAGAFkBAACnBQ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3175" r="3175" b="0"/>
                      <wp:wrapNone/>
                      <wp:docPr id="953091591"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hi+XWAAAACQEAAA8AAAAAAAAAAQAg&#10;AAAAIgAAAGRycy9kb3ducmV2LnhtbFBLAQIUABQAAAAIAIdO4kDvIcHEEAIAACgEAAAOAAAAAAAA&#10;AAEAIAAAACUBAABkcnMvZTJvRG9jLnhtbFBLBQYAAAAABgAGAFkBAACnBQAAAAA=&#10;">
                      <v:fill on="t" focussize="0,0"/>
                      <v:stroke on="f"/>
                      <v:imagedata o:title=""/>
                      <o:lock v:ext="edit" aspectratio="f"/>
                    </v:rect>
                  </w:pict>
                </mc:Fallback>
              </mc:AlternateConten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0" w:name="LB"/>
            <w:r>
              <w:instrText xml:space="preserve"> </w:instrText>
            </w:r>
            <w:r>
              <w:rPr>
                <w:rFonts w:hint="eastAsia"/>
              </w:rPr>
              <w:instrText xml:space="preserve">FORMDROPDOWN</w:instrText>
            </w:r>
            <w:r>
              <w:instrText xml:space="preserve"> </w:instrText>
            </w:r>
            <w:r>
              <w:fldChar w:fldCharType="separate"/>
            </w:r>
            <w:r>
              <w:fldChar w:fldCharType="end"/>
            </w:r>
            <w:bookmarkEnd w:id="1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0"/>
              <w:framePr w:wrap="around"/>
            </w:pPr>
            <w:r>
              <w:fldChar w:fldCharType="begin">
                <w:ffData>
                  <w:name w:val="WCRQ"/>
                  <w:enabled/>
                  <w:calcOnExit w:val="0"/>
                  <w:textInput/>
                </w:ffData>
              </w:fldChar>
            </w:r>
            <w:bookmarkStart w:id="11" w:name="WCRQ"/>
            <w:r>
              <w:instrText xml:space="preserve"> FORMTEXT </w:instrText>
            </w:r>
            <w:r>
              <w:fldChar w:fldCharType="separate"/>
            </w:r>
            <w:r>
              <w:t>     </w:t>
            </w:r>
            <w:r>
              <w:fldChar w:fldCharType="end"/>
            </w:r>
            <w:bookmarkEnd w:id="11"/>
          </w:p>
        </w:tc>
      </w:tr>
    </w:tbl>
    <w:p>
      <w:pPr>
        <w:pStyle w:val="128"/>
        <w:framePr w:wrap="around"/>
      </w:pPr>
      <w:r>
        <w:rPr>
          <w:rFonts w:ascii="黑体"/>
        </w:rPr>
        <w:fldChar w:fldCharType="begin">
          <w:ffData>
            <w:name w:val="FY"/>
            <w:enabled/>
            <w:calcOnExit w:val="0"/>
            <w:entryMacro w:val="ShowHelp8"/>
            <w:textInput>
              <w:default w:val="××××"/>
              <w:maxLength w:val="4"/>
            </w:textInput>
          </w:ffData>
        </w:fldChar>
      </w:r>
      <w:bookmarkStart w:id="12" w:name="FY"/>
      <w:r>
        <w:rPr>
          <w:rFonts w:ascii="黑体"/>
        </w:rPr>
        <w:instrText xml:space="preserve"> FORMTEXT </w:instrText>
      </w:r>
      <w:r>
        <w:rPr>
          <w:rFonts w:ascii="黑体"/>
        </w:rPr>
        <w:fldChar w:fldCharType="separate"/>
      </w:r>
      <w:r>
        <w:rPr>
          <w:rFonts w:ascii="黑体"/>
        </w:rPr>
        <w:t>××××</w:t>
      </w:r>
      <w:r>
        <w:rPr>
          <w:rFonts w:ascii="黑体"/>
        </w:rPr>
        <w:fldChar w:fldCharType="end"/>
      </w:r>
      <w:bookmarkEnd w:id="12"/>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r>
        <w:rPr>
          <w:rFonts w:ascii="黑体"/>
        </w:rPr>
        <w:fldChar w:fldCharType="begin">
          <w:ffData>
            <w:name w:val="FD"/>
            <w:enabled/>
            <w:calcOnExit w:val="0"/>
            <w:entryMacro w:val="ShowHelp8"/>
            <w:textInput>
              <w:default w:val="××"/>
              <w:maxLength w:val="2"/>
            </w:textInput>
          </w:ffData>
        </w:fldChar>
      </w:r>
      <w:bookmarkStart w:id="13" w:name="FD"/>
      <w:r>
        <w:rPr>
          <w:rFonts w:ascii="黑体"/>
        </w:rPr>
        <w:instrText xml:space="preserve"> FORMTEXT </w:instrText>
      </w:r>
      <w:r>
        <w:rPr>
          <w:rFonts w:ascii="黑体"/>
        </w:rPr>
        <w:fldChar w:fldCharType="separate"/>
      </w:r>
      <w:r>
        <w:rPr>
          <w:rFonts w:ascii="黑体"/>
        </w:rPr>
        <w:t>××</w:t>
      </w:r>
      <w:r>
        <w:rPr>
          <w:rFonts w:ascii="黑体"/>
        </w:rPr>
        <w:fldChar w:fldCharType="end"/>
      </w:r>
      <w:bookmarkEnd w:id="13"/>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43361876" name="Line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YdrPNYAAAALAQAADwAAAAAAAAABACAAAAAiAAAA&#10;ZHJzL2Rvd25yZXYueG1sUEsBAhQAFAAAAAgAh07iQLiJGN/QAQAApwMAAA4AAAAAAAAAAQAgAAAA&#10;JQEAAGRycy9lMm9Eb2MueG1sUEsFBgAAAAAGAAYAWQEAAGcFAAAAAA==&#10;">
                <v:fill on="f" focussize="0,0"/>
                <v:stroke color="#000000" joinstyle="round"/>
                <v:imagedata o:title=""/>
                <o:lock v:ext="edit" aspectratio="f"/>
                <w10:anchorlock/>
              </v:line>
            </w:pict>
          </mc:Fallback>
        </mc:AlternateContent>
      </w:r>
    </w:p>
    <w:p>
      <w:pPr>
        <w:pStyle w:val="129"/>
        <w:framePr w:wrap="around"/>
      </w:pPr>
      <w:r>
        <w:rPr>
          <w:rFonts w:ascii="黑体"/>
        </w:rPr>
        <w:fldChar w:fldCharType="begin">
          <w:ffData>
            <w:name w:val="SY"/>
            <w:enabled/>
            <w:calcOnExit w:val="0"/>
            <w:entryMacro w:val="ShowHelp9"/>
            <w:textInput>
              <w:default w:val="××××"/>
              <w:maxLength w:val="4"/>
            </w:textInput>
          </w:ffData>
        </w:fldChar>
      </w:r>
      <w:bookmarkStart w:id="14" w:name="SY"/>
      <w:r>
        <w:rPr>
          <w:rFonts w:ascii="黑体"/>
        </w:rPr>
        <w:instrText xml:space="preserve"> FORMTEXT </w:instrText>
      </w:r>
      <w:r>
        <w:rPr>
          <w:rFonts w:ascii="黑体"/>
        </w:rPr>
        <w:fldChar w:fldCharType="separate"/>
      </w:r>
      <w:r>
        <w:rPr>
          <w:rFonts w:ascii="黑体"/>
        </w:rPr>
        <w:t>××××</w:t>
      </w:r>
      <w:r>
        <w:rPr>
          <w:rFonts w:ascii="黑体"/>
        </w:rPr>
        <w:fldChar w:fldCharType="end"/>
      </w:r>
      <w:bookmarkEnd w:id="14"/>
      <w:r>
        <w:t xml:space="preserve"> </w:t>
      </w:r>
      <w:r>
        <w:rPr>
          <w:rFonts w:ascii="黑体"/>
        </w:rPr>
        <w:t>-</w:t>
      </w:r>
      <w:r>
        <w:t xml:space="preserve"> </w:t>
      </w:r>
      <w:r>
        <w:rPr>
          <w:rFonts w:ascii="黑体"/>
        </w:rPr>
        <w:fldChar w:fldCharType="begin">
          <w:ffData>
            <w:name w:val="SM"/>
            <w:enabled/>
            <w:calcOnExit w:val="0"/>
            <w:entryMacro w:val="ShowHelp9"/>
            <w:textInput>
              <w:default w:val="××"/>
              <w:maxLength w:val="2"/>
            </w:textInput>
          </w:ffData>
        </w:fldChar>
      </w:r>
      <w:bookmarkStart w:id="15" w:name="SM"/>
      <w:r>
        <w:rPr>
          <w:rFonts w:ascii="黑体"/>
        </w:rPr>
        <w:instrText xml:space="preserve"> FORMTEXT </w:instrText>
      </w:r>
      <w:r>
        <w:rPr>
          <w:rFonts w:ascii="黑体"/>
        </w:rPr>
        <w:fldChar w:fldCharType="separate"/>
      </w:r>
      <w:r>
        <w:rPr>
          <w:rFonts w:ascii="黑体"/>
        </w:rPr>
        <w:t>××</w:t>
      </w:r>
      <w:r>
        <w:rPr>
          <w:rFonts w:ascii="黑体"/>
        </w:rPr>
        <w:fldChar w:fldCharType="end"/>
      </w:r>
      <w:bookmarkEnd w:id="15"/>
      <w:r>
        <w:t xml:space="preserve"> </w:t>
      </w:r>
      <w:r>
        <w:rPr>
          <w:rFonts w:ascii="黑体"/>
        </w:rPr>
        <w:t>-</w:t>
      </w:r>
      <w:r>
        <w:t xml:space="preserve"> </w:t>
      </w:r>
      <w:r>
        <w:rPr>
          <w:rFonts w:ascii="黑体"/>
        </w:rPr>
        <w:fldChar w:fldCharType="begin">
          <w:ffData>
            <w:name w:val="SD"/>
            <w:enabled/>
            <w:calcOnExit w:val="0"/>
            <w:entryMacro w:val="ShowHelp9"/>
            <w:textInput>
              <w:default w:val="××"/>
              <w:maxLength w:val="2"/>
            </w:textInput>
          </w:ffData>
        </w:fldChar>
      </w:r>
      <w:bookmarkStart w:id="16" w:name="SD"/>
      <w:r>
        <w:rPr>
          <w:rFonts w:ascii="黑体"/>
        </w:rPr>
        <w:instrText xml:space="preserve"> FORMTEXT </w:instrText>
      </w:r>
      <w:r>
        <w:rPr>
          <w:rFonts w:ascii="黑体"/>
        </w:rPr>
        <w:fldChar w:fldCharType="separate"/>
      </w:r>
      <w:r>
        <w:rPr>
          <w:rFonts w:ascii="黑体"/>
        </w:rPr>
        <w:t>××</w:t>
      </w:r>
      <w:r>
        <w:rPr>
          <w:rFonts w:ascii="黑体"/>
        </w:rPr>
        <w:fldChar w:fldCharType="end"/>
      </w:r>
      <w:bookmarkEnd w:id="16"/>
      <w:r>
        <w:rPr>
          <w:rFonts w:hint="eastAsia"/>
        </w:rPr>
        <w:t>实施</w:t>
      </w:r>
    </w:p>
    <w:p>
      <w:pPr>
        <w:pStyle w:val="109"/>
        <w:framePr w:wrap="around"/>
      </w:pPr>
      <w:r>
        <w:fldChar w:fldCharType="begin">
          <w:ffData>
            <w:name w:val="fm"/>
            <w:enabled/>
            <w:calcOnExit w:val="0"/>
            <w:textInput/>
          </w:ffData>
        </w:fldChar>
      </w:r>
      <w:bookmarkStart w:id="17" w:name="fm"/>
      <w:r>
        <w:instrText xml:space="preserve"> FORMTEXT </w:instrText>
      </w:r>
      <w:r>
        <w:fldChar w:fldCharType="separate"/>
      </w:r>
      <w:r>
        <w:t>     </w:t>
      </w:r>
      <w:r>
        <w:fldChar w:fldCharType="end"/>
      </w:r>
      <w:bookmarkEnd w:id="17"/>
      <w:r>
        <w:t xml:space="preserve"> </w:t>
      </w:r>
      <w:r>
        <w:rPr>
          <w:rStyle w:val="71"/>
        </w:rPr>
        <w:t xml:space="preserve"> </w:t>
      </w:r>
      <w:r>
        <w:rPr>
          <w:rStyle w:val="71"/>
          <w:rFonts w:hint="eastAsia"/>
        </w:rPr>
        <w:t>发布</w:t>
      </w:r>
    </w:p>
    <w:p>
      <w:pPr>
        <w:pStyle w:val="23"/>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959828420"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Lc+Nj84BAACnAwAADgAAAAAAAAABACAAAAAm&#10;AQAAZHJzL2Uyb0RvYy54bWxQSwUGAAAAAAYABgBZAQAAZgUAAAAA&#10;">
                <v:fill on="f" focussize="0,0"/>
                <v:stroke color="#000000" joinstyle="round"/>
                <v:imagedata o:title=""/>
                <o:lock v:ext="edit" aspectratio="f"/>
              </v:line>
            </w:pict>
          </mc:Fallback>
        </mc:AlternateContent>
      </w:r>
    </w:p>
    <w:p>
      <w:pPr>
        <w:pStyle w:val="48"/>
      </w:pPr>
      <w:bookmarkStart w:id="43" w:name="_GoBack"/>
      <w:bookmarkEnd w:id="43"/>
      <w:r>
        <w:rPr>
          <w:rFonts w:hint="eastAsia"/>
        </w:rPr>
        <w:t>目</w:t>
      </w:r>
      <w:bookmarkStart w:id="18" w:name="BKML"/>
      <w:r>
        <w:rPr>
          <w:rFonts w:hAnsi="黑体"/>
        </w:rPr>
        <w:t>  </w:t>
      </w:r>
      <w:r>
        <w:rPr>
          <w:rFonts w:hint="eastAsia"/>
        </w:rPr>
        <w:t>次</w:t>
      </w:r>
      <w:bookmarkEnd w:id="18"/>
    </w:p>
    <w:p>
      <w:pPr>
        <w:pStyle w:val="19"/>
        <w:spacing w:before="78" w:after="78"/>
        <w:rPr>
          <w:rFonts w:asciiTheme="minorHAnsi" w:hAnsiTheme="minorHAnsi" w:eastAsiaTheme="minorEastAsia" w:cstheme="minorBidi"/>
          <w:szCs w:val="22"/>
          <w14:ligatures w14:val="standardContextual"/>
        </w:rPr>
      </w:pPr>
      <w:r>
        <w:fldChar w:fldCharType="begin" w:fldLock="1"/>
      </w:r>
      <w:r>
        <w:instrText xml:space="preserve"> </w:instrText>
      </w:r>
      <w:r>
        <w:rPr>
          <w:rFonts w:hint="eastAsia"/>
        </w:rPr>
        <w:instrText xml:space="preserve">TOC \h \z \t"前言、引言标题,1,参考文献、索引标题,1,章标题,1,参考文献,1,附录标识,1,附录章标题, 3" \* MERGEFORMAT</w:instrText>
      </w:r>
      <w:r>
        <w:instrText xml:space="preserve"> </w:instrText>
      </w:r>
      <w:r>
        <w:fldChar w:fldCharType="separate"/>
      </w:r>
      <w:r>
        <w:fldChar w:fldCharType="begin"/>
      </w:r>
      <w:r>
        <w:instrText xml:space="preserve"> HYPERLINK \l "_Toc161609631" </w:instrText>
      </w:r>
      <w:r>
        <w:fldChar w:fldCharType="separate"/>
      </w:r>
      <w:r>
        <w:rPr>
          <w:rStyle w:val="37"/>
        </w:rPr>
        <w:t>前言</w:t>
      </w:r>
      <w:r>
        <w:tab/>
      </w:r>
      <w:r>
        <w:fldChar w:fldCharType="begin" w:fldLock="1"/>
      </w:r>
      <w:r>
        <w:instrText xml:space="preserve"> PAGEREF _Toc161609631 \h </w:instrText>
      </w:r>
      <w:r>
        <w:fldChar w:fldCharType="separate"/>
      </w:r>
      <w:r>
        <w:t>II</w:t>
      </w:r>
      <w:r>
        <w:fldChar w:fldCharType="end"/>
      </w:r>
      <w: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"_Toc161609632" </w:instrText>
      </w:r>
      <w:r>
        <w:fldChar w:fldCharType="separate"/>
      </w:r>
      <w:r>
        <w:rPr>
          <w:rStyle w:val="37"/>
        </w:rPr>
        <w:t>1 范围</w:t>
      </w:r>
      <w:r>
        <w:tab/>
      </w:r>
      <w:r>
        <w:fldChar w:fldCharType="begin" w:fldLock="1"/>
      </w:r>
      <w:r>
        <w:instrText xml:space="preserve"> PAGEREF _Toc161609632 \h </w:instrText>
      </w:r>
      <w:r>
        <w:fldChar w:fldCharType="separate"/>
      </w:r>
      <w:r>
        <w:t>1</w:t>
      </w:r>
      <w:r>
        <w:fldChar w:fldCharType="end"/>
      </w:r>
      <w: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"_Toc161609633" </w:instrText>
      </w:r>
      <w:r>
        <w:fldChar w:fldCharType="separate"/>
      </w:r>
      <w:r>
        <w:rPr>
          <w:rStyle w:val="37"/>
        </w:rPr>
        <w:t>2 规范性引用文件</w:t>
      </w:r>
      <w:r>
        <w:tab/>
      </w:r>
      <w:r>
        <w:fldChar w:fldCharType="begin" w:fldLock="1"/>
      </w:r>
      <w:r>
        <w:instrText xml:space="preserve"> PAGEREF _Toc161609633 \h </w:instrText>
      </w:r>
      <w:r>
        <w:fldChar w:fldCharType="separate"/>
      </w:r>
      <w:r>
        <w:t>1</w:t>
      </w:r>
      <w:r>
        <w:fldChar w:fldCharType="end"/>
      </w:r>
      <w:r>
        <w:fldChar w:fldCharType="end"/>
      </w:r>
    </w:p>
    <w:p>
      <w:pPr>
        <w:pStyle w:val="19"/>
        <w:spacing w:before="78" w:after="78"/>
      </w:pPr>
      <w:r>
        <w:fldChar w:fldCharType="begin"/>
      </w:r>
      <w:r>
        <w:instrText xml:space="preserve"> HYPERLINK \l "_Toc161609634" </w:instrText>
      </w:r>
      <w:r>
        <w:fldChar w:fldCharType="separate"/>
      </w:r>
      <w:r>
        <w:rPr>
          <w:rStyle w:val="37"/>
        </w:rPr>
        <w:t>3 术语和定义</w:t>
      </w:r>
      <w:r>
        <w:tab/>
      </w:r>
      <w:r>
        <w:fldChar w:fldCharType="begin" w:fldLock="1"/>
      </w:r>
      <w:r>
        <w:instrText xml:space="preserve"> PAGEREF _Toc161609634 \h </w:instrText>
      </w:r>
      <w:r>
        <w:fldChar w:fldCharType="separate"/>
      </w:r>
      <w:r>
        <w:t>1</w:t>
      </w:r>
      <w:r>
        <w:fldChar w:fldCharType="end"/>
      </w:r>
      <w:r>
        <w:fldChar w:fldCharType="end"/>
      </w:r>
    </w:p>
    <w:p>
      <w:pPr>
        <w:pStyle w:val="19"/>
        <w:spacing w:before="78" w:after="78"/>
      </w:pPr>
      <w:r>
        <w:fldChar w:fldCharType="begin"/>
      </w:r>
      <w:r>
        <w:instrText xml:space="preserve"> HYPERLINK \l "_Toc161609635" </w:instrText>
      </w:r>
      <w:r>
        <w:fldChar w:fldCharType="separate"/>
      </w:r>
      <w:r>
        <w:rPr>
          <w:rStyle w:val="37"/>
          <w:rFonts w:ascii="Times New Roman"/>
        </w:rPr>
        <w:t xml:space="preserve">4 </w:t>
      </w:r>
      <w:r>
        <w:rPr>
          <w:rStyle w:val="37"/>
          <w:rFonts w:hint="eastAsia" w:ascii="Times New Roman"/>
        </w:rPr>
        <w:t>环境条件</w:t>
      </w:r>
      <w:r>
        <w:tab/>
      </w:r>
      <w:r>
        <w:fldChar w:fldCharType="begin" w:fldLock="1"/>
      </w:r>
      <w:r>
        <w:instrText xml:space="preserve"> PAGEREF _Toc161609635 \h </w:instrText>
      </w:r>
      <w:r>
        <w:fldChar w:fldCharType="separate"/>
      </w:r>
      <w:r>
        <w:t>2</w:t>
      </w:r>
      <w:r>
        <w:fldChar w:fldCharType="end"/>
      </w:r>
      <w:r>
        <w:fldChar w:fldCharType="end"/>
      </w:r>
    </w:p>
    <w:p>
      <w:pPr>
        <w:pStyle w:val="19"/>
        <w:spacing w:before="78" w:after="78"/>
      </w:pPr>
      <w:r>
        <w:fldChar w:fldCharType="begin"/>
      </w:r>
      <w:r>
        <w:instrText xml:space="preserve"> HYPERLINK \l "_Toc161609635" </w:instrText>
      </w:r>
      <w:r>
        <w:fldChar w:fldCharType="separate"/>
      </w:r>
      <w:r>
        <w:rPr>
          <w:rStyle w:val="37"/>
          <w:rFonts w:hint="eastAsia"/>
        </w:rPr>
        <w:t>5</w:t>
      </w:r>
      <w:r>
        <w:rPr>
          <w:rStyle w:val="37"/>
        </w:rPr>
        <w:t xml:space="preserve"> </w:t>
      </w:r>
      <w:r>
        <w:rPr>
          <w:rStyle w:val="37"/>
          <w:rFonts w:hint="eastAsia"/>
        </w:rPr>
        <w:t>人工关节感染的预防</w:t>
      </w:r>
      <w:r>
        <w:tab/>
      </w:r>
      <w:r>
        <w:fldChar w:fldCharType="begin" w:fldLock="1"/>
      </w:r>
      <w:r>
        <w:instrText xml:space="preserve"> PAGEREF _Toc161609635 \h </w:instrText>
      </w:r>
      <w:r>
        <w:fldChar w:fldCharType="separate"/>
      </w:r>
      <w:r>
        <w:t>2</w:t>
      </w:r>
      <w:r>
        <w:fldChar w:fldCharType="end"/>
      </w:r>
      <w:r>
        <w:fldChar w:fldCharType="end"/>
      </w:r>
    </w:p>
    <w:p>
      <w:pPr>
        <w:pStyle w:val="19"/>
        <w:spacing w:before="78" w:after="78"/>
      </w:pPr>
      <w:r>
        <w:fldChar w:fldCharType="begin"/>
      </w:r>
      <w:r>
        <w:instrText xml:space="preserve"> HYPERLINK \l "_Toc161609637" </w:instrText>
      </w:r>
      <w:r>
        <w:fldChar w:fldCharType="separate"/>
      </w:r>
      <w:r>
        <w:rPr>
          <w:rStyle w:val="37"/>
          <w:rFonts w:hint="eastAsia" w:ascii="Times New Roman"/>
        </w:rPr>
        <w:t>6</w:t>
      </w:r>
      <w:r>
        <w:rPr>
          <w:rStyle w:val="37"/>
          <w:rFonts w:ascii="Times New Roman"/>
        </w:rPr>
        <w:t xml:space="preserve"> </w:t>
      </w:r>
      <w:r>
        <w:rPr>
          <w:rStyle w:val="37"/>
          <w:rFonts w:hint="eastAsia" w:ascii="Times New Roman"/>
        </w:rPr>
        <w:t>人工关节感染的防护</w:t>
      </w:r>
      <w:r>
        <w:tab/>
      </w:r>
      <w:r>
        <w:rPr>
          <w:rFonts w:hint="eastAsia"/>
        </w:rPr>
        <w:t>3</w:t>
      </w:r>
      <w:r>
        <w:rPr>
          <w:rFonts w:hint="eastAsia"/>
        </w:rP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"_Toc161609641" </w:instrText>
      </w:r>
      <w:r>
        <w:fldChar w:fldCharType="separate"/>
      </w:r>
      <w:r>
        <w:rPr>
          <w:rStyle w:val="37"/>
          <w:rFonts w:hint="eastAsia"/>
        </w:rPr>
        <w:t>7</w:t>
      </w:r>
      <w:r>
        <w:rPr>
          <w:rStyle w:val="37"/>
        </w:rPr>
        <w:t xml:space="preserve"> 安全保障</w:t>
      </w:r>
      <w:r>
        <w:tab/>
      </w:r>
      <w:r>
        <w:rPr>
          <w:rFonts w:hint="eastAsia"/>
        </w:rPr>
        <w:t>3</w:t>
      </w:r>
      <w:r>
        <w:rPr>
          <w:rFonts w:hint="eastAsia"/>
        </w:rP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"_Toc161609642" </w:instrText>
      </w:r>
      <w:r>
        <w:fldChar w:fldCharType="separate"/>
      </w:r>
      <w:r>
        <w:rPr>
          <w:rStyle w:val="37"/>
        </w:rPr>
        <w:t xml:space="preserve">附　录　A （资料性附录） </w:t>
      </w:r>
      <w:r>
        <w:rPr>
          <w:rStyle w:val="37"/>
          <w:rFonts w:hint="eastAsia"/>
        </w:rPr>
        <w:t>人工关节感染</w:t>
      </w:r>
      <w:r>
        <w:rPr>
          <w:rStyle w:val="37"/>
        </w:rPr>
        <w:t>患者问诊重点</w:t>
      </w:r>
      <w:r>
        <w:tab/>
      </w:r>
      <w:r>
        <w:rPr>
          <w:rFonts w:hint="eastAsia"/>
        </w:rPr>
        <w:t>5</w:t>
      </w:r>
      <w:r>
        <w:rPr>
          <w:rFonts w:hint="eastAsia"/>
        </w:rP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"_Toc161609643" </w:instrText>
      </w:r>
      <w:r>
        <w:fldChar w:fldCharType="separate"/>
      </w:r>
      <w:r>
        <w:rPr>
          <w:rStyle w:val="37"/>
        </w:rPr>
        <w:t xml:space="preserve">附　录　B （资料性附录） </w:t>
      </w:r>
      <w:r>
        <w:rPr>
          <w:rStyle w:val="37"/>
          <w:rFonts w:hint="eastAsia"/>
        </w:rPr>
        <w:t>人工关节感染</w:t>
      </w:r>
      <w:r>
        <w:rPr>
          <w:rStyle w:val="37"/>
        </w:rPr>
        <w:t>患者临床资料采集表</w:t>
      </w:r>
      <w:r>
        <w:tab/>
      </w:r>
      <w:r>
        <w:rPr>
          <w:rFonts w:hint="eastAsia"/>
        </w:rPr>
        <w:t>6</w:t>
      </w:r>
      <w:r>
        <w:rPr>
          <w:rFonts w:hint="eastAsia"/>
        </w:rP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"_Toc161609644" </w:instrText>
      </w:r>
      <w:r>
        <w:fldChar w:fldCharType="separate"/>
      </w:r>
      <w:r>
        <w:rPr>
          <w:rStyle w:val="37"/>
        </w:rPr>
        <w:t xml:space="preserve">附　录　C （资料性附录） </w:t>
      </w:r>
      <w:r>
        <w:rPr>
          <w:rStyle w:val="37"/>
          <w:rFonts w:hint="eastAsia"/>
        </w:rPr>
        <w:t>人工关节感染</w:t>
      </w:r>
      <w:r>
        <w:rPr>
          <w:rStyle w:val="37"/>
        </w:rPr>
        <w:t>诊断标准</w:t>
      </w:r>
      <w:r>
        <w:tab/>
      </w:r>
      <w:r>
        <w:rPr>
          <w:rFonts w:hint="eastAsia"/>
        </w:rPr>
        <w:t>8</w:t>
      </w:r>
      <w:r>
        <w:rPr>
          <w:rFonts w:hint="eastAsia"/>
        </w:rPr>
        <w:fldChar w:fldCharType="end"/>
      </w:r>
    </w:p>
    <w:p>
      <w:pPr>
        <w:pStyle w:val="19"/>
        <w:spacing w:before="78" w:after="78"/>
        <w:rPr>
          <w:rFonts w:asciiTheme="minorHAnsi" w:hAnsiTheme="minorHAnsi" w:eastAsiaTheme="minorEastAsia" w:cstheme="minorBidi"/>
          <w:szCs w:val="22"/>
          <w14:ligatures w14:val="standardContextual"/>
        </w:rPr>
      </w:pPr>
      <w:r>
        <w:fldChar w:fldCharType="begin"/>
      </w:r>
      <w:r>
        <w:instrText xml:space="preserve"> HYPERLINK \l "_Toc161609645" </w:instrText>
      </w:r>
      <w:r>
        <w:fldChar w:fldCharType="separate"/>
      </w:r>
      <w:r>
        <w:rPr>
          <w:rStyle w:val="37"/>
        </w:rPr>
        <w:t>附　录　D （资料性附录） 膝关节功能评分表（KSS）</w:t>
      </w:r>
      <w:r>
        <w:tab/>
      </w:r>
      <w:r>
        <w:rPr>
          <w:rFonts w:hint="eastAsia"/>
        </w:rPr>
        <w:t>9</w:t>
      </w:r>
      <w:r>
        <w:rPr>
          <w:rFonts w:hint="eastAsia"/>
        </w:rPr>
        <w:fldChar w:fldCharType="end"/>
      </w:r>
    </w:p>
    <w:p>
      <w:pPr>
        <w:pStyle w:val="19"/>
        <w:spacing w:before="78" w:after="78"/>
        <w:rPr>
          <w:rFonts w:asciiTheme="minorHAnsi" w:hAnsiTheme="minorHAnsi" w:cstheme="minorBidi"/>
          <w:szCs w:val="22"/>
          <w14:ligatures w14:val="standardContextual"/>
        </w:rPr>
      </w:pPr>
      <w:r>
        <w:fldChar w:fldCharType="begin"/>
      </w:r>
      <w:r>
        <w:instrText xml:space="preserve"> HYPERLINK \l "_Toc161609646" </w:instrText>
      </w:r>
      <w:r>
        <w:fldChar w:fldCharType="separate"/>
      </w:r>
      <w:r>
        <w:rPr>
          <w:rStyle w:val="37"/>
        </w:rPr>
        <w:t>附　录　E （资料性附录） 髋关节功能Harris评分</w:t>
      </w:r>
      <w:r>
        <w:tab/>
      </w:r>
      <w:r>
        <w:rPr>
          <w:rFonts w:hint="eastAsia"/>
        </w:rPr>
        <w:t>1</w:t>
      </w:r>
      <w:r>
        <w:rPr>
          <w:rFonts w:hint="eastAsia"/>
        </w:rPr>
        <w:fldChar w:fldCharType="end"/>
      </w:r>
      <w:r>
        <w:rPr>
          <w:rFonts w:hint="eastAsia"/>
        </w:rPr>
        <w:t>1</w:t>
      </w:r>
    </w:p>
    <w:p>
      <w:pPr>
        <w:pStyle w:val="19"/>
        <w:spacing w:before="78" w:after="78"/>
        <w:rPr>
          <w:rFonts w:asciiTheme="minorHAnsi" w:hAnsiTheme="minorHAnsi" w:cstheme="minorBidi"/>
          <w:szCs w:val="22"/>
          <w14:ligatures w14:val="standardContextual"/>
        </w:rPr>
      </w:pPr>
      <w:r>
        <w:fldChar w:fldCharType="begin"/>
      </w:r>
      <w:r>
        <w:instrText xml:space="preserve"> HYPERLINK \l "_Toc161609647" </w:instrText>
      </w:r>
      <w:r>
        <w:fldChar w:fldCharType="separate"/>
      </w:r>
      <w:r>
        <w:rPr>
          <w:rStyle w:val="37"/>
        </w:rPr>
        <w:t xml:space="preserve">附　录　F （资料性附录） </w:t>
      </w:r>
      <w:r>
        <w:rPr>
          <w:rStyle w:val="37"/>
          <w:rFonts w:hint="eastAsia"/>
        </w:rPr>
        <w:t>人工关节</w:t>
      </w:r>
      <w:r>
        <w:rPr>
          <w:rStyle w:val="37"/>
        </w:rPr>
        <w:t>感染清除评估标准表</w:t>
      </w:r>
      <w:r>
        <w:tab/>
      </w:r>
      <w:r>
        <w:rPr>
          <w:rFonts w:hint="eastAsia"/>
        </w:rPr>
        <w:t>1</w:t>
      </w:r>
      <w:r>
        <w:rPr>
          <w:rFonts w:hint="eastAsia"/>
        </w:rPr>
        <w:fldChar w:fldCharType="end"/>
      </w:r>
      <w:r>
        <w:rPr>
          <w:rFonts w:hint="eastAsia"/>
        </w:rPr>
        <w:t>3</w:t>
      </w:r>
    </w:p>
    <w:p>
      <w:pPr>
        <w:pStyle w:val="23"/>
      </w:pPr>
      <w:r>
        <w:fldChar w:fldCharType="end"/>
      </w:r>
    </w:p>
    <w:p>
      <w:pPr>
        <w:pStyle w:val="110"/>
      </w:pPr>
      <w:bookmarkStart w:id="19" w:name="_Toc161609631"/>
      <w:r>
        <w:rPr>
          <w:rFonts w:hint="eastAsia"/>
          <w:spacing w:val="320"/>
        </w:rPr>
        <w:t>前</w:t>
      </w:r>
      <w:bookmarkStart w:id="20" w:name="BKQY"/>
      <w:r>
        <w:rPr>
          <w:rFonts w:hint="eastAsia"/>
        </w:rPr>
        <w:t>言</w:t>
      </w:r>
      <w:bookmarkEnd w:id="19"/>
      <w:bookmarkEnd w:id="20"/>
    </w:p>
    <w:p>
      <w:pPr>
        <w:pStyle w:val="23"/>
      </w:pPr>
      <w:r>
        <w:rPr>
          <w:rFonts w:hint="eastAsia"/>
        </w:rPr>
        <w:t>本文件按照 GB/T 1.1—2020《标准化工作导则 第1部分：标准化文件的结构和起草规则》的规定</w:t>
      </w:r>
    </w:p>
    <w:p>
      <w:pPr>
        <w:pStyle w:val="23"/>
      </w:pPr>
      <w:r>
        <w:rPr>
          <w:rFonts w:hint="eastAsia"/>
        </w:rPr>
        <w:t xml:space="preserve">起草。 </w:t>
      </w:r>
    </w:p>
    <w:p>
      <w:pPr>
        <w:pStyle w:val="23"/>
      </w:pPr>
      <w:r>
        <w:rPr>
          <w:rFonts w:hint="eastAsia"/>
        </w:rPr>
        <w:t xml:space="preserve">请注意本文件的某些内容可能涉及专利。本文件的发布机构不承担识别专利的责任。 </w:t>
      </w:r>
    </w:p>
    <w:p>
      <w:pPr>
        <w:pStyle w:val="23"/>
      </w:pPr>
      <w:r>
        <w:rPr>
          <w:rFonts w:hint="eastAsia"/>
        </w:rPr>
        <w:t xml:space="preserve">本文件由中国科学技术大学附属第一医院（安徽省立医院﹚提出。 </w:t>
      </w:r>
    </w:p>
    <w:p>
      <w:pPr>
        <w:pStyle w:val="23"/>
      </w:pPr>
      <w:r>
        <w:rPr>
          <w:rFonts w:hint="eastAsia"/>
        </w:rPr>
        <w:t xml:space="preserve">本文件由安徽省卫生健康委员会归口。 </w:t>
      </w:r>
    </w:p>
    <w:p>
      <w:pPr>
        <w:pStyle w:val="23"/>
      </w:pPr>
      <w:r>
        <w:rPr>
          <w:rFonts w:hint="eastAsia"/>
        </w:rPr>
        <w:t>本文件起草单位：中国科学技术大学附属第一医院（安徽省立医院）、蚌埠医科大学第一附属医院、皖南医学院第一附属医院、池州市人民医院、淮南东方医院集团总医院、淮北市人民医院。</w:t>
      </w:r>
    </w:p>
    <w:p>
      <w:pPr>
        <w:pStyle w:val="23"/>
      </w:pPr>
      <w:r>
        <w:rPr>
          <w:rFonts w:hint="eastAsia"/>
        </w:rPr>
        <w:t xml:space="preserve">本文件主要起草人：朱晨、官建中、杨民、谢贵杰、江涛、李峰、马锐祥、罗瑶。 </w:t>
      </w:r>
    </w:p>
    <w:p>
      <w:pPr>
        <w:pStyle w:val="23"/>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pPr>
        <w:pStyle w:val="135"/>
      </w:pPr>
      <w:sdt>
        <w:sdtPr>
          <w:rPr>
            <w:rFonts w:hAnsi="黑体"/>
          </w:rPr>
          <w:alias w:val="标准名称"/>
          <w:tag w:val="标准名称"/>
          <w:id w:val="1795105741"/>
          <w:lock w:val="sdtLocked"/>
          <w:placeholder>
            <w:docPart w:val="111"/>
          </w:placeholder>
          <w:text w:multiLine="1"/>
        </w:sdtPr>
        <w:sdtEndPr>
          <w:rPr>
            <w:rFonts w:hAnsi="黑体"/>
          </w:rPr>
        </w:sdtEndPr>
        <w:sdtContent>
          <w:r>
            <w:rPr>
              <w:rFonts w:hint="eastAsia" w:hAnsi="黑体"/>
            </w:rPr>
            <w:t>人工关节感染预防指南</w:t>
          </w:r>
        </w:sdtContent>
      </w:sdt>
      <w:bookmarkStart w:id="21" w:name="StandardName"/>
      <w:bookmarkEnd w:id="21"/>
    </w:p>
    <w:p>
      <w:pPr>
        <w:pStyle w:val="43"/>
        <w:spacing w:before="312" w:after="312"/>
      </w:pPr>
      <w:bookmarkStart w:id="22" w:name="_Toc161609632"/>
      <w:r>
        <w:rPr>
          <w:rFonts w:hint="eastAsia"/>
        </w:rPr>
        <w:t>范围</w:t>
      </w:r>
      <w:bookmarkEnd w:id="22"/>
    </w:p>
    <w:p>
      <w:pPr>
        <w:pStyle w:val="23"/>
      </w:pPr>
      <w:r>
        <w:rPr>
          <w:rFonts w:hint="eastAsia"/>
        </w:rPr>
        <w:t xml:space="preserve">本文件规定了人工关节感染预防与防护相关措施、人员、设施设备、环境条件和安全保障的建设内容及要求。 </w:t>
      </w:r>
    </w:p>
    <w:p>
      <w:pPr>
        <w:pStyle w:val="23"/>
      </w:pPr>
      <w:r>
        <w:rPr>
          <w:rFonts w:hint="eastAsia"/>
        </w:rPr>
        <w:t>本文件适用于规范化人工关节感染预防与防护，其他机构关于人工关节感染预防与防护规范化建设可参照执行。</w:t>
      </w:r>
    </w:p>
    <w:p>
      <w:pPr>
        <w:pStyle w:val="43"/>
        <w:spacing w:before="312" w:after="312"/>
      </w:pPr>
      <w:bookmarkStart w:id="23" w:name="_Toc161609633"/>
      <w:r>
        <w:rPr>
          <w:rFonts w:hint="eastAsia"/>
        </w:rPr>
        <w:t>规范性引用文件</w:t>
      </w:r>
      <w:bookmarkEnd w:id="23"/>
    </w:p>
    <w:p>
      <w:pPr>
        <w:pStyle w:val="23"/>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3"/>
      </w:pPr>
      <w:r>
        <w:rPr>
          <w:rFonts w:hint="eastAsia"/>
        </w:rPr>
        <w:t>GB/T 26189-2010 室内工作场所的照明</w:t>
      </w:r>
    </w:p>
    <w:p>
      <w:pPr>
        <w:pStyle w:val="23"/>
      </w:pPr>
      <w:r>
        <w:rPr>
          <w:rFonts w:hint="eastAsia"/>
        </w:rPr>
        <w:t>GB/T 16803-2018 供暖、通风、空调、净化设备术语</w:t>
      </w:r>
    </w:p>
    <w:p>
      <w:pPr>
        <w:pStyle w:val="23"/>
      </w:pPr>
      <w:r>
        <w:rPr>
          <w:rFonts w:hint="eastAsia"/>
        </w:rPr>
        <w:t>WS 310.2-2016 医院手术部（室）医院感染控制规范</w:t>
      </w:r>
    </w:p>
    <w:p>
      <w:pPr>
        <w:pStyle w:val="23"/>
      </w:pPr>
      <w:r>
        <w:rPr>
          <w:rFonts w:hint="eastAsia"/>
        </w:rPr>
        <w:t>WS/T 313-2019 医务人员手卫生规范</w:t>
      </w:r>
    </w:p>
    <w:p>
      <w:pPr>
        <w:pStyle w:val="23"/>
      </w:pPr>
      <w:r>
        <w:rPr>
          <w:rFonts w:hint="eastAsia"/>
        </w:rPr>
        <w:t xml:space="preserve">WS/T 311-2023 </w:t>
      </w:r>
      <w:r>
        <w:fldChar w:fldCharType="begin"/>
      </w:r>
      <w:r>
        <w:instrText xml:space="preserve"> HYPERLINK "https://www.baidu.com/link?url=J9DvK0MEq6HrIFjE6TsbWEMY2bHuLv_zgOK_WOZF_Bd797yqUWuN7dPRxYAi7gP2K7B9RtZfBJh-JUGRN9jWG4DN5tnpXbUPbUkk_gfLbPm_Yf5pYnSV-2lOWowU1Fun&amp;wd=&amp;eqid=c7268fa30000836900000003668500e0" \t "https://www.baidu.com/_blank" </w:instrText>
      </w:r>
      <w:r>
        <w:fldChar w:fldCharType="separate"/>
      </w:r>
      <w:r>
        <w:rPr>
          <w:rFonts w:hint="eastAsia"/>
        </w:rPr>
        <w:t>医院隔离技术标准</w:t>
      </w:r>
      <w:r>
        <w:rPr>
          <w:rFonts w:hint="eastAsia"/>
        </w:rPr>
        <w:fldChar w:fldCharType="end"/>
      </w:r>
    </w:p>
    <w:p>
      <w:pPr>
        <w:pStyle w:val="23"/>
      </w:pPr>
      <w:r>
        <w:rPr>
          <w:rFonts w:hint="eastAsia"/>
        </w:rPr>
        <w:t>WS/T 510-2016 病区医院感染管理规范</w:t>
      </w:r>
    </w:p>
    <w:p>
      <w:pPr>
        <w:pStyle w:val="23"/>
      </w:pPr>
      <w:r>
        <w:rPr>
          <w:rFonts w:hint="eastAsia"/>
        </w:rPr>
        <w:t>WS/T 592-2018  医院感染预防与控制评价规范</w:t>
      </w:r>
    </w:p>
    <w:p>
      <w:pPr>
        <w:pStyle w:val="23"/>
      </w:pPr>
      <w:r>
        <w:rPr>
          <w:rFonts w:hint="eastAsia"/>
        </w:rPr>
        <w:t>GB/T 38736-2020 人类生物样本保藏伦理要求</w:t>
      </w:r>
    </w:p>
    <w:p>
      <w:pPr>
        <w:pStyle w:val="23"/>
      </w:pPr>
      <w:r>
        <w:rPr>
          <w:rFonts w:hint="eastAsia"/>
        </w:rPr>
        <w:t>GB/T 39767-2021 人类生物样本管理规范</w:t>
      </w:r>
    </w:p>
    <w:p>
      <w:pPr>
        <w:pStyle w:val="23"/>
      </w:pPr>
      <w:r>
        <w:rPr>
          <w:rFonts w:hint="eastAsia"/>
        </w:rPr>
        <w:t>GB/T 43429-2023 人感染病原微生物与样本保藏通用要求</w:t>
      </w:r>
    </w:p>
    <w:p>
      <w:pPr>
        <w:pStyle w:val="23"/>
      </w:pPr>
      <w:r>
        <w:rPr>
          <w:rFonts w:hint="eastAsia"/>
        </w:rPr>
        <w:t>DB13/T 5686-2023 多重耐药菌感染患者手术室管理规范</w:t>
      </w:r>
    </w:p>
    <w:p>
      <w:pPr>
        <w:pStyle w:val="23"/>
      </w:pPr>
      <w:r>
        <w:rPr>
          <w:rFonts w:hint="eastAsia"/>
        </w:rPr>
        <w:t>GB/T 41091-2021 人员密集场所电气安全风险评估和风险降低指南</w:t>
      </w:r>
    </w:p>
    <w:p>
      <w:pPr>
        <w:pStyle w:val="43"/>
        <w:spacing w:before="312" w:after="312"/>
      </w:pPr>
      <w:bookmarkStart w:id="24" w:name="_Toc161609634"/>
      <w:r>
        <w:rPr>
          <w:rFonts w:hint="eastAsia"/>
        </w:rPr>
        <w:t>术语和定义</w:t>
      </w:r>
      <w:bookmarkEnd w:id="24"/>
    </w:p>
    <w:p>
      <w:pPr>
        <w:pStyle w:val="23"/>
      </w:pPr>
      <w:r>
        <w:rPr>
          <w:rFonts w:hint="eastAsia"/>
        </w:rPr>
        <w:t>下列术语和定义适用于本文件。</w:t>
      </w:r>
    </w:p>
    <w:p>
      <w:pPr>
        <w:pStyle w:val="40"/>
        <w:spacing w:before="156" w:after="156"/>
      </w:pPr>
      <w:r>
        <w:rPr>
          <w:rFonts w:hint="eastAsia"/>
        </w:rPr>
        <w:t xml:space="preserve">人工关节感染 </w:t>
      </w:r>
      <w:r>
        <w:rPr>
          <w:rFonts w:hint="eastAsia"/>
          <w:lang w:val="en-US" w:eastAsia="zh-CN"/>
        </w:rPr>
        <w:t>Periprosthetic</w:t>
      </w:r>
      <w:r>
        <w:rPr>
          <w:rFonts w:hint="eastAsia"/>
        </w:rPr>
        <w:t xml:space="preserve"> Joint Infection ，PJI</w:t>
      </w:r>
    </w:p>
    <w:p>
      <w:pPr>
        <w:pStyle w:val="23"/>
      </w:pPr>
      <w:r>
        <w:rPr>
          <w:rFonts w:hint="eastAsia"/>
        </w:rPr>
        <w:t>PJI是指发生在人工关节植入部位并累及人工关节假体及其临近组织的感染，在临床上有别于单纯骨感染或关节感染，其常常给患者和社会带来沉重的负担。</w:t>
      </w:r>
    </w:p>
    <w:p>
      <w:pPr>
        <w:pStyle w:val="40"/>
        <w:spacing w:before="156" w:after="156"/>
      </w:pPr>
      <w:r>
        <w:rPr>
          <w:rFonts w:hint="eastAsia"/>
        </w:rPr>
        <w:t>微生物学专家 microbiology specialist</w:t>
      </w:r>
    </w:p>
    <w:p>
      <w:pPr>
        <w:pStyle w:val="23"/>
      </w:pPr>
      <w:r>
        <w:rPr>
          <w:rFonts w:hint="eastAsia"/>
        </w:rPr>
        <w:t>取得国家职业资格的从事微生物专业的具有高级职称的专业技术人员。</w:t>
      </w:r>
    </w:p>
    <w:p>
      <w:pPr>
        <w:pStyle w:val="40"/>
        <w:spacing w:before="156" w:after="156"/>
      </w:pPr>
      <w:r>
        <w:rPr>
          <w:rFonts w:hint="eastAsia"/>
        </w:rPr>
        <w:t>感染病学专家 infectious disease specialist</w:t>
      </w:r>
    </w:p>
    <w:p>
      <w:pPr>
        <w:pStyle w:val="23"/>
      </w:pPr>
      <w:r>
        <w:rPr>
          <w:rFonts w:hint="eastAsia"/>
        </w:rPr>
        <w:t>取得国家职业资格的从事病原微生物或传染病学专业的具有高级职称的专业技术人员。</w:t>
      </w:r>
    </w:p>
    <w:p>
      <w:pPr>
        <w:pStyle w:val="40"/>
        <w:spacing w:before="156" w:after="156"/>
      </w:pPr>
      <w:r>
        <w:rPr>
          <w:rFonts w:hint="eastAsia"/>
        </w:rPr>
        <w:t>骨科专家 orthopaedic specialist</w:t>
      </w:r>
    </w:p>
    <w:p>
      <w:pPr>
        <w:pStyle w:val="23"/>
      </w:pPr>
      <w:r>
        <w:rPr>
          <w:rFonts w:hint="eastAsia"/>
        </w:rPr>
        <w:t>取得国家职业资格的从事骨科学专业的具有高级职称的专业技术人员。</w:t>
      </w:r>
    </w:p>
    <w:p>
      <w:pPr>
        <w:pStyle w:val="40"/>
        <w:spacing w:before="156" w:after="156"/>
      </w:pPr>
      <w:r>
        <w:rPr>
          <w:rFonts w:hint="eastAsia"/>
        </w:rPr>
        <w:t>康复治疗师 rehabilitation therapist</w:t>
      </w:r>
    </w:p>
    <w:p>
      <w:pPr>
        <w:pStyle w:val="23"/>
      </w:pPr>
      <w:r>
        <w:rPr>
          <w:rFonts w:hint="eastAsia"/>
        </w:rPr>
        <w:t>取得国家职业资格的从事康复治疗专业的技术人员，包括物理治疗师、骨科关节功能康复治疗师等康复治疗专业的技术人员。</w:t>
      </w:r>
    </w:p>
    <w:p>
      <w:pPr>
        <w:pStyle w:val="40"/>
        <w:spacing w:before="156" w:after="156"/>
      </w:pPr>
      <w:r>
        <w:rPr>
          <w:rFonts w:hint="eastAsia"/>
        </w:rPr>
        <w:t>术后快速恢复治疗 Enhanced Recovery After Surgery，ERAS</w:t>
      </w:r>
    </w:p>
    <w:p>
      <w:pPr>
        <w:pStyle w:val="23"/>
      </w:pPr>
      <w:r>
        <w:rPr>
          <w:rFonts w:hint="eastAsia"/>
        </w:rPr>
        <w:t>ERAS是一种促进患者术后恢复的全面性治疗理念，旨在缩短患者住院时间、减轻患者痛苦、提高手术效果，同时降低医疗成本。</w:t>
      </w:r>
    </w:p>
    <w:p>
      <w:pPr>
        <w:pStyle w:val="43"/>
        <w:spacing w:before="312" w:after="312"/>
      </w:pPr>
      <w:r>
        <w:rPr>
          <w:rFonts w:hint="eastAsia"/>
        </w:rPr>
        <w:t>环境条件</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医疗场所设置宜考虑治疗对象的隐私保护。</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医疗场所工作场所的照明宜符和 GB/T 26189-2010的要求。</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医疗场所通风、空调应符合GB/T 16803-2018第2章、第4章的要求。</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人工关节置换及人工关节感染防护相关无菌物品及手术室灭菌要求应符合WS 310.2-2016的要求。</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 xml:space="preserve"> 人工关节感染病床设置：人工关节感染病人和普通病人严格分开安置，特殊微生物感染病人需隔离并单间收治。</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治疗室等诊疗区域内应分区明确洁污分开，没有与室外直接通风条件的房间应配置空气净化装置。</w:t>
      </w:r>
    </w:p>
    <w:p>
      <w:pPr>
        <w:pStyle w:val="43"/>
        <w:spacing w:before="312" w:after="312"/>
      </w:pPr>
      <w:r>
        <w:rPr>
          <w:rFonts w:hint="eastAsia"/>
        </w:rPr>
        <w:t>人工关节感染的预防</w:t>
      </w:r>
    </w:p>
    <w:p>
      <w:pPr>
        <w:pStyle w:val="23"/>
      </w:pPr>
      <w:sdt>
        <w:sdtPr>
          <w:rPr>
            <w:rFonts w:hint="eastAsia"/>
            <w:color w:val="FF0000"/>
          </w:rPr>
          <w:alias w:val="标准名称"/>
          <w:tag w:val="标准名称"/>
          <w:id w:val="1892679056"/>
          <w:lock w:val="sdtLocked"/>
          <w:placeholder>
            <w:docPart w:val="{9a9407b8-27b7-4d75-84bc-746b9ba70aad}"/>
          </w:placeholder>
          <w:text w:multiLine="1"/>
        </w:sdtPr>
        <w:sdtEndPr>
          <w:rPr>
            <w:rFonts w:hint="eastAsia"/>
            <w:color w:val="FF0000"/>
          </w:rPr>
        </w:sdtEndPr>
        <w:sdtContent>
          <w:r>
            <w:rPr>
              <w:rFonts w:hint="eastAsia"/>
            </w:rPr>
            <w:t xml:space="preserve">人工关节置换术前、术中和术后三个阶段提出具体措施，预防人工关节感染。其中手卫生应遵循WS/T 313-2019的要求。人工关节感染预防核心科室宜包括但不限于：骨科、麻醉科、手术室、感染科、护理部、临床药学等相关科室人员。 </w:t>
          </w:r>
        </w:sdtContent>
      </w:sdt>
    </w:p>
    <w:p>
      <w:pPr>
        <w:pStyle w:val="40"/>
        <w:spacing w:before="156" w:after="156"/>
      </w:pPr>
      <w:r>
        <w:rPr>
          <w:rFonts w:hint="eastAsia"/>
        </w:rPr>
        <w:t>术前预防人工关节感染</w:t>
      </w:r>
    </w:p>
    <w:p>
      <w:pPr>
        <w:pStyle w:val="23"/>
      </w:pPr>
      <w:bookmarkStart w:id="25" w:name="_Toc161501833"/>
      <w:r>
        <w:t>——术前宣教包括但不限于手术方式、手术存在风险和手术假体选择。</w:t>
      </w:r>
    </w:p>
    <w:p>
      <w:pPr>
        <w:pStyle w:val="23"/>
        <w:rPr>
          <w:rFonts w:hint="default" w:eastAsia="宋体"/>
          <w:lang w:val="en-US" w:eastAsia="zh-CN"/>
        </w:rPr>
      </w:pPr>
      <w:r>
        <w:t>——</w:t>
      </w:r>
      <w:r>
        <w:rPr>
          <w:rFonts w:hint="eastAsia"/>
          <w:lang w:val="en-US" w:eastAsia="zh-CN"/>
        </w:rPr>
        <w:t>检查患者手部、足部、口腔、手术部位及全身其他部位有无感染表现或症状。</w:t>
      </w:r>
    </w:p>
    <w:bookmarkEnd w:id="25"/>
    <w:p>
      <w:pPr>
        <w:pStyle w:val="23"/>
      </w:pPr>
      <w:bookmarkStart w:id="26" w:name="_Toc161501834"/>
      <w:r>
        <w:t>——健康评估，包括但不限于麻醉评估。</w:t>
      </w:r>
    </w:p>
    <w:bookmarkEnd w:id="26"/>
    <w:p>
      <w:pPr>
        <w:pStyle w:val="23"/>
      </w:pPr>
      <w:bookmarkStart w:id="27" w:name="_Toc161501835"/>
      <w:r>
        <w:t>——审查患者当前使用的所有药物，特别是抗凝药物、糖尿病药物和免疫抑制剂，根据多学科团队会诊意见进行调整。</w:t>
      </w:r>
    </w:p>
    <w:bookmarkEnd w:id="27"/>
    <w:p>
      <w:pPr>
        <w:pStyle w:val="23"/>
      </w:pPr>
      <w:bookmarkStart w:id="28" w:name="_Toc161501837"/>
      <w:r>
        <w:t>——确保患者术前具有良好的营养状态。</w:t>
      </w:r>
    </w:p>
    <w:bookmarkEnd w:id="28"/>
    <w:p>
      <w:pPr>
        <w:pStyle w:val="23"/>
      </w:pPr>
      <w:bookmarkStart w:id="29" w:name="_Toc161501840"/>
      <w:r>
        <w:t>——术前一天建议患者清洁手术区域，术前不建议自行备皮，以避免皮肤损伤。</w:t>
      </w:r>
    </w:p>
    <w:bookmarkEnd w:id="29"/>
    <w:p>
      <w:pPr>
        <w:pStyle w:val="23"/>
        <w:rPr>
          <w:rFonts w:hint="eastAsia" w:eastAsia="宋体"/>
          <w:lang w:val="en-US" w:eastAsia="zh-CN"/>
        </w:rPr>
      </w:pPr>
      <w:r>
        <w:t>——预防性使用抗生素。</w:t>
      </w:r>
    </w:p>
    <w:p>
      <w:pPr>
        <w:pStyle w:val="40"/>
        <w:spacing w:before="156" w:after="156"/>
      </w:pPr>
      <w:r>
        <w:rPr>
          <w:rFonts w:hint="eastAsia"/>
        </w:rPr>
        <w:t>术中预防人工关节感染</w:t>
      </w:r>
    </w:p>
    <w:p>
      <w:pPr>
        <w:pStyle w:val="23"/>
      </w:pPr>
      <w:r>
        <w:t>——符合要求的手术室层流系统。</w:t>
      </w:r>
    </w:p>
    <w:p>
      <w:pPr>
        <w:pStyle w:val="23"/>
      </w:pPr>
      <w:r>
        <w:t>——严格控制手术室参观人员数量，减少手术室的人员走动。</w:t>
      </w:r>
    </w:p>
    <w:p>
      <w:pPr>
        <w:pStyle w:val="23"/>
      </w:pPr>
      <w:bookmarkStart w:id="30" w:name="_Toc161501845"/>
      <w:r>
        <w:t>——消毒皮肤范围超过切口边缘15cm以上，必要时扩大消毒范围；切口局部使用碘伏贴膜覆盖。</w:t>
      </w:r>
    </w:p>
    <w:bookmarkEnd w:id="30"/>
    <w:p>
      <w:pPr>
        <w:pStyle w:val="23"/>
      </w:pPr>
      <w:bookmarkStart w:id="31" w:name="_Toc161501849"/>
      <w:r>
        <w:t>——优化手术流程，缩短手术时间。</w:t>
      </w:r>
    </w:p>
    <w:p>
      <w:pPr>
        <w:pStyle w:val="23"/>
      </w:pPr>
      <w:r>
        <w:t>——术中尽量减少出血，保持手术区的相对清洁。</w:t>
      </w:r>
      <w:bookmarkEnd w:id="31"/>
    </w:p>
    <w:p>
      <w:pPr>
        <w:pStyle w:val="40"/>
        <w:spacing w:before="156" w:after="156"/>
      </w:pPr>
      <w:r>
        <w:rPr>
          <w:rFonts w:hint="eastAsia"/>
        </w:rPr>
        <w:t>术后预防人工关节感染</w:t>
      </w:r>
    </w:p>
    <w:p>
      <w:pPr>
        <w:pStyle w:val="23"/>
      </w:pPr>
      <w:bookmarkStart w:id="32" w:name="_Toc161501853"/>
      <w:r>
        <w:t>——术后密切观察患者的生命体征、炎症指标变化和重要脏器功能。</w:t>
      </w:r>
    </w:p>
    <w:bookmarkEnd w:id="32"/>
    <w:p>
      <w:pPr>
        <w:pStyle w:val="23"/>
      </w:pPr>
      <w:bookmarkStart w:id="33" w:name="_Toc161501854"/>
      <w:r>
        <w:t>——保持伤口干燥清洁，定期更换敷料，注意评估伤口愈合情况</w:t>
      </w:r>
      <w:bookmarkEnd w:id="33"/>
      <w:bookmarkStart w:id="34" w:name="_Toc161501855"/>
      <w:r>
        <w:t>，引流管确保引流通畅。</w:t>
      </w:r>
    </w:p>
    <w:bookmarkEnd w:id="34"/>
    <w:p>
      <w:pPr>
        <w:pStyle w:val="23"/>
      </w:pPr>
      <w:r>
        <w:t>——术后需要进行长期的监测和定期随访，包括定期的临床评估、影像学检查和必要的实验室检查。</w:t>
      </w:r>
    </w:p>
    <w:p>
      <w:pPr>
        <w:pStyle w:val="23"/>
      </w:pPr>
      <w:r>
        <w:rPr>
          <w:rFonts w:hint="eastAsia"/>
        </w:rPr>
        <w:t>——根据多学科团队会诊意见建议，调整抗生素使用的种类、方式和周期。</w:t>
      </w:r>
    </w:p>
    <w:p>
      <w:pPr>
        <w:pStyle w:val="43"/>
        <w:spacing w:before="312" w:after="312"/>
      </w:pPr>
      <w:bookmarkStart w:id="35" w:name="_Toc161609637"/>
      <w:r>
        <w:rPr>
          <w:rFonts w:hint="eastAsia"/>
        </w:rPr>
        <w:t>人工关节感染的</w:t>
      </w:r>
      <w:bookmarkEnd w:id="35"/>
      <w:r>
        <w:rPr>
          <w:rFonts w:hint="eastAsia"/>
        </w:rPr>
        <w:t>防护</w:t>
      </w:r>
    </w:p>
    <w:p>
      <w:pPr>
        <w:pStyle w:val="23"/>
      </w:pPr>
      <w:r>
        <w:rPr>
          <w:rFonts w:hint="eastAsia"/>
        </w:rPr>
        <w:t>人工关节感染防护的相关措施，包括诊断相关措施和</w:t>
      </w:r>
      <w:r>
        <w:rPr>
          <w:rFonts w:hint="eastAsia"/>
          <w:lang w:eastAsia="zh-CN"/>
        </w:rPr>
        <w:t>治疗</w:t>
      </w:r>
      <w:r>
        <w:rPr>
          <w:rFonts w:hint="eastAsia"/>
        </w:rPr>
        <w:t>相关措施。病区医院感染管理规范宜符合WS/T 510-2016；隔离工作应遵循WS/T 311-2023的要求。人工关节感染防护核心科室宜包括但不限于：骨科、麻醉科、手术室、感染科、护理部，临床药学、检验科（微生物方向）、医学影像科等相关科室人员。相关人员中至少包含一名具有高级职称的微生物学专家、一名具有高级职称的感染病学专家和一名具有高级职称的骨科专家。</w:t>
      </w:r>
    </w:p>
    <w:p>
      <w:pPr>
        <w:pStyle w:val="23"/>
        <w:ind w:firstLine="0" w:firstLineChars="0"/>
      </w:pPr>
    </w:p>
    <w:p>
      <w:pPr>
        <w:pStyle w:val="40"/>
        <w:spacing w:before="156" w:after="156"/>
      </w:pPr>
      <w:r>
        <w:rPr>
          <w:rFonts w:hint="eastAsia"/>
        </w:rPr>
        <w:t>人工关节感染的患者识别</w:t>
      </w:r>
    </w:p>
    <w:p>
      <w:pPr>
        <w:pStyle w:val="23"/>
        <w:rPr>
          <w:rFonts w:hint="eastAsia"/>
        </w:rPr>
      </w:pPr>
      <w:r>
        <w:t>——</w:t>
      </w:r>
      <w:r>
        <w:rPr>
          <w:rFonts w:hint="eastAsia"/>
        </w:rPr>
        <w:t>详细记录患者的症状发展，包括感染开始的时间、症状（如疼痛、红肿、发热等）的性质和进展情况。评估关节局部的体征，包括肿胀、皮温、窦道形成等。</w:t>
      </w:r>
    </w:p>
    <w:p>
      <w:pPr>
        <w:pStyle w:val="23"/>
        <w:rPr>
          <w:rFonts w:hint="default" w:eastAsia="宋体"/>
          <w:lang w:val="en-US" w:eastAsia="zh-CN"/>
        </w:rPr>
      </w:pPr>
      <w:r>
        <w:t>——</w:t>
      </w:r>
      <w:r>
        <w:rPr>
          <w:rFonts w:hint="eastAsia"/>
          <w:lang w:eastAsia="zh-CN"/>
        </w:rPr>
        <w:t>根据患者病史及临床表现综合判断</w:t>
      </w:r>
      <w:r>
        <w:rPr>
          <w:rFonts w:hint="eastAsia"/>
          <w:lang w:val="en-US" w:eastAsia="zh-CN"/>
        </w:rPr>
        <w:t>人工关节感染类型，区分直接源性或血源性等。</w:t>
      </w:r>
    </w:p>
    <w:p>
      <w:pPr>
        <w:pStyle w:val="23"/>
      </w:pPr>
      <w:r>
        <w:t>——</w:t>
      </w:r>
      <w:r>
        <w:rPr>
          <w:rFonts w:hint="eastAsia"/>
        </w:rPr>
        <w:t>检测血常规、生化、凝血功能、D二聚体、血沉、C反应蛋白、关节液成分。</w:t>
      </w:r>
    </w:p>
    <w:p>
      <w:pPr>
        <w:pStyle w:val="23"/>
      </w:pPr>
      <w:r>
        <w:t>——</w:t>
      </w:r>
      <w:r>
        <w:rPr>
          <w:rFonts w:hint="eastAsia"/>
        </w:rPr>
        <w:t>影像学检查：X线、CT和MRI成像。必要时行核素扫描。</w:t>
      </w:r>
    </w:p>
    <w:p>
      <w:pPr>
        <w:pStyle w:val="23"/>
      </w:pPr>
      <w:r>
        <w:t>——</w:t>
      </w:r>
      <w:r>
        <w:rPr>
          <w:rFonts w:hint="eastAsia"/>
        </w:rPr>
        <w:t>运用组织冰冻切片设备，计数每高倍镜视野下中性粒细胞数量。</w:t>
      </w:r>
    </w:p>
    <w:p>
      <w:pPr>
        <w:pStyle w:val="23"/>
      </w:pPr>
      <w:r>
        <w:t>——</w:t>
      </w:r>
      <w:r>
        <w:rPr>
          <w:rFonts w:hint="eastAsia"/>
        </w:rPr>
        <w:t>运用超声震荡设备，震荡翻修假体，提高病原微生物检出率。</w:t>
      </w:r>
    </w:p>
    <w:p>
      <w:pPr>
        <w:pStyle w:val="23"/>
      </w:pPr>
      <w:r>
        <w:t>——</w:t>
      </w:r>
      <w:r>
        <w:rPr>
          <w:rFonts w:hint="eastAsia"/>
        </w:rPr>
        <w:t>病原微生物如需氧微生物、厌氧微生物和真菌微生物等培养设备，对关节液，血液，人工关节周围组织，超声震荡液进行微生物培养。必要时行分子生物学检测。</w:t>
      </w:r>
    </w:p>
    <w:p>
      <w:pPr>
        <w:pStyle w:val="40"/>
        <w:spacing w:before="156" w:after="156"/>
      </w:pPr>
      <w:r>
        <w:rPr>
          <w:rFonts w:hint="eastAsia"/>
        </w:rPr>
        <w:t>人工关节感染的应急处理</w:t>
      </w:r>
    </w:p>
    <w:p>
      <w:pPr>
        <w:pStyle w:val="23"/>
      </w:pPr>
      <w:r>
        <w:t>——由骨科专家、微生物学专家和感染病学专家进行全面评估，确定最佳的治疗方案。</w:t>
      </w:r>
    </w:p>
    <w:p>
      <w:pPr>
        <w:pStyle w:val="23"/>
      </w:pPr>
      <w:r>
        <w:t>——调整和优化患者的抗菌药物方案。</w:t>
      </w:r>
    </w:p>
    <w:p>
      <w:pPr>
        <w:pStyle w:val="23"/>
      </w:pPr>
      <w:r>
        <w:t>——手术中需彻底清除感染的软组织，保留必要的结构性骨组织。</w:t>
      </w:r>
    </w:p>
    <w:p>
      <w:pPr>
        <w:pStyle w:val="23"/>
      </w:pPr>
      <w:r>
        <w:t>——留取标本进行微生物培养和药敏实验。</w:t>
      </w:r>
    </w:p>
    <w:p>
      <w:pPr>
        <w:pStyle w:val="23"/>
      </w:pPr>
      <w:r>
        <w:t>——碘伏、过氧化氢、生理盐水等冲洗，降低微生物载量。</w:t>
      </w:r>
    </w:p>
    <w:p>
      <w:pPr>
        <w:pStyle w:val="23"/>
      </w:pPr>
      <w:r>
        <w:t>——使用抗生素水泥等特制产品以局部释放高浓度的抗生素。</w:t>
      </w:r>
    </w:p>
    <w:p>
      <w:pPr>
        <w:pStyle w:val="23"/>
      </w:pPr>
      <w:r>
        <w:t>——术中彻底清创后更换无菌手术衣、手套和手术器械。</w:t>
      </w:r>
    </w:p>
    <w:p>
      <w:pPr>
        <w:pStyle w:val="23"/>
      </w:pPr>
      <w:r>
        <w:t>——</w:t>
      </w:r>
      <w:r>
        <w:rPr>
          <w:rFonts w:hint="eastAsia"/>
        </w:rPr>
        <w:t>选择合适的关节临时占位器和翻修假体。</w:t>
      </w:r>
    </w:p>
    <w:p>
      <w:pPr>
        <w:pStyle w:val="23"/>
      </w:pPr>
      <w:r>
        <w:t>——</w:t>
      </w:r>
      <w:r>
        <w:rPr>
          <w:rFonts w:hint="eastAsia"/>
        </w:rPr>
        <w:t>根据伤口情况，定期消毒换药。</w:t>
      </w:r>
    </w:p>
    <w:p>
      <w:pPr>
        <w:pStyle w:val="43"/>
        <w:spacing w:before="312" w:after="312"/>
      </w:pPr>
      <w:bookmarkStart w:id="36" w:name="_Toc161609641"/>
      <w:r>
        <w:rPr>
          <w:rFonts w:hint="eastAsia"/>
        </w:rPr>
        <w:t>安全保障</w:t>
      </w:r>
      <w:bookmarkEnd w:id="36"/>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医院感染预防与防护评价规范应符合 WS/T 592-2018的规定。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人类生物样本保藏伦理应符合 GB/T 38736-2020的规定。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人类生物样本管理规范应符合 GB/T 39767-2021的规定。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人类感染病原微生物与样本保藏应符合 GB/T 43429-2023的规定。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多重耐药菌感染患者手术室管理规范应符合 DB13/T 5686-2023的规定。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医疗场所的电气安全应符合 GB/T 41091-2021 的规定。</w:t>
      </w:r>
    </w:p>
    <w:p>
      <w:pPr>
        <w:pStyle w:val="40"/>
        <w:spacing w:before="156" w:after="156"/>
        <w:rPr>
          <w:rFonts w:hint="eastAsia" w:asciiTheme="minorEastAsia" w:hAnsiTheme="minorEastAsia" w:eastAsiaTheme="minorEastAsia"/>
        </w:rPr>
      </w:pPr>
      <w:r>
        <w:rPr>
          <w:rFonts w:hint="eastAsia" w:asciiTheme="minorEastAsia" w:hAnsiTheme="minorEastAsia" w:eastAsiaTheme="minorEastAsia"/>
        </w:rPr>
        <w:t>定期进行医疗场所的安全检查。</w:t>
      </w:r>
    </w:p>
    <w:p>
      <w:pPr>
        <w:pStyle w:val="23"/>
      </w:pPr>
    </w:p>
    <w:p>
      <w:pPr>
        <w:pStyle w:val="96"/>
      </w:pPr>
    </w:p>
    <w:p>
      <w:pPr>
        <w:pStyle w:val="84"/>
      </w:pPr>
    </w:p>
    <w:p>
      <w:pPr>
        <w:pStyle w:val="82"/>
      </w:pPr>
      <w:r>
        <w:br w:type="textWrapping"/>
      </w:r>
      <w:bookmarkStart w:id="37" w:name="_Toc161609642"/>
      <w:r>
        <w:rPr>
          <w:rFonts w:hint="eastAsia"/>
        </w:rPr>
        <w:t>（资料性附录）</w:t>
      </w:r>
      <w:r>
        <w:br w:type="textWrapping"/>
      </w:r>
      <w:r>
        <w:rPr>
          <w:rFonts w:hint="eastAsia"/>
        </w:rPr>
        <w:t>人工关节感染患者问诊重点</w:t>
      </w:r>
      <w:bookmarkEnd w:id="37"/>
    </w:p>
    <w:p>
      <w:pPr>
        <w:spacing w:before="120" w:after="120" w:line="360" w:lineRule="auto"/>
        <w:ind w:firstLine="210" w:firstLineChars="100"/>
        <w:rPr>
          <w:szCs w:val="21"/>
        </w:rPr>
      </w:pPr>
      <w:r>
        <w:rPr>
          <w:rFonts w:hint="eastAsia" w:ascii="宋体" w:hAnsi="宋体"/>
          <w:szCs w:val="21"/>
        </w:rPr>
        <w:t>姓名：</w:t>
      </w:r>
      <w:r>
        <w:rPr>
          <w:szCs w:val="21"/>
          <w:u w:val="single"/>
        </w:rPr>
        <w:t xml:space="preserve">       </w:t>
      </w:r>
      <w:r>
        <w:rPr>
          <w:rFonts w:hint="eastAsia" w:ascii="宋体" w:hAnsi="宋体"/>
          <w:szCs w:val="21"/>
        </w:rPr>
        <w:t>性别：</w:t>
      </w:r>
      <w:r>
        <w:rPr>
          <w:szCs w:val="21"/>
          <w:u w:val="single"/>
        </w:rPr>
        <w:t xml:space="preserve">      </w:t>
      </w:r>
      <w:r>
        <w:rPr>
          <w:szCs w:val="21"/>
        </w:rPr>
        <w:t xml:space="preserve">  </w:t>
      </w:r>
      <w:r>
        <w:rPr>
          <w:rFonts w:hint="eastAsia" w:ascii="宋体" w:hAnsi="宋体"/>
          <w:szCs w:val="21"/>
        </w:rPr>
        <w:t>年龄</w:t>
      </w:r>
      <w:r>
        <w:rPr>
          <w:szCs w:val="21"/>
          <w:u w:val="single"/>
        </w:rPr>
        <w:t xml:space="preserve">     </w:t>
      </w:r>
      <w:r>
        <w:rPr>
          <w:szCs w:val="21"/>
        </w:rPr>
        <w:t xml:space="preserve">   BMI </w:t>
      </w:r>
      <w:r>
        <w:rPr>
          <w:szCs w:val="21"/>
          <w:u w:val="single"/>
        </w:rPr>
        <w:t xml:space="preserve">        </w:t>
      </w:r>
      <w:r>
        <w:rPr>
          <w:szCs w:val="21"/>
        </w:rPr>
        <w:t xml:space="preserve">  </w:t>
      </w:r>
      <w:r>
        <w:rPr>
          <w:rFonts w:hint="eastAsia" w:ascii="宋体" w:hAnsi="宋体"/>
          <w:szCs w:val="21"/>
        </w:rPr>
        <w:t>登记号：</w:t>
      </w:r>
      <w:r>
        <w:rPr>
          <w:szCs w:val="21"/>
          <w:u w:val="single"/>
        </w:rPr>
        <w:t xml:space="preserve">           </w:t>
      </w:r>
      <w:r>
        <w:rPr>
          <w:szCs w:val="21"/>
        </w:rPr>
        <w:t xml:space="preserve"> </w:t>
      </w:r>
    </w:p>
    <w:p>
      <w:pPr>
        <w:spacing w:before="120" w:after="120" w:line="360" w:lineRule="auto"/>
        <w:rPr>
          <w:i/>
          <w:iCs/>
          <w:szCs w:val="21"/>
          <w:u w:val="single"/>
        </w:rPr>
      </w:pPr>
      <w:r>
        <w:rPr>
          <w:szCs w:val="21"/>
        </w:rPr>
        <w:t>1</w:t>
      </w:r>
      <w:r>
        <w:rPr>
          <w:rFonts w:hint="eastAsia" w:ascii="宋体" w:hAnsi="宋体"/>
          <w:szCs w:val="21"/>
        </w:rPr>
        <w:t>、上次手术日期：</w:t>
      </w:r>
      <w:r>
        <w:rPr>
          <w:szCs w:val="21"/>
          <w:u w:val="single"/>
        </w:rPr>
        <w:t xml:space="preserve">            </w:t>
      </w:r>
    </w:p>
    <w:p>
      <w:pPr>
        <w:spacing w:before="120" w:after="120" w:line="360" w:lineRule="auto"/>
        <w:rPr>
          <w:szCs w:val="21"/>
        </w:rPr>
      </w:pPr>
      <w:r>
        <w:rPr>
          <w:szCs w:val="21"/>
        </w:rPr>
        <w:t>2</w:t>
      </w:r>
      <w:r>
        <w:rPr>
          <w:rFonts w:hint="eastAsia" w:ascii="宋体" w:hAnsi="宋体"/>
          <w:szCs w:val="21"/>
        </w:rPr>
        <w:t>、上次手术方式：全髋置换（</w:t>
      </w:r>
      <w:r>
        <w:rPr>
          <w:szCs w:val="21"/>
        </w:rPr>
        <w:t>THA</w:t>
      </w:r>
      <w:r>
        <w:rPr>
          <w:rFonts w:hint="eastAsia" w:ascii="宋体" w:hAnsi="宋体"/>
          <w:szCs w:val="21"/>
        </w:rPr>
        <w:t>）</w:t>
      </w:r>
      <w:r>
        <w:rPr>
          <w:szCs w:val="21"/>
        </w:rPr>
        <w:t xml:space="preserve">□  </w:t>
      </w:r>
      <w:r>
        <w:rPr>
          <w:rFonts w:hint="eastAsia" w:ascii="宋体" w:hAnsi="宋体"/>
          <w:szCs w:val="21"/>
        </w:rPr>
        <w:t>半髋置换</w:t>
      </w:r>
      <w:r>
        <w:rPr>
          <w:rFonts w:hint="eastAsia" w:ascii="宋体" w:hAnsi="宋体"/>
          <w:szCs w:val="21"/>
          <w:lang w:eastAsia="zh-CN"/>
        </w:rPr>
        <w:t>（</w:t>
      </w:r>
      <w:r>
        <w:rPr>
          <w:rFonts w:hint="default" w:ascii="Times New Roman" w:hAnsi="Times New Roman" w:cs="Times New Roman"/>
          <w:szCs w:val="21"/>
          <w:lang w:val="en-US" w:eastAsia="zh-CN"/>
        </w:rPr>
        <w:t>Hemi-HA</w:t>
      </w:r>
      <w:r>
        <w:rPr>
          <w:rFonts w:hint="eastAsia" w:ascii="宋体" w:hAnsi="宋体"/>
          <w:szCs w:val="21"/>
          <w:lang w:eastAsia="zh-CN"/>
        </w:rPr>
        <w:t>）</w:t>
      </w:r>
      <w:r>
        <w:rPr>
          <w:szCs w:val="21"/>
        </w:rPr>
        <w:t xml:space="preserve">□    </w:t>
      </w:r>
      <w:r>
        <w:rPr>
          <w:rFonts w:hint="eastAsia" w:ascii="宋体" w:hAnsi="宋体"/>
          <w:szCs w:val="21"/>
        </w:rPr>
        <w:t>全膝置换（</w:t>
      </w:r>
      <w:r>
        <w:rPr>
          <w:szCs w:val="21"/>
        </w:rPr>
        <w:t>TKA</w:t>
      </w:r>
      <w:r>
        <w:rPr>
          <w:rFonts w:hint="eastAsia" w:ascii="宋体" w:hAnsi="宋体"/>
          <w:szCs w:val="21"/>
        </w:rPr>
        <w:t>）</w:t>
      </w:r>
      <w:r>
        <w:rPr>
          <w:szCs w:val="21"/>
        </w:rPr>
        <w:t xml:space="preserve">□           </w:t>
      </w:r>
    </w:p>
    <w:p>
      <w:pPr>
        <w:autoSpaceDE w:val="0"/>
        <w:spacing w:before="120" w:after="120" w:line="360" w:lineRule="auto"/>
        <w:ind w:firstLine="420" w:firstLineChars="200"/>
        <w:rPr>
          <w:szCs w:val="21"/>
        </w:rPr>
      </w:pPr>
      <w:r>
        <w:rPr>
          <w:rFonts w:hint="eastAsia" w:ascii="宋体" w:hAnsi="宋体"/>
          <w:szCs w:val="21"/>
        </w:rPr>
        <w:t>单髁置换（</w:t>
      </w:r>
      <w:r>
        <w:rPr>
          <w:szCs w:val="21"/>
        </w:rPr>
        <w:t>UKA</w:t>
      </w:r>
      <w:r>
        <w:rPr>
          <w:rFonts w:hint="eastAsia" w:ascii="宋体" w:hAnsi="宋体"/>
          <w:szCs w:val="21"/>
        </w:rPr>
        <w:t>）</w:t>
      </w:r>
      <w:r>
        <w:rPr>
          <w:szCs w:val="21"/>
        </w:rPr>
        <w:t xml:space="preserve">□  </w:t>
      </w:r>
      <w:r>
        <w:rPr>
          <w:rFonts w:hint="eastAsia" w:ascii="宋体" w:hAnsi="宋体"/>
          <w:szCs w:val="21"/>
        </w:rPr>
        <w:t>保留假体的清创手术（</w:t>
      </w:r>
      <w:r>
        <w:rPr>
          <w:szCs w:val="21"/>
        </w:rPr>
        <w:t>DAIR</w:t>
      </w:r>
      <w:r>
        <w:rPr>
          <w:rFonts w:hint="eastAsia" w:ascii="宋体" w:hAnsi="宋体"/>
          <w:szCs w:val="21"/>
        </w:rPr>
        <w:t>）</w:t>
      </w:r>
      <w:r>
        <w:rPr>
          <w:szCs w:val="21"/>
        </w:rPr>
        <w:t xml:space="preserve">□ </w:t>
      </w:r>
      <w:r>
        <w:rPr>
          <w:rFonts w:hint="eastAsia" w:ascii="宋体" w:hAnsi="宋体"/>
          <w:szCs w:val="21"/>
        </w:rPr>
        <w:t>占位器（</w:t>
      </w:r>
      <w:r>
        <w:rPr>
          <w:szCs w:val="21"/>
        </w:rPr>
        <w:t>Spacer</w:t>
      </w:r>
      <w:r>
        <w:rPr>
          <w:rFonts w:hint="eastAsia" w:ascii="宋体" w:hAnsi="宋体"/>
          <w:szCs w:val="21"/>
        </w:rPr>
        <w:t>）</w:t>
      </w:r>
      <w:r>
        <w:rPr>
          <w:szCs w:val="21"/>
        </w:rPr>
        <w:t>□</w:t>
      </w:r>
    </w:p>
    <w:p>
      <w:pPr>
        <w:autoSpaceDE w:val="0"/>
        <w:spacing w:before="120" w:after="120" w:line="360" w:lineRule="auto"/>
        <w:ind w:firstLine="420" w:firstLineChars="200"/>
        <w:rPr>
          <w:szCs w:val="21"/>
        </w:rPr>
      </w:pPr>
      <w:r>
        <w:rPr>
          <w:rFonts w:hint="eastAsia" w:ascii="宋体" w:hAnsi="宋体"/>
          <w:szCs w:val="21"/>
        </w:rPr>
        <w:t>一期翻修（</w:t>
      </w:r>
      <w:r>
        <w:rPr>
          <w:rFonts w:hint="eastAsia"/>
          <w:szCs w:val="21"/>
        </w:rPr>
        <w:t>O</w:t>
      </w:r>
      <w:r>
        <w:rPr>
          <w:szCs w:val="21"/>
        </w:rPr>
        <w:t>ne-stage</w:t>
      </w:r>
      <w:r>
        <w:rPr>
          <w:rFonts w:hint="eastAsia"/>
          <w:szCs w:val="21"/>
        </w:rPr>
        <w:t xml:space="preserve"> exchange</w:t>
      </w:r>
      <w:r>
        <w:rPr>
          <w:rFonts w:hint="eastAsia" w:ascii="宋体" w:hAnsi="宋体"/>
          <w:szCs w:val="21"/>
        </w:rPr>
        <w:t>）</w:t>
      </w:r>
      <w:r>
        <w:rPr>
          <w:szCs w:val="21"/>
        </w:rPr>
        <w:t xml:space="preserve">□  </w:t>
      </w:r>
      <w:r>
        <w:rPr>
          <w:rFonts w:hint="eastAsia" w:ascii="宋体" w:hAnsi="宋体"/>
          <w:szCs w:val="21"/>
        </w:rPr>
        <w:t>二期翻修（</w:t>
      </w:r>
      <w:r>
        <w:rPr>
          <w:rFonts w:hint="eastAsia"/>
          <w:szCs w:val="21"/>
        </w:rPr>
        <w:t>Two</w:t>
      </w:r>
      <w:r>
        <w:rPr>
          <w:szCs w:val="21"/>
        </w:rPr>
        <w:t xml:space="preserve">-stage </w:t>
      </w:r>
      <w:r>
        <w:rPr>
          <w:rFonts w:hint="eastAsia"/>
          <w:szCs w:val="21"/>
        </w:rPr>
        <w:t>exchange</w:t>
      </w:r>
      <w:r>
        <w:rPr>
          <w:rFonts w:hint="eastAsia" w:ascii="宋体" w:hAnsi="宋体"/>
          <w:szCs w:val="21"/>
        </w:rPr>
        <w:t>）</w:t>
      </w:r>
      <w:r>
        <w:rPr>
          <w:szCs w:val="21"/>
        </w:rPr>
        <w:t xml:space="preserve">□ </w:t>
      </w:r>
    </w:p>
    <w:p>
      <w:pPr>
        <w:autoSpaceDE w:val="0"/>
        <w:spacing w:before="120" w:after="120" w:line="360" w:lineRule="auto"/>
        <w:ind w:firstLine="420" w:firstLineChars="200"/>
        <w:rPr>
          <w:szCs w:val="21"/>
          <w:u w:val="single"/>
        </w:rPr>
      </w:pPr>
      <w:r>
        <w:rPr>
          <w:rFonts w:hint="eastAsia" w:ascii="宋体" w:hAnsi="宋体"/>
          <w:szCs w:val="21"/>
        </w:rPr>
        <w:t>部分翻修（</w:t>
      </w:r>
      <w:r>
        <w:rPr>
          <w:rFonts w:hint="eastAsia"/>
        </w:rPr>
        <w:t>P</w:t>
      </w:r>
      <w:r>
        <w:t>artial exchange</w:t>
      </w:r>
      <w:r>
        <w:rPr>
          <w:rFonts w:hint="eastAsia" w:ascii="宋体" w:hAnsi="宋体"/>
          <w:szCs w:val="21"/>
        </w:rPr>
        <w:t>）</w:t>
      </w:r>
      <w:r>
        <w:rPr>
          <w:szCs w:val="21"/>
        </w:rPr>
        <w:t xml:space="preserve">□  </w:t>
      </w:r>
      <w:r>
        <w:rPr>
          <w:rFonts w:hint="eastAsia" w:ascii="宋体" w:hAnsi="宋体"/>
          <w:szCs w:val="21"/>
        </w:rPr>
        <w:t xml:space="preserve">其他 </w:t>
      </w:r>
      <w:r>
        <w:rPr>
          <w:szCs w:val="21"/>
          <w:u w:val="single"/>
        </w:rPr>
        <w:t xml:space="preserve">           </w:t>
      </w:r>
    </w:p>
    <w:p>
      <w:pPr>
        <w:spacing w:before="120" w:after="120" w:line="360" w:lineRule="auto"/>
        <w:rPr>
          <w:szCs w:val="21"/>
        </w:rPr>
      </w:pPr>
      <w:r>
        <w:rPr>
          <w:szCs w:val="21"/>
        </w:rPr>
        <w:t>3</w:t>
      </w:r>
      <w:r>
        <w:rPr>
          <w:rFonts w:hint="eastAsia" w:ascii="宋体" w:hAnsi="宋体"/>
          <w:szCs w:val="21"/>
        </w:rPr>
        <w:t>、本次出现症状日期：</w:t>
      </w:r>
      <w:r>
        <w:rPr>
          <w:szCs w:val="21"/>
          <w:u w:val="single"/>
        </w:rPr>
        <w:t xml:space="preserve">           </w:t>
      </w:r>
      <w:r>
        <w:rPr>
          <w:szCs w:val="21"/>
        </w:rPr>
        <w:t xml:space="preserve">  </w:t>
      </w:r>
    </w:p>
    <w:p>
      <w:pPr>
        <w:spacing w:before="120" w:after="120" w:line="360" w:lineRule="auto"/>
        <w:rPr>
          <w:szCs w:val="21"/>
        </w:rPr>
      </w:pPr>
      <w:r>
        <w:rPr>
          <w:szCs w:val="21"/>
        </w:rPr>
        <w:t>4</w:t>
      </w:r>
      <w:r>
        <w:rPr>
          <w:rFonts w:hint="eastAsia" w:ascii="宋体" w:hAnsi="宋体"/>
          <w:szCs w:val="21"/>
        </w:rPr>
        <w:t>、是否形成窦道：是</w:t>
      </w:r>
      <w:r>
        <w:rPr>
          <w:szCs w:val="21"/>
        </w:rPr>
        <w:t xml:space="preserve">□       </w:t>
      </w:r>
      <w:r>
        <w:rPr>
          <w:rFonts w:hint="eastAsia" w:ascii="宋体" w:hAnsi="宋体"/>
          <w:szCs w:val="21"/>
        </w:rPr>
        <w:t>否</w:t>
      </w:r>
      <w:r>
        <w:rPr>
          <w:szCs w:val="21"/>
        </w:rPr>
        <w:t>□</w:t>
      </w:r>
    </w:p>
    <w:p>
      <w:pPr>
        <w:spacing w:before="120" w:after="120" w:line="360" w:lineRule="auto"/>
        <w:rPr>
          <w:szCs w:val="21"/>
        </w:rPr>
      </w:pPr>
      <w:r>
        <w:rPr>
          <w:szCs w:val="21"/>
        </w:rPr>
        <w:t>5</w:t>
      </w:r>
      <w:r>
        <w:rPr>
          <w:rFonts w:hint="eastAsia" w:ascii="宋体" w:hAnsi="宋体"/>
          <w:szCs w:val="21"/>
        </w:rPr>
        <w:t>、输血史：有</w:t>
      </w:r>
      <w:r>
        <w:rPr>
          <w:szCs w:val="21"/>
        </w:rPr>
        <w:t xml:space="preserve">□     </w:t>
      </w:r>
      <w:r>
        <w:rPr>
          <w:rFonts w:hint="eastAsia" w:ascii="宋体" w:hAnsi="宋体"/>
          <w:szCs w:val="21"/>
        </w:rPr>
        <w:t>无</w:t>
      </w:r>
      <w:r>
        <w:rPr>
          <w:szCs w:val="21"/>
        </w:rPr>
        <w:t>□</w:t>
      </w:r>
    </w:p>
    <w:p>
      <w:pPr>
        <w:spacing w:before="120" w:after="120" w:line="360" w:lineRule="auto"/>
        <w:rPr>
          <w:szCs w:val="21"/>
        </w:rPr>
      </w:pPr>
      <w:r>
        <w:rPr>
          <w:szCs w:val="21"/>
        </w:rPr>
        <w:t>6</w:t>
      </w:r>
      <w:r>
        <w:rPr>
          <w:rFonts w:hint="eastAsia" w:ascii="宋体" w:hAnsi="宋体"/>
          <w:szCs w:val="21"/>
        </w:rPr>
        <w:t>、基础疾病：糖尿病</w:t>
      </w:r>
      <w:r>
        <w:rPr>
          <w:szCs w:val="21"/>
        </w:rPr>
        <w:t xml:space="preserve">□  </w:t>
      </w:r>
      <w:r>
        <w:rPr>
          <w:rFonts w:hint="eastAsia" w:ascii="宋体" w:hAnsi="宋体"/>
          <w:szCs w:val="21"/>
        </w:rPr>
        <w:t>类风湿性关节炎等结缔组织疾病</w:t>
      </w:r>
      <w:r>
        <w:rPr>
          <w:szCs w:val="21"/>
        </w:rPr>
        <w:t xml:space="preserve">□   </w:t>
      </w:r>
      <w:r>
        <w:rPr>
          <w:rFonts w:hint="eastAsia" w:ascii="宋体" w:hAnsi="宋体"/>
          <w:szCs w:val="21"/>
        </w:rPr>
        <w:t>激素使用</w:t>
      </w:r>
      <w:r>
        <w:rPr>
          <w:szCs w:val="21"/>
        </w:rPr>
        <w:t xml:space="preserve">□  </w:t>
      </w:r>
      <w:r>
        <w:rPr>
          <w:rFonts w:hint="eastAsia" w:ascii="宋体" w:hAnsi="宋体"/>
          <w:szCs w:val="21"/>
        </w:rPr>
        <w:t>肿瘤史</w:t>
      </w:r>
      <w:r>
        <w:rPr>
          <w:szCs w:val="21"/>
        </w:rPr>
        <w:t>□</w:t>
      </w:r>
    </w:p>
    <w:p>
      <w:pPr>
        <w:autoSpaceDE w:val="0"/>
        <w:spacing w:before="120" w:after="120" w:line="360" w:lineRule="auto"/>
        <w:ind w:firstLine="210" w:firstLineChars="100"/>
        <w:rPr>
          <w:szCs w:val="21"/>
        </w:rPr>
      </w:pPr>
      <w:r>
        <w:rPr>
          <w:rFonts w:hint="eastAsia" w:ascii="宋体" w:hAnsi="宋体"/>
          <w:szCs w:val="21"/>
        </w:rPr>
        <w:t>慢性肺部疾病</w:t>
      </w:r>
      <w:r>
        <w:rPr>
          <w:szCs w:val="21"/>
        </w:rPr>
        <w:t xml:space="preserve">□   </w:t>
      </w:r>
      <w:r>
        <w:rPr>
          <w:rFonts w:hint="eastAsia" w:ascii="宋体" w:hAnsi="宋体"/>
          <w:szCs w:val="21"/>
        </w:rPr>
        <w:t>肝脏疾病</w:t>
      </w:r>
      <w:r>
        <w:rPr>
          <w:szCs w:val="21"/>
        </w:rPr>
        <w:t xml:space="preserve">□   </w:t>
      </w:r>
      <w:r>
        <w:rPr>
          <w:rFonts w:hint="eastAsia" w:ascii="宋体" w:hAnsi="宋体"/>
          <w:szCs w:val="21"/>
        </w:rPr>
        <w:t>肾脏疾病</w:t>
      </w:r>
      <w:r>
        <w:rPr>
          <w:szCs w:val="21"/>
        </w:rPr>
        <w:t xml:space="preserve">□  </w:t>
      </w:r>
      <w:r>
        <w:rPr>
          <w:rFonts w:hint="eastAsia" w:ascii="宋体" w:hAnsi="宋体"/>
          <w:szCs w:val="21"/>
        </w:rPr>
        <w:t>外周血管疾病</w:t>
      </w:r>
      <w:r>
        <w:rPr>
          <w:szCs w:val="21"/>
        </w:rPr>
        <w:t xml:space="preserve">□  </w:t>
      </w:r>
      <w:r>
        <w:rPr>
          <w:rFonts w:hint="eastAsia" w:ascii="宋体" w:hAnsi="宋体"/>
          <w:szCs w:val="21"/>
        </w:rPr>
        <w:t>术后伤口感染</w:t>
      </w:r>
      <w:r>
        <w:rPr>
          <w:szCs w:val="21"/>
        </w:rPr>
        <w:t xml:space="preserve">□     </w:t>
      </w:r>
    </w:p>
    <w:p>
      <w:pPr>
        <w:autoSpaceDE w:val="0"/>
        <w:spacing w:before="120" w:after="120" w:line="360" w:lineRule="auto"/>
        <w:ind w:firstLine="210" w:firstLineChars="100"/>
        <w:rPr>
          <w:szCs w:val="21"/>
          <w:u w:val="single"/>
        </w:rPr>
      </w:pPr>
      <w:r>
        <w:rPr>
          <w:rFonts w:hint="eastAsia" w:ascii="宋体" w:hAnsi="宋体"/>
          <w:szCs w:val="21"/>
        </w:rPr>
        <w:t>关节手术史</w:t>
      </w:r>
      <w:r>
        <w:rPr>
          <w:szCs w:val="21"/>
        </w:rPr>
        <w:t xml:space="preserve">□   </w:t>
      </w:r>
      <w:r>
        <w:rPr>
          <w:rFonts w:hint="eastAsia" w:ascii="宋体" w:hAnsi="宋体"/>
          <w:szCs w:val="21"/>
        </w:rPr>
        <w:t>关节感染病史</w:t>
      </w:r>
      <w:r>
        <w:rPr>
          <w:szCs w:val="21"/>
        </w:rPr>
        <w:t xml:space="preserve">□  </w:t>
      </w:r>
      <w:r>
        <w:rPr>
          <w:rFonts w:hint="eastAsia" w:ascii="宋体" w:hAnsi="宋体"/>
          <w:szCs w:val="21"/>
        </w:rPr>
        <w:t>关节创伤</w:t>
      </w:r>
      <w:r>
        <w:rPr>
          <w:szCs w:val="21"/>
        </w:rPr>
        <w:t xml:space="preserve">□   </w:t>
      </w:r>
      <w:r>
        <w:rPr>
          <w:rFonts w:hint="eastAsia" w:ascii="宋体" w:hAnsi="宋体"/>
          <w:szCs w:val="21"/>
        </w:rPr>
        <w:t>其他</w:t>
      </w:r>
      <w:r>
        <w:rPr>
          <w:szCs w:val="21"/>
          <w:u w:val="single"/>
        </w:rPr>
        <w:t xml:space="preserve">        </w:t>
      </w:r>
    </w:p>
    <w:p>
      <w:pPr>
        <w:spacing w:before="120" w:after="120" w:line="360" w:lineRule="auto"/>
        <w:rPr>
          <w:szCs w:val="21"/>
        </w:rPr>
      </w:pPr>
      <w:r>
        <w:rPr>
          <w:szCs w:val="21"/>
        </w:rPr>
        <w:t>7</w:t>
      </w:r>
      <w:r>
        <w:rPr>
          <w:rFonts w:hint="eastAsia" w:ascii="宋体" w:hAnsi="宋体"/>
          <w:szCs w:val="21"/>
        </w:rPr>
        <w:t>、抗生素使用史：停用</w:t>
      </w:r>
      <w:r>
        <w:rPr>
          <w:szCs w:val="21"/>
        </w:rPr>
        <w:t>2</w:t>
      </w:r>
      <w:r>
        <w:rPr>
          <w:rFonts w:hint="eastAsia" w:ascii="宋体" w:hAnsi="宋体"/>
          <w:szCs w:val="21"/>
        </w:rPr>
        <w:t>周</w:t>
      </w:r>
      <w:r>
        <w:rPr>
          <w:szCs w:val="21"/>
        </w:rPr>
        <w:t xml:space="preserve">□     </w:t>
      </w:r>
      <w:r>
        <w:rPr>
          <w:rFonts w:hint="eastAsia" w:ascii="宋体" w:hAnsi="宋体"/>
          <w:szCs w:val="21"/>
        </w:rPr>
        <w:t>停用不足</w:t>
      </w:r>
      <w:r>
        <w:rPr>
          <w:szCs w:val="21"/>
        </w:rPr>
        <w:t>2</w:t>
      </w:r>
      <w:r>
        <w:rPr>
          <w:rFonts w:hint="eastAsia" w:ascii="宋体" w:hAnsi="宋体"/>
          <w:szCs w:val="21"/>
        </w:rPr>
        <w:t>周</w:t>
      </w:r>
      <w:r>
        <w:rPr>
          <w:szCs w:val="21"/>
        </w:rPr>
        <w:t>□</w:t>
      </w:r>
    </w:p>
    <w:p>
      <w:pPr>
        <w:spacing w:before="120" w:after="120" w:line="360" w:lineRule="auto"/>
        <w:rPr>
          <w:rFonts w:hint="eastAsia" w:ascii="宋体" w:hAnsi="宋体"/>
          <w:szCs w:val="21"/>
        </w:rPr>
      </w:pPr>
      <w:r>
        <w:rPr>
          <w:szCs w:val="21"/>
        </w:rPr>
        <w:t>8</w:t>
      </w:r>
      <w:r>
        <w:rPr>
          <w:rFonts w:hint="eastAsia" w:ascii="宋体" w:hAnsi="宋体"/>
          <w:szCs w:val="21"/>
        </w:rPr>
        <w:t>、</w:t>
      </w:r>
      <w:r>
        <w:rPr>
          <w:szCs w:val="21"/>
        </w:rPr>
        <w:t>ASA</w:t>
      </w:r>
      <w:r>
        <w:rPr>
          <w:rFonts w:hint="eastAsia" w:ascii="宋体" w:hAnsi="宋体"/>
          <w:szCs w:val="21"/>
        </w:rPr>
        <w:t>评分：</w:t>
      </w:r>
      <w:r>
        <w:rPr>
          <w:szCs w:val="21"/>
          <w:u w:val="single"/>
        </w:rPr>
        <w:t xml:space="preserve">       </w:t>
      </w:r>
      <w:r>
        <w:rPr>
          <w:rFonts w:hint="eastAsia" w:ascii="宋体" w:hAnsi="宋体"/>
          <w:szCs w:val="21"/>
        </w:rPr>
        <w:t>（</w:t>
      </w:r>
      <w:r>
        <w:rPr>
          <w:szCs w:val="21"/>
        </w:rPr>
        <w:t>1</w:t>
      </w:r>
      <w:r>
        <w:rPr>
          <w:rFonts w:hint="eastAsia"/>
          <w:szCs w:val="21"/>
        </w:rPr>
        <w:t>级</w:t>
      </w:r>
      <w:r>
        <w:rPr>
          <w:szCs w:val="21"/>
        </w:rPr>
        <w:t>-5</w:t>
      </w:r>
      <w:r>
        <w:rPr>
          <w:rFonts w:hint="eastAsia"/>
          <w:szCs w:val="21"/>
        </w:rPr>
        <w:t>级</w:t>
      </w:r>
      <w:r>
        <w:rPr>
          <w:rFonts w:hint="eastAsia" w:ascii="宋体" w:hAnsi="宋体"/>
          <w:szCs w:val="21"/>
        </w:rPr>
        <w:t>）</w:t>
      </w:r>
    </w:p>
    <w:p>
      <w:pPr>
        <w:pStyle w:val="23"/>
      </w:pPr>
    </w:p>
    <w:p>
      <w:pPr>
        <w:pStyle w:val="96"/>
      </w:pPr>
    </w:p>
    <w:p>
      <w:pPr>
        <w:pStyle w:val="84"/>
      </w:pPr>
    </w:p>
    <w:p>
      <w:pPr>
        <w:pStyle w:val="82"/>
      </w:pPr>
      <w:r>
        <w:br w:type="textWrapping"/>
      </w:r>
      <w:bookmarkStart w:id="38" w:name="_Toc161609643"/>
      <w:r>
        <w:rPr>
          <w:rFonts w:hint="eastAsia"/>
        </w:rPr>
        <w:t>（资料性附录）</w:t>
      </w:r>
      <w:r>
        <w:br w:type="textWrapping"/>
      </w:r>
      <w:r>
        <w:rPr>
          <w:rFonts w:hint="eastAsia"/>
        </w:rPr>
        <w:t>人工关节感染患者临床资料采集表</w:t>
      </w:r>
      <w:bookmarkEnd w:id="38"/>
    </w:p>
    <w:p>
      <w:pPr>
        <w:pStyle w:val="23"/>
        <w:spacing w:before="120" w:after="120"/>
      </w:pPr>
      <w:r>
        <w:rPr>
          <w:rFonts w:hint="eastAsia"/>
        </w:rPr>
        <w:t xml:space="preserve">姓名：        登记号：        手术日期：        血型：       联系方式：               </w:t>
      </w:r>
    </w:p>
    <w:p>
      <w:pPr>
        <w:pStyle w:val="23"/>
        <w:spacing w:before="120" w:after="120" w:line="276" w:lineRule="auto"/>
        <w:ind w:firstLine="0" w:firstLineChars="0"/>
      </w:pPr>
      <w:r>
        <w:rPr>
          <w:rFonts w:hint="eastAsia"/>
        </w:rPr>
        <w:t>术前</w:t>
      </w:r>
    </w:p>
    <w:p>
      <w:pPr>
        <w:pStyle w:val="23"/>
        <w:spacing w:before="120" w:after="120" w:line="276" w:lineRule="auto"/>
      </w:pPr>
      <w:r>
        <w:rPr>
          <w:rFonts w:hint="eastAsia"/>
        </w:rPr>
        <w:t xml:space="preserve">术前CRP(mg/L)：                                                                                                                     </w:t>
      </w:r>
    </w:p>
    <w:p>
      <w:pPr>
        <w:pStyle w:val="23"/>
        <w:spacing w:before="120" w:after="120" w:line="276" w:lineRule="auto"/>
      </w:pPr>
      <w:r>
        <w:rPr>
          <w:rFonts w:hint="eastAsia"/>
        </w:rPr>
        <w:t xml:space="preserve">术前ESR(mm/h)：                                                                                                                   </w:t>
      </w:r>
    </w:p>
    <w:p>
      <w:pPr>
        <w:pStyle w:val="23"/>
        <w:spacing w:before="120" w:after="120" w:line="276" w:lineRule="auto"/>
      </w:pPr>
      <w:r>
        <w:rPr>
          <w:rFonts w:hint="eastAsia"/>
        </w:rPr>
        <w:t>D-Dimer</w:t>
      </w:r>
      <w:r>
        <w:rPr>
          <w:rFonts w:hint="eastAsia"/>
          <w:lang w:eastAsia="zh-CN"/>
        </w:rPr>
        <w:t>（</w:t>
      </w:r>
      <w:r>
        <w:rPr>
          <w:rFonts w:hint="eastAsia"/>
          <w:lang w:val="en-US" w:eastAsia="zh-CN"/>
        </w:rPr>
        <w:t>ug/ml</w:t>
      </w:r>
      <w:r>
        <w:rPr>
          <w:rFonts w:hint="eastAsia"/>
          <w:lang w:eastAsia="zh-CN"/>
        </w:rPr>
        <w:t>）</w:t>
      </w:r>
      <w:r>
        <w:rPr>
          <w:rFonts w:hint="eastAsia"/>
        </w:rPr>
        <w:t xml:space="preserve">：                                                                                                                        </w:t>
      </w:r>
    </w:p>
    <w:p>
      <w:pPr>
        <w:pStyle w:val="23"/>
        <w:spacing w:before="120" w:after="120" w:line="276" w:lineRule="auto"/>
      </w:pPr>
      <w:r>
        <w:rPr>
          <w:rFonts w:hint="eastAsia"/>
        </w:rPr>
        <w:t xml:space="preserve">白/球比：                                                                                            </w:t>
      </w:r>
    </w:p>
    <w:p>
      <w:pPr>
        <w:pStyle w:val="23"/>
        <w:spacing w:before="120" w:after="120" w:line="276" w:lineRule="auto"/>
      </w:pPr>
      <w:r>
        <w:rPr>
          <w:rFonts w:hint="eastAsia"/>
        </w:rPr>
        <w:t>糖化血红蛋白</w:t>
      </w:r>
      <w:r>
        <w:rPr>
          <w:rFonts w:hint="eastAsia"/>
          <w:lang w:eastAsia="zh-CN"/>
        </w:rPr>
        <w:t>（</w:t>
      </w:r>
      <w:r>
        <w:rPr>
          <w:rFonts w:hint="eastAsia"/>
          <w:lang w:val="en-US" w:eastAsia="zh-CN"/>
        </w:rPr>
        <w:t>%</w:t>
      </w:r>
      <w:r>
        <w:rPr>
          <w:rFonts w:hint="eastAsia"/>
          <w:lang w:eastAsia="zh-CN"/>
        </w:rPr>
        <w:t>）</w:t>
      </w:r>
      <w:r>
        <w:rPr>
          <w:rFonts w:hint="eastAsia"/>
        </w:rPr>
        <w:t xml:space="preserve">：                                                                                         </w:t>
      </w:r>
    </w:p>
    <w:p>
      <w:pPr>
        <w:pStyle w:val="23"/>
        <w:spacing w:before="120" w:after="120" w:line="276" w:lineRule="auto"/>
      </w:pPr>
      <w:r>
        <w:rPr>
          <w:rFonts w:hint="eastAsia"/>
        </w:rPr>
        <w:t xml:space="preserve">血常规：                                                                                                                        </w:t>
      </w:r>
    </w:p>
    <w:p>
      <w:pPr>
        <w:pStyle w:val="23"/>
        <w:spacing w:before="120" w:after="120" w:line="276" w:lineRule="auto"/>
      </w:pPr>
      <w:r>
        <w:rPr>
          <w:rFonts w:hint="eastAsia"/>
        </w:rPr>
        <w:t>关节液成分分析：</w:t>
      </w:r>
    </w:p>
    <w:p>
      <w:pPr>
        <w:pStyle w:val="23"/>
        <w:spacing w:before="120" w:after="120" w:line="276" w:lineRule="auto"/>
      </w:pPr>
      <w:r>
        <w:rPr>
          <w:rFonts w:hint="eastAsia"/>
        </w:rPr>
        <w:t xml:space="preserve">术中冰冻病理高倍镜下中性粒细胞计数：                                                                                                             </w:t>
      </w:r>
    </w:p>
    <w:p>
      <w:pPr>
        <w:pStyle w:val="23"/>
        <w:spacing w:before="120" w:after="120" w:line="276" w:lineRule="auto"/>
      </w:pPr>
      <w:r>
        <w:rPr>
          <w:rFonts w:hint="eastAsia"/>
        </w:rPr>
        <w:t>寻找病原学证据：术中关节液培养、术中超声裂解液沉淀培养、清创后假体周围组织培养                                                             术中假体周围组织培养、二代测序。</w:t>
      </w:r>
    </w:p>
    <w:p>
      <w:pPr>
        <w:pStyle w:val="23"/>
        <w:spacing w:before="120" w:after="120" w:line="276" w:lineRule="auto"/>
      </w:pPr>
      <w:r>
        <w:rPr>
          <w:rFonts w:hint="eastAsia"/>
        </w:rPr>
        <w:t xml:space="preserve">                                                                                                                                      </w:t>
      </w:r>
    </w:p>
    <w:p>
      <w:pPr>
        <w:pStyle w:val="23"/>
        <w:spacing w:before="120" w:after="120" w:line="276" w:lineRule="auto"/>
        <w:ind w:firstLine="0" w:firstLineChars="0"/>
      </w:pPr>
      <w:r>
        <w:rPr>
          <w:rFonts w:hint="eastAsia"/>
        </w:rPr>
        <w:t>术后</w:t>
      </w:r>
    </w:p>
    <w:p>
      <w:pPr>
        <w:pStyle w:val="23"/>
        <w:spacing w:before="120" w:after="120" w:line="276" w:lineRule="auto"/>
      </w:pPr>
      <w:r>
        <w:rPr>
          <w:rFonts w:hint="eastAsia"/>
        </w:rPr>
        <w:t>万古霉素血药浓度</w:t>
      </w:r>
      <w:r>
        <w:rPr>
          <w:rFonts w:hint="eastAsia"/>
          <w:lang w:eastAsia="zh-CN"/>
        </w:rPr>
        <w:t>（</w:t>
      </w:r>
      <w:r>
        <w:rPr>
          <w:rFonts w:hint="eastAsia"/>
          <w:lang w:val="en-US" w:eastAsia="zh-CN"/>
        </w:rPr>
        <w:t>mg/L</w:t>
      </w:r>
      <w:r>
        <w:rPr>
          <w:rFonts w:hint="eastAsia"/>
          <w:lang w:eastAsia="zh-CN"/>
        </w:rPr>
        <w:t>）</w:t>
      </w:r>
      <w:r>
        <w:rPr>
          <w:rFonts w:hint="eastAsia"/>
        </w:rPr>
        <w:t xml:space="preserve">：                                                                                     </w:t>
      </w:r>
    </w:p>
    <w:p>
      <w:pPr>
        <w:pStyle w:val="23"/>
        <w:spacing w:before="120" w:after="120" w:line="276" w:lineRule="auto"/>
      </w:pPr>
      <w:r>
        <w:rPr>
          <w:rFonts w:hint="eastAsia"/>
        </w:rPr>
        <w:t>万古霉素血药浓度</w:t>
      </w:r>
      <w:r>
        <w:rPr>
          <w:rFonts w:hint="eastAsia"/>
          <w:lang w:eastAsia="zh-CN"/>
        </w:rPr>
        <w:t>（</w:t>
      </w:r>
      <w:r>
        <w:rPr>
          <w:rFonts w:hint="eastAsia"/>
          <w:lang w:val="en-US" w:eastAsia="zh-CN"/>
        </w:rPr>
        <w:t>mg/L</w:t>
      </w:r>
      <w:r>
        <w:rPr>
          <w:rFonts w:hint="eastAsia"/>
          <w:lang w:eastAsia="zh-CN"/>
        </w:rPr>
        <w:t>）</w:t>
      </w:r>
      <w:r>
        <w:rPr>
          <w:rFonts w:hint="eastAsia"/>
        </w:rPr>
        <w:t xml:space="preserve">：（关节液）                                                                                                                 </w:t>
      </w:r>
    </w:p>
    <w:p>
      <w:pPr>
        <w:pStyle w:val="23"/>
        <w:spacing w:before="120" w:after="120" w:line="276" w:lineRule="auto"/>
      </w:pPr>
      <w:r>
        <w:rPr>
          <w:rFonts w:hint="eastAsia"/>
        </w:rPr>
        <w:t xml:space="preserve">术后静脉抗生素：                                                                                                                    </w:t>
      </w:r>
    </w:p>
    <w:p>
      <w:pPr>
        <w:pStyle w:val="23"/>
        <w:spacing w:before="120" w:after="120" w:line="276" w:lineRule="auto"/>
      </w:pPr>
      <w:r>
        <w:rPr>
          <w:rFonts w:hint="eastAsia"/>
        </w:rPr>
        <w:t xml:space="preserve">术后关节腔注射抗生素：                                                                                                                   </w:t>
      </w:r>
    </w:p>
    <w:p>
      <w:pPr>
        <w:pStyle w:val="23"/>
        <w:spacing w:before="120" w:after="120" w:line="276" w:lineRule="auto"/>
      </w:pPr>
      <w:r>
        <w:rPr>
          <w:rFonts w:hint="eastAsia"/>
        </w:rPr>
        <w:t xml:space="preserve">口服抗生素：                                                                                                                     </w:t>
      </w:r>
    </w:p>
    <w:p>
      <w:pPr>
        <w:pStyle w:val="23"/>
        <w:spacing w:before="120" w:after="120" w:line="276" w:lineRule="auto"/>
      </w:pPr>
      <w:r>
        <w:rPr>
          <w:rFonts w:hint="eastAsia"/>
        </w:rPr>
        <w:t xml:space="preserve">术后CRP(mg/L)：                                                                                                                    </w:t>
      </w:r>
    </w:p>
    <w:p>
      <w:pPr>
        <w:pStyle w:val="23"/>
        <w:spacing w:before="120" w:after="120" w:line="276" w:lineRule="auto"/>
      </w:pPr>
      <w:r>
        <w:rPr>
          <w:rFonts w:hint="eastAsia"/>
        </w:rPr>
        <w:t xml:space="preserve">术后ESR(mm/h)：                                                                                                                 </w:t>
      </w:r>
    </w:p>
    <w:p>
      <w:pPr>
        <w:pStyle w:val="23"/>
        <w:spacing w:before="120" w:after="120" w:line="276" w:lineRule="auto"/>
      </w:pPr>
      <w:r>
        <w:rPr>
          <w:rFonts w:hint="eastAsia"/>
        </w:rPr>
        <w:t>D-Dimer</w:t>
      </w:r>
      <w:r>
        <w:rPr>
          <w:rFonts w:hint="eastAsia"/>
          <w:lang w:eastAsia="zh-CN"/>
        </w:rPr>
        <w:t>（</w:t>
      </w:r>
      <w:r>
        <w:rPr>
          <w:rFonts w:hint="eastAsia"/>
          <w:lang w:val="en-US" w:eastAsia="zh-CN"/>
        </w:rPr>
        <w:t>ug/ml</w:t>
      </w:r>
      <w:r>
        <w:rPr>
          <w:rFonts w:hint="eastAsia"/>
          <w:lang w:eastAsia="zh-CN"/>
        </w:rPr>
        <w:t>）</w:t>
      </w:r>
      <w:r>
        <w:rPr>
          <w:rFonts w:hint="eastAsia"/>
        </w:rPr>
        <w:t xml:space="preserve">:                                                                                                              </w:t>
      </w:r>
    </w:p>
    <w:p>
      <w:pPr>
        <w:pStyle w:val="23"/>
        <w:spacing w:before="120" w:after="120" w:line="276" w:lineRule="auto"/>
      </w:pPr>
      <w:r>
        <w:rPr>
          <w:rFonts w:hint="eastAsia"/>
        </w:rPr>
        <w:t xml:space="preserve">白/球比：                                                                                                   </w:t>
      </w:r>
    </w:p>
    <w:p>
      <w:pPr>
        <w:pStyle w:val="23"/>
        <w:spacing w:before="120" w:after="120" w:line="276" w:lineRule="auto"/>
        <w:jc w:val="center"/>
        <w:rPr>
          <w:rFonts w:hint="eastAsia" w:ascii="黑体" w:hAnsi="黑体" w:eastAsia="黑体"/>
        </w:rPr>
      </w:pPr>
    </w:p>
    <w:p>
      <w:pPr>
        <w:pStyle w:val="23"/>
        <w:spacing w:before="120" w:after="120" w:line="276" w:lineRule="auto"/>
        <w:jc w:val="center"/>
        <w:rPr>
          <w:rFonts w:hint="eastAsia" w:ascii="黑体" w:hAnsi="黑体" w:eastAsia="黑体"/>
        </w:rPr>
      </w:pPr>
    </w:p>
    <w:p>
      <w:pPr>
        <w:pStyle w:val="23"/>
        <w:spacing w:before="120" w:after="120" w:line="276" w:lineRule="auto"/>
        <w:jc w:val="center"/>
        <w:rPr>
          <w:rFonts w:hint="eastAsia" w:ascii="黑体" w:hAnsi="黑体" w:eastAsia="黑体"/>
        </w:rPr>
      </w:pPr>
      <w:r>
        <w:rPr>
          <w:rFonts w:hint="eastAsia" w:ascii="黑体" w:hAnsi="黑体" w:eastAsia="黑体"/>
        </w:rPr>
        <w:t>人工关节感染患者临床资料采集表</w:t>
      </w:r>
      <w:r>
        <w:rPr>
          <w:rFonts w:hint="eastAsia" w:asciiTheme="minorEastAsia" w:hAnsiTheme="minorEastAsia" w:eastAsiaTheme="minorEastAsia"/>
        </w:rPr>
        <w:t>（续）</w:t>
      </w:r>
    </w:p>
    <w:p>
      <w:pPr>
        <w:pStyle w:val="23"/>
        <w:spacing w:before="120" w:after="120" w:line="276" w:lineRule="auto"/>
      </w:pPr>
      <w:r>
        <w:rPr>
          <w:rFonts w:hint="eastAsia"/>
        </w:rPr>
        <w:t xml:space="preserve">术后培养：                                                                                          </w:t>
      </w:r>
    </w:p>
    <w:p>
      <w:pPr>
        <w:pStyle w:val="23"/>
        <w:spacing w:before="120" w:after="120" w:line="276" w:lineRule="auto"/>
      </w:pPr>
      <w:r>
        <w:rPr>
          <w:rFonts w:hint="eastAsia"/>
        </w:rPr>
        <w:t xml:space="preserve">术后关节液WBC(/μL)：                                                                                           </w:t>
      </w:r>
    </w:p>
    <w:p>
      <w:pPr>
        <w:pStyle w:val="23"/>
        <w:spacing w:before="120" w:after="120" w:line="276" w:lineRule="auto"/>
      </w:pPr>
      <w:r>
        <w:rPr>
          <w:rFonts w:hint="eastAsia"/>
        </w:rPr>
        <w:t xml:space="preserve">术后关节液PMN(%)：                                                                                              </w:t>
      </w:r>
    </w:p>
    <w:p>
      <w:pPr>
        <w:pStyle w:val="23"/>
        <w:spacing w:before="120" w:after="120" w:line="276" w:lineRule="auto"/>
      </w:pPr>
      <w:r>
        <w:rPr>
          <w:rFonts w:hint="eastAsia"/>
        </w:rPr>
        <w:t xml:space="preserve">血常规：                                                                                                     </w:t>
      </w:r>
    </w:p>
    <w:p>
      <w:pPr>
        <w:pStyle w:val="23"/>
        <w:spacing w:before="120" w:after="120" w:line="276" w:lineRule="auto"/>
        <w:ind w:firstLine="0" w:firstLineChars="0"/>
      </w:pPr>
      <w:r>
        <w:rPr>
          <w:rFonts w:hint="eastAsia"/>
        </w:rPr>
        <w:t>随访(1月，3个月，6个月，1年，2年)</w:t>
      </w:r>
    </w:p>
    <w:p>
      <w:pPr>
        <w:pStyle w:val="23"/>
        <w:spacing w:before="120" w:after="120" w:line="276" w:lineRule="auto"/>
      </w:pPr>
      <w:r>
        <w:rPr>
          <w:rFonts w:hint="eastAsia"/>
        </w:rPr>
        <w:t xml:space="preserve">随访CRP(mg/L)：                                                                                                 </w:t>
      </w:r>
    </w:p>
    <w:p>
      <w:pPr>
        <w:pStyle w:val="23"/>
        <w:spacing w:before="120" w:after="120" w:line="276" w:lineRule="auto"/>
      </w:pPr>
      <w:r>
        <w:rPr>
          <w:rFonts w:hint="eastAsia"/>
        </w:rPr>
        <w:t xml:space="preserve">随访ESR(mm/h)：                                                                                                </w:t>
      </w:r>
    </w:p>
    <w:p>
      <w:pPr>
        <w:pStyle w:val="23"/>
        <w:spacing w:before="120" w:after="120" w:line="276" w:lineRule="auto"/>
      </w:pPr>
      <w:r>
        <w:rPr>
          <w:rFonts w:hint="eastAsia"/>
        </w:rPr>
        <w:t>D-Dimer</w:t>
      </w:r>
      <w:r>
        <w:rPr>
          <w:rFonts w:hint="eastAsia"/>
          <w:lang w:eastAsia="zh-CN"/>
        </w:rPr>
        <w:t>（</w:t>
      </w:r>
      <w:r>
        <w:rPr>
          <w:rFonts w:hint="eastAsia"/>
          <w:lang w:val="en-US" w:eastAsia="zh-CN"/>
        </w:rPr>
        <w:t>ug/ml</w:t>
      </w:r>
      <w:r>
        <w:rPr>
          <w:rFonts w:hint="eastAsia"/>
          <w:lang w:eastAsia="zh-CN"/>
        </w:rPr>
        <w:t>）</w:t>
      </w:r>
      <w:r>
        <w:rPr>
          <w:rFonts w:hint="eastAsia"/>
        </w:rPr>
        <w:t xml:space="preserve">:                                                                                                             </w:t>
      </w:r>
    </w:p>
    <w:p>
      <w:pPr>
        <w:pStyle w:val="23"/>
        <w:spacing w:before="120" w:after="120" w:line="276" w:lineRule="auto"/>
      </w:pPr>
      <w:r>
        <w:rPr>
          <w:rFonts w:hint="eastAsia"/>
        </w:rPr>
        <w:t xml:space="preserve">白/球比：                                                                                                       </w:t>
      </w:r>
    </w:p>
    <w:p>
      <w:pPr>
        <w:pStyle w:val="23"/>
      </w:pPr>
      <w:r>
        <w:rPr>
          <w:rFonts w:hint="eastAsia"/>
        </w:rPr>
        <w:t>血常规：</w:t>
      </w:r>
      <w:r>
        <w:t xml:space="preserve">                                                                      </w:t>
      </w:r>
    </w:p>
    <w:p>
      <w:pPr>
        <w:pStyle w:val="96"/>
      </w:pPr>
    </w:p>
    <w:p>
      <w:pPr>
        <w:pStyle w:val="84"/>
      </w:pPr>
    </w:p>
    <w:p>
      <w:pPr>
        <w:pStyle w:val="82"/>
      </w:pPr>
      <w:r>
        <w:br w:type="textWrapping"/>
      </w:r>
      <w:bookmarkStart w:id="39" w:name="_Toc161609644"/>
      <w:r>
        <w:rPr>
          <w:rFonts w:hint="eastAsia"/>
        </w:rPr>
        <w:t>（资料性附录）</w:t>
      </w:r>
      <w:r>
        <w:br w:type="textWrapping"/>
      </w:r>
      <w:r>
        <w:rPr>
          <w:rFonts w:hint="eastAsia"/>
        </w:rPr>
        <w:t>人工关节感染诊断标准</w:t>
      </w:r>
      <w:bookmarkEnd w:id="39"/>
    </w:p>
    <w:p>
      <w:pPr>
        <w:pStyle w:val="23"/>
      </w:pPr>
      <w:r>
        <w:rPr>
          <w:rFonts w:hint="eastAsia"/>
        </w:rPr>
        <w:t>姓名：                        登记号：                    评估结果：</w:t>
      </w:r>
    </w:p>
    <w:p>
      <w:pPr>
        <w:pStyle w:val="23"/>
      </w:pPr>
      <w:r>
        <w:drawing>
          <wp:inline distT="0" distB="0" distL="0" distR="0">
            <wp:extent cx="5728970" cy="3489960"/>
            <wp:effectExtent l="0" t="0" r="5080" b="0"/>
            <wp:docPr id="1" name="图片 1" descr="637d1ee6d2363e6a300aa1603136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37d1ee6d2363e6a300aa1603136234"/>
                    <pic:cNvPicPr>
                      <a:picLocks noChangeAspect="1"/>
                    </pic:cNvPicPr>
                  </pic:nvPicPr>
                  <pic:blipFill>
                    <a:blip r:embed="rId6"/>
                    <a:stretch>
                      <a:fillRect/>
                    </a:stretch>
                  </pic:blipFill>
                  <pic:spPr>
                    <a:xfrm>
                      <a:off x="0" y="0"/>
                      <a:ext cx="5728970" cy="3489960"/>
                    </a:xfrm>
                    <a:prstGeom prst="rect">
                      <a:avLst/>
                    </a:prstGeom>
                  </pic:spPr>
                </pic:pic>
              </a:graphicData>
            </a:graphic>
          </wp:inline>
        </w:drawing>
      </w:r>
    </w:p>
    <w:p>
      <w:pPr>
        <w:pStyle w:val="96"/>
      </w:pPr>
    </w:p>
    <w:p>
      <w:pPr>
        <w:pStyle w:val="84"/>
      </w:pPr>
    </w:p>
    <w:p>
      <w:pPr>
        <w:pStyle w:val="82"/>
      </w:pPr>
      <w:r>
        <w:br w:type="textWrapping"/>
      </w:r>
      <w:bookmarkStart w:id="40" w:name="_Toc161609645"/>
      <w:r>
        <w:rPr>
          <w:rFonts w:hint="eastAsia"/>
        </w:rPr>
        <w:t>（资料性附录）</w:t>
      </w:r>
      <w:r>
        <w:br w:type="textWrapping"/>
      </w:r>
      <w:r>
        <w:rPr>
          <w:rFonts w:hint="eastAsia"/>
        </w:rPr>
        <w:t>膝关节功能评分表（KSS）</w:t>
      </w:r>
      <w:bookmarkEnd w:id="40"/>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857"/>
        <w:gridCol w:w="916"/>
        <w:gridCol w:w="180"/>
        <w:gridCol w:w="2694"/>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gridSpan w:val="6"/>
            <w:tcBorders>
              <w:top w:val="single" w:color="auto" w:sz="4" w:space="0"/>
              <w:left w:val="single" w:color="auto" w:sz="4" w:space="0"/>
              <w:bottom w:val="single" w:color="auto" w:sz="4" w:space="0"/>
              <w:right w:val="single" w:color="auto" w:sz="4" w:space="0"/>
            </w:tcBorders>
          </w:tcPr>
          <w:p>
            <w:pPr>
              <w:rPr>
                <w:bCs/>
                <w:szCs w:val="21"/>
              </w:rPr>
            </w:pPr>
            <w:r>
              <w:rPr>
                <w:bCs/>
                <w:szCs w:val="21"/>
              </w:rPr>
              <w:t xml:space="preserve">                       </w:t>
            </w:r>
            <w:r>
              <w:rPr>
                <w:rFonts w:hint="eastAsia" w:ascii="宋体" w:hAnsi="宋体"/>
                <w:bCs/>
                <w:szCs w:val="21"/>
              </w:rPr>
              <w:t>疼痛评分（如总分为负数，得分为</w:t>
            </w:r>
            <w:r>
              <w:rPr>
                <w:bCs/>
                <w:szCs w:val="21"/>
              </w:rPr>
              <w:t>0</w:t>
            </w:r>
            <w:r>
              <w:rPr>
                <w:rFonts w:hint="eastAsia" w:ascii="宋体" w:hAnsi="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25" w:type="dxa"/>
            <w:vMerge w:val="restart"/>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疼痛（分）</w:t>
            </w:r>
          </w:p>
        </w:tc>
        <w:tc>
          <w:tcPr>
            <w:tcW w:w="857" w:type="dxa"/>
            <w:vMerge w:val="restart"/>
            <w:tcBorders>
              <w:top w:val="single" w:color="auto" w:sz="4" w:space="0"/>
              <w:left w:val="nil"/>
              <w:bottom w:val="single" w:color="auto" w:sz="4" w:space="0"/>
              <w:right w:val="single" w:color="auto" w:sz="4" w:space="0"/>
            </w:tcBorders>
          </w:tcPr>
          <w:p>
            <w:pPr>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不疼</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偶尔觉轻微疼痛</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上楼时偶尔轻微疼痛</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上楼和走路时偶尔轻微疼痛</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1096" w:type="dxa"/>
            <w:gridSpan w:val="2"/>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中度疼痛</w:t>
            </w:r>
          </w:p>
        </w:tc>
        <w:tc>
          <w:tcPr>
            <w:tcW w:w="2694"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偶尔疼得比较厉害</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nil"/>
              <w:left w:val="nil"/>
              <w:bottom w:val="single" w:color="auto" w:sz="4" w:space="0"/>
              <w:right w:val="single" w:color="auto" w:sz="4" w:space="0"/>
            </w:tcBorders>
            <w:vAlign w:val="center"/>
          </w:tcPr>
          <w:p>
            <w:pPr>
              <w:widowControl/>
              <w:jc w:val="left"/>
              <w:rPr>
                <w:bCs/>
                <w:szCs w:val="21"/>
              </w:rPr>
            </w:pPr>
          </w:p>
        </w:tc>
        <w:tc>
          <w:tcPr>
            <w:tcW w:w="2694"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经常疼得比较厉害</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疼得特别厉害，需要服药</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活动度</w:t>
            </w:r>
          </w:p>
        </w:tc>
        <w:tc>
          <w:tcPr>
            <w:tcW w:w="857" w:type="dxa"/>
            <w:tcBorders>
              <w:top w:val="single" w:color="auto" w:sz="4" w:space="0"/>
              <w:left w:val="nil"/>
              <w:bottom w:val="single" w:color="auto" w:sz="4" w:space="0"/>
              <w:right w:val="single" w:color="auto" w:sz="4" w:space="0"/>
            </w:tcBorders>
          </w:tcPr>
          <w:p>
            <w:pPr>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由屈曲到伸膝</w:t>
            </w:r>
          </w:p>
        </w:tc>
        <w:tc>
          <w:tcPr>
            <w:tcW w:w="1750"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每</w:t>
            </w:r>
            <w:r>
              <w:rPr>
                <w:bCs/>
                <w:szCs w:val="21"/>
              </w:rPr>
              <w:t>5°</w:t>
            </w:r>
            <w:r>
              <w:rPr>
                <w:rFonts w:hint="eastAsia" w:ascii="宋体" w:hAnsi="宋体"/>
                <w:bCs/>
                <w:szCs w:val="21"/>
              </w:rPr>
              <w:t>得</w:t>
            </w:r>
            <w:r>
              <w:rPr>
                <w:bCs/>
                <w:szCs w:val="21"/>
              </w:rPr>
              <w:t>1</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vMerge w:val="restart"/>
            <w:tcBorders>
              <w:top w:val="nil"/>
              <w:left w:val="single" w:color="auto" w:sz="4" w:space="0"/>
              <w:bottom w:val="single" w:color="auto" w:sz="4" w:space="0"/>
              <w:right w:val="single" w:color="auto" w:sz="4" w:space="0"/>
            </w:tcBorders>
          </w:tcPr>
          <w:p>
            <w:pPr>
              <w:rPr>
                <w:rFonts w:hint="eastAsia" w:ascii="宋体" w:hAnsi="宋体"/>
                <w:bCs/>
                <w:szCs w:val="21"/>
              </w:rPr>
            </w:pPr>
            <w:r>
              <w:rPr>
                <w:rFonts w:hint="eastAsia" w:ascii="宋体" w:hAnsi="宋体"/>
                <w:bCs/>
                <w:szCs w:val="21"/>
              </w:rPr>
              <w:t>稳定性（在任何位置上的最大活动度）</w:t>
            </w:r>
          </w:p>
        </w:tc>
        <w:tc>
          <w:tcPr>
            <w:tcW w:w="857" w:type="dxa"/>
            <w:vMerge w:val="restart"/>
            <w:tcBorders>
              <w:top w:val="nil"/>
              <w:left w:val="nil"/>
              <w:bottom w:val="single" w:color="auto" w:sz="4" w:space="0"/>
              <w:right w:val="single" w:color="auto" w:sz="4" w:space="0"/>
            </w:tcBorders>
          </w:tcPr>
          <w:p>
            <w:pPr>
              <w:rPr>
                <w:bCs/>
                <w:szCs w:val="21"/>
              </w:rPr>
            </w:pPr>
          </w:p>
        </w:tc>
        <w:tc>
          <w:tcPr>
            <w:tcW w:w="916"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前后侧（</w:t>
            </w:r>
            <w:r>
              <w:rPr>
                <w:bCs/>
                <w:szCs w:val="21"/>
              </w:rPr>
              <w:t>10</w:t>
            </w:r>
            <w:r>
              <w:rPr>
                <w:rFonts w:hint="eastAsia" w:ascii="宋体" w:hAnsi="宋体"/>
                <w:bCs/>
                <w:szCs w:val="21"/>
              </w:rPr>
              <w:t>）</w:t>
            </w: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&lt;5mm</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5mm</w:t>
            </w:r>
            <w:r>
              <w:rPr>
                <w:rFonts w:hint="eastAsia" w:ascii="宋体" w:hAnsi="宋体"/>
                <w:bCs/>
                <w:szCs w:val="21"/>
              </w:rPr>
              <w:t>～</w:t>
            </w:r>
            <w:r>
              <w:rPr>
                <w:bCs/>
                <w:szCs w:val="21"/>
              </w:rPr>
              <w:t>10mm</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&gt;10mm</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916"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内外侧（</w:t>
            </w:r>
            <w:r>
              <w:rPr>
                <w:bCs/>
                <w:szCs w:val="21"/>
              </w:rPr>
              <w:t>15</w:t>
            </w:r>
            <w:r>
              <w:rPr>
                <w:rFonts w:hint="eastAsia" w:ascii="宋体" w:hAnsi="宋体"/>
                <w:bCs/>
                <w:szCs w:val="21"/>
              </w:rPr>
              <w:t>）</w:t>
            </w: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&lt;5°</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6°</w:t>
            </w:r>
            <w:r>
              <w:rPr>
                <w:rFonts w:hint="eastAsia" w:ascii="宋体" w:hAnsi="宋体"/>
                <w:bCs/>
                <w:szCs w:val="21"/>
              </w:rPr>
              <w:t>～</w:t>
            </w:r>
            <w:r>
              <w:rPr>
                <w:bCs/>
                <w:szCs w:val="21"/>
              </w:rPr>
              <w:t>9°</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10°</w:t>
            </w:r>
            <w:r>
              <w:rPr>
                <w:rFonts w:hint="eastAsia" w:ascii="宋体" w:hAnsi="宋体"/>
                <w:bCs/>
                <w:szCs w:val="21"/>
              </w:rPr>
              <w:t>～</w:t>
            </w:r>
            <w:r>
              <w:rPr>
                <w:bCs/>
                <w:szCs w:val="21"/>
              </w:rPr>
              <w:t>14°</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&gt;15°</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vMerge w:val="restart"/>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减分（分）</w:t>
            </w:r>
          </w:p>
        </w:tc>
        <w:tc>
          <w:tcPr>
            <w:tcW w:w="857" w:type="dxa"/>
            <w:vMerge w:val="restart"/>
            <w:tcBorders>
              <w:top w:val="nil"/>
              <w:left w:val="nil"/>
              <w:bottom w:val="single" w:color="auto" w:sz="4" w:space="0"/>
              <w:right w:val="single" w:color="auto" w:sz="4" w:space="0"/>
            </w:tcBorders>
          </w:tcPr>
          <w:p>
            <w:pPr>
              <w:rPr>
                <w:bCs/>
                <w:szCs w:val="21"/>
              </w:rPr>
            </w:pPr>
          </w:p>
          <w:p>
            <w:pPr>
              <w:rPr>
                <w:bCs/>
                <w:szCs w:val="21"/>
              </w:rPr>
            </w:pPr>
          </w:p>
          <w:p>
            <w:pPr>
              <w:rPr>
                <w:bCs/>
                <w:szCs w:val="21"/>
              </w:rPr>
            </w:pPr>
            <w:r>
              <w:rPr>
                <w:bCs/>
                <w:szCs w:val="21"/>
              </w:rPr>
              <w:t>-50</w:t>
            </w:r>
          </w:p>
        </w:tc>
        <w:tc>
          <w:tcPr>
            <w:tcW w:w="916"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屈曲挛缩（</w:t>
            </w:r>
            <w:r>
              <w:rPr>
                <w:bCs/>
                <w:szCs w:val="21"/>
              </w:rPr>
              <w:t>-15</w:t>
            </w:r>
            <w:r>
              <w:rPr>
                <w:rFonts w:hint="eastAsia" w:ascii="宋体" w:hAnsi="宋体"/>
                <w:bCs/>
                <w:szCs w:val="21"/>
              </w:rPr>
              <w:t>）</w:t>
            </w: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5°</w:t>
            </w:r>
            <w:r>
              <w:rPr>
                <w:rFonts w:hint="eastAsia" w:ascii="宋体" w:hAnsi="宋体"/>
                <w:bCs/>
                <w:szCs w:val="21"/>
              </w:rPr>
              <w:t>～</w:t>
            </w:r>
            <w:r>
              <w:rPr>
                <w:bCs/>
                <w:szCs w:val="21"/>
              </w:rPr>
              <w:t>10°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10°</w:t>
            </w:r>
            <w:r>
              <w:rPr>
                <w:rFonts w:hint="eastAsia" w:ascii="宋体" w:hAnsi="宋体"/>
                <w:bCs/>
                <w:szCs w:val="21"/>
              </w:rPr>
              <w:t>～</w:t>
            </w:r>
            <w:r>
              <w:rPr>
                <w:bCs/>
                <w:szCs w:val="21"/>
              </w:rPr>
              <w:t>15°</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16°</w:t>
            </w:r>
            <w:r>
              <w:rPr>
                <w:rFonts w:hint="eastAsia" w:ascii="宋体" w:hAnsi="宋体"/>
                <w:bCs/>
                <w:szCs w:val="21"/>
              </w:rPr>
              <w:t>～</w:t>
            </w:r>
            <w:r>
              <w:rPr>
                <w:bCs/>
                <w:szCs w:val="21"/>
              </w:rPr>
              <w:t>20°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&gt;20°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916"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伸展缺损（</w:t>
            </w:r>
            <w:r>
              <w:rPr>
                <w:bCs/>
                <w:szCs w:val="21"/>
              </w:rPr>
              <w:t>-15</w:t>
            </w:r>
            <w:r>
              <w:rPr>
                <w:rFonts w:hint="eastAsia" w:ascii="宋体" w:hAnsi="宋体"/>
                <w:bCs/>
                <w:szCs w:val="21"/>
              </w:rPr>
              <w:t>）</w:t>
            </w: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&lt;10°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w:t>
            </w:r>
            <w:r>
              <w:rPr>
                <w:bCs/>
                <w:szCs w:val="21"/>
              </w:rPr>
              <w:t>20°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bCs/>
                <w:szCs w:val="21"/>
              </w:rPr>
              <w:t>&gt;20°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916"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对线（</w:t>
            </w:r>
            <w:r>
              <w:rPr>
                <w:bCs/>
                <w:szCs w:val="21"/>
              </w:rPr>
              <w:t>-15</w:t>
            </w:r>
            <w:r>
              <w:rPr>
                <w:rFonts w:hint="eastAsia" w:ascii="宋体" w:hAnsi="宋体"/>
                <w:bCs/>
                <w:szCs w:val="21"/>
              </w:rPr>
              <w:t>）</w:t>
            </w:r>
          </w:p>
        </w:tc>
        <w:tc>
          <w:tcPr>
            <w:tcW w:w="2874"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外翻</w:t>
            </w:r>
            <w:r>
              <w:rPr>
                <w:bCs/>
                <w:szCs w:val="21"/>
              </w:rPr>
              <w:t>5°</w:t>
            </w:r>
            <w:r>
              <w:rPr>
                <w:rFonts w:hint="eastAsia" w:ascii="宋体" w:hAnsi="宋体"/>
                <w:bCs/>
                <w:szCs w:val="21"/>
              </w:rPr>
              <w:t>～</w:t>
            </w:r>
            <w:r>
              <w:rPr>
                <w:bCs/>
                <w:szCs w:val="21"/>
              </w:rPr>
              <w:t>10°</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内翻</w:t>
            </w:r>
            <w:r>
              <w:rPr>
                <w:bCs/>
                <w:szCs w:val="21"/>
              </w:rPr>
              <w:t>0°</w:t>
            </w:r>
            <w:r>
              <w:rPr>
                <w:rFonts w:hint="eastAsia" w:ascii="宋体" w:hAnsi="宋体"/>
                <w:bCs/>
                <w:szCs w:val="21"/>
              </w:rPr>
              <w:t>～</w:t>
            </w:r>
            <w:r>
              <w:rPr>
                <w:bCs/>
                <w:szCs w:val="21"/>
              </w:rPr>
              <w:t>4°</w:t>
            </w:r>
          </w:p>
        </w:tc>
        <w:tc>
          <w:tcPr>
            <w:tcW w:w="1750"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每度减</w:t>
            </w:r>
            <w:r>
              <w:rPr>
                <w:bCs/>
                <w:szCs w:val="21"/>
              </w:rPr>
              <w:t>3</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外翻</w:t>
            </w:r>
            <w:r>
              <w:rPr>
                <w:bCs/>
                <w:szCs w:val="21"/>
              </w:rPr>
              <w:t>11°</w:t>
            </w:r>
            <w:r>
              <w:rPr>
                <w:rFonts w:hint="eastAsia" w:ascii="宋体" w:hAnsi="宋体"/>
                <w:bCs/>
                <w:szCs w:val="21"/>
              </w:rPr>
              <w:t>～</w:t>
            </w:r>
            <w:r>
              <w:rPr>
                <w:bCs/>
                <w:szCs w:val="21"/>
              </w:rPr>
              <w:t>15°</w:t>
            </w:r>
          </w:p>
        </w:tc>
        <w:tc>
          <w:tcPr>
            <w:tcW w:w="1750"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每度减</w:t>
            </w:r>
            <w:r>
              <w:rPr>
                <w:bCs/>
                <w:szCs w:val="21"/>
              </w:rPr>
              <w:t>3</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2874"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其他</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-20</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522" w:type="dxa"/>
            <w:gridSpan w:val="6"/>
            <w:tcBorders>
              <w:top w:val="single" w:color="auto" w:sz="4" w:space="0"/>
              <w:left w:val="single" w:color="auto" w:sz="4" w:space="0"/>
              <w:bottom w:val="single" w:color="auto" w:sz="4" w:space="0"/>
              <w:right w:val="single" w:color="auto" w:sz="4" w:space="0"/>
            </w:tcBorders>
          </w:tcPr>
          <w:p>
            <w:pPr>
              <w:rPr>
                <w:bCs/>
                <w:szCs w:val="21"/>
              </w:rPr>
            </w:pPr>
            <w:r>
              <w:rPr>
                <w:bCs/>
                <w:szCs w:val="21"/>
              </w:rPr>
              <w:t xml:space="preserve">                         </w:t>
            </w:r>
            <w:r>
              <w:rPr>
                <w:rFonts w:hint="eastAsia" w:ascii="宋体" w:hAnsi="宋体"/>
                <w:bCs/>
                <w:szCs w:val="21"/>
              </w:rPr>
              <w:t>功能评分（总评分为各项之和）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125" w:type="dxa"/>
            <w:vMerge w:val="restart"/>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行走能力</w:t>
            </w:r>
          </w:p>
        </w:tc>
        <w:tc>
          <w:tcPr>
            <w:tcW w:w="857" w:type="dxa"/>
            <w:vMerge w:val="restart"/>
            <w:tcBorders>
              <w:top w:val="single" w:color="auto" w:sz="4" w:space="0"/>
              <w:left w:val="nil"/>
              <w:bottom w:val="single" w:color="auto" w:sz="4" w:space="0"/>
              <w:right w:val="single" w:color="auto" w:sz="4" w:space="0"/>
            </w:tcBorders>
          </w:tcPr>
          <w:p>
            <w:pPr>
              <w:rPr>
                <w:bCs/>
                <w:szCs w:val="21"/>
              </w:rPr>
            </w:pPr>
            <w:r>
              <w:rPr>
                <w:bCs/>
                <w:szCs w:val="21"/>
              </w:rPr>
              <w:t>50</w:t>
            </w:r>
            <w:r>
              <w:rPr>
                <w:rFonts w:hint="eastAsia" w:ascii="宋体" w:hAnsi="宋体"/>
                <w:bCs/>
                <w:szCs w:val="21"/>
              </w:rPr>
              <w:t>分</w:t>
            </w: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无任何限制</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约</w:t>
            </w:r>
            <w:r>
              <w:rPr>
                <w:bCs/>
                <w:szCs w:val="21"/>
              </w:rPr>
              <w:t>1</w:t>
            </w:r>
            <w:r>
              <w:rPr>
                <w:rFonts w:hint="eastAsia" w:ascii="宋体" w:hAnsi="宋体"/>
                <w:bCs/>
                <w:szCs w:val="21"/>
              </w:rPr>
              <w:t>公里以上</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bCs/>
                <w:szCs w:val="21"/>
              </w:rPr>
              <w:t>500</w:t>
            </w:r>
            <w:r>
              <w:rPr>
                <w:rFonts w:hint="eastAsia" w:ascii="宋体" w:hAnsi="宋体"/>
                <w:bCs/>
                <w:szCs w:val="21"/>
              </w:rPr>
              <w:t>米</w:t>
            </w:r>
            <w:r>
              <w:rPr>
                <w:bCs/>
                <w:szCs w:val="21"/>
              </w:rPr>
              <w:t>-1000</w:t>
            </w:r>
            <w:r>
              <w:rPr>
                <w:rFonts w:hint="eastAsia" w:ascii="宋体" w:hAnsi="宋体"/>
                <w:bCs/>
                <w:szCs w:val="21"/>
              </w:rPr>
              <w:t>米</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不到</w:t>
            </w:r>
            <w:r>
              <w:rPr>
                <w:bCs/>
                <w:szCs w:val="21"/>
              </w:rPr>
              <w:t>500</w:t>
            </w:r>
            <w:r>
              <w:rPr>
                <w:rFonts w:hint="eastAsia" w:ascii="宋体" w:hAnsi="宋体"/>
                <w:bCs/>
                <w:szCs w:val="21"/>
              </w:rPr>
              <w:t>米</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仅能在室内活动</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3790" w:type="dxa"/>
            <w:gridSpan w:val="3"/>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不能步行</w:t>
            </w:r>
          </w:p>
        </w:tc>
        <w:tc>
          <w:tcPr>
            <w:tcW w:w="1750" w:type="dxa"/>
            <w:tcBorders>
              <w:top w:val="single" w:color="auto" w:sz="4" w:space="0"/>
              <w:left w:val="nil"/>
              <w:bottom w:val="single" w:color="auto" w:sz="4" w:space="0"/>
              <w:right w:val="single" w:color="auto" w:sz="4" w:space="0"/>
            </w:tcBorders>
          </w:tcPr>
          <w:p>
            <w:pPr>
              <w:rPr>
                <w:bCs/>
                <w:szCs w:val="21"/>
              </w:rPr>
            </w:pPr>
            <w:r>
              <w:rPr>
                <w:bCs/>
                <w:szCs w:val="21"/>
              </w:rPr>
              <w:t>0</w:t>
            </w:r>
          </w:p>
        </w:tc>
      </w:tr>
    </w:tbl>
    <w:p>
      <w:pPr>
        <w:pStyle w:val="23"/>
      </w:pPr>
    </w:p>
    <w:p>
      <w:pPr>
        <w:widowControl/>
        <w:autoSpaceDE w:val="0"/>
        <w:autoSpaceDN w:val="0"/>
        <w:ind w:firstLine="420" w:firstLineChars="200"/>
        <w:jc w:val="center"/>
        <w:rPr>
          <w:rFonts w:hint="eastAsia" w:ascii="黑体" w:hAnsi="黑体" w:eastAsia="黑体"/>
          <w:kern w:val="0"/>
          <w:szCs w:val="21"/>
        </w:rPr>
      </w:pPr>
      <w:r>
        <w:rPr>
          <w:rFonts w:hint="eastAsia" w:ascii="黑体" w:hAnsi="黑体" w:eastAsia="黑体"/>
          <w:kern w:val="0"/>
          <w:szCs w:val="21"/>
        </w:rPr>
        <w:t>膝关节功能评分表（KSS）</w:t>
      </w:r>
      <w:r>
        <w:rPr>
          <w:rFonts w:hint="eastAsia" w:ascii="宋体" w:hAnsi="宋体"/>
          <w:kern w:val="0"/>
          <w:szCs w:val="21"/>
        </w:rPr>
        <w:t>（续）</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857"/>
        <w:gridCol w:w="3790"/>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上下楼</w:t>
            </w: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正常上下楼梯</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正常上楼梯，下楼梯借助扶手</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需借助扶手才能上下楼梯</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借助扶手能上楼梯，但不能独立下楼梯</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完全不能上下楼梯</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减分</w:t>
            </w:r>
          </w:p>
        </w:tc>
        <w:tc>
          <w:tcPr>
            <w:tcW w:w="857" w:type="dxa"/>
            <w:tcBorders>
              <w:top w:val="single" w:color="auto" w:sz="4" w:space="0"/>
              <w:left w:val="single" w:color="auto" w:sz="4" w:space="0"/>
              <w:bottom w:val="single" w:color="auto" w:sz="4" w:space="0"/>
              <w:right w:val="single" w:color="auto" w:sz="4" w:space="0"/>
            </w:tcBorders>
          </w:tcPr>
          <w:p>
            <w:pPr>
              <w:rPr>
                <w:bCs/>
                <w:szCs w:val="21"/>
              </w:rPr>
            </w:pPr>
            <w:r>
              <w:rPr>
                <w:bCs/>
                <w:szCs w:val="21"/>
              </w:rPr>
              <w:t>-20</w:t>
            </w: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用手杖</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用双手杖</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25" w:type="dxa"/>
            <w:tcBorders>
              <w:top w:val="single" w:color="auto" w:sz="4" w:space="0"/>
              <w:left w:val="single" w:color="auto" w:sz="4" w:space="0"/>
              <w:bottom w:val="single" w:color="auto" w:sz="4" w:space="0"/>
              <w:right w:val="single" w:color="auto" w:sz="4" w:space="0"/>
            </w:tcBorders>
          </w:tcPr>
          <w:p>
            <w:pPr>
              <w:rPr>
                <w:bCs/>
                <w:szCs w:val="21"/>
              </w:rPr>
            </w:pPr>
          </w:p>
        </w:tc>
        <w:tc>
          <w:tcPr>
            <w:tcW w:w="857" w:type="dxa"/>
            <w:tcBorders>
              <w:top w:val="single" w:color="auto" w:sz="4" w:space="0"/>
              <w:left w:val="single" w:color="auto" w:sz="4" w:space="0"/>
              <w:bottom w:val="single" w:color="auto" w:sz="4" w:space="0"/>
              <w:right w:val="single" w:color="auto" w:sz="4" w:space="0"/>
            </w:tcBorders>
          </w:tcPr>
          <w:p>
            <w:pPr>
              <w:rPr>
                <w:bCs/>
                <w:szCs w:val="21"/>
              </w:rPr>
            </w:pPr>
          </w:p>
        </w:tc>
        <w:tc>
          <w:tcPr>
            <w:tcW w:w="3790"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需使用腋杖或助行架辅助活动</w:t>
            </w:r>
          </w:p>
        </w:tc>
        <w:tc>
          <w:tcPr>
            <w:tcW w:w="1750" w:type="dxa"/>
            <w:tcBorders>
              <w:top w:val="single" w:color="auto" w:sz="4" w:space="0"/>
              <w:left w:val="single" w:color="auto" w:sz="4" w:space="0"/>
              <w:bottom w:val="single" w:color="auto" w:sz="4" w:space="0"/>
              <w:right w:val="single" w:color="auto" w:sz="4" w:space="0"/>
            </w:tcBorders>
          </w:tcPr>
          <w:p>
            <w:pPr>
              <w:rPr>
                <w:bCs/>
                <w:szCs w:val="21"/>
              </w:rPr>
            </w:pPr>
            <w:r>
              <w:rPr>
                <w:bCs/>
                <w:szCs w:val="21"/>
              </w:rPr>
              <w:t>-20</w:t>
            </w:r>
          </w:p>
        </w:tc>
      </w:tr>
    </w:tbl>
    <w:p>
      <w:pPr>
        <w:pStyle w:val="23"/>
      </w:pPr>
    </w:p>
    <w:p>
      <w:pPr>
        <w:pStyle w:val="96"/>
      </w:pPr>
    </w:p>
    <w:p>
      <w:pPr>
        <w:pStyle w:val="84"/>
      </w:pPr>
    </w:p>
    <w:p>
      <w:pPr>
        <w:pStyle w:val="82"/>
      </w:pPr>
      <w:r>
        <w:br w:type="textWrapping"/>
      </w:r>
      <w:bookmarkStart w:id="41" w:name="_Toc161609646"/>
      <w:r>
        <w:rPr>
          <w:rFonts w:hint="eastAsia"/>
        </w:rPr>
        <w:t>（资料性附录）</w:t>
      </w:r>
      <w:r>
        <w:br w:type="textWrapping"/>
      </w:r>
      <w:r>
        <w:rPr>
          <w:rFonts w:hint="eastAsia"/>
        </w:rPr>
        <w:t>髋关节功能Harris评分</w:t>
      </w:r>
      <w:bookmarkEnd w:id="41"/>
    </w:p>
    <w:tbl>
      <w:tblPr>
        <w:tblStyle w:val="3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
        <w:gridCol w:w="637"/>
        <w:gridCol w:w="6"/>
        <w:gridCol w:w="5995"/>
        <w:gridCol w:w="731"/>
        <w:gridCol w:w="538"/>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5" w:type="dxa"/>
            <w:gridSpan w:val="7"/>
            <w:tcBorders>
              <w:top w:val="single" w:color="auto" w:sz="4" w:space="0"/>
              <w:left w:val="single" w:color="auto" w:sz="4" w:space="0"/>
              <w:bottom w:val="single" w:color="auto" w:sz="4" w:space="0"/>
              <w:right w:val="single" w:color="auto" w:sz="4" w:space="0"/>
            </w:tcBorders>
            <w:shd w:val="clear" w:color="auto" w:fill="E0E0E0"/>
          </w:tcPr>
          <w:p>
            <w:pPr>
              <w:jc w:val="center"/>
              <w:rPr>
                <w:bCs/>
                <w:szCs w:val="21"/>
              </w:rPr>
            </w:pPr>
            <w:r>
              <w:rPr>
                <w:rFonts w:hint="eastAsia" w:ascii="宋体" w:hAnsi="宋体"/>
                <w:bCs/>
                <w:szCs w:val="21"/>
              </w:rPr>
              <w:t>疼</w:t>
            </w:r>
            <w:r>
              <w:rPr>
                <w:bCs/>
                <w:szCs w:val="21"/>
              </w:rPr>
              <w:t xml:space="preserve">    </w:t>
            </w:r>
            <w:r>
              <w:rPr>
                <w:rFonts w:hint="eastAsia" w:ascii="宋体" w:hAnsi="宋体"/>
                <w:bCs/>
                <w:szCs w:val="21"/>
              </w:rPr>
              <w:t>痛</w:t>
            </w:r>
            <w:r>
              <w:rPr>
                <w:bCs/>
                <w:szCs w:val="21"/>
              </w:rPr>
              <w:t xml:space="preserve">    </w:t>
            </w:r>
            <w:r>
              <w:rPr>
                <w:rFonts w:hint="eastAsia" w:ascii="宋体" w:hAnsi="宋体"/>
                <w:bCs/>
                <w:szCs w:val="21"/>
              </w:rPr>
              <w:t>（</w:t>
            </w:r>
            <w:r>
              <w:rPr>
                <w:bCs/>
                <w:szCs w:val="21"/>
              </w:rPr>
              <w:t>44</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无</w:t>
            </w: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无疼痛</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44</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vMerge w:val="restart"/>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轻</w:t>
            </w:r>
          </w:p>
          <w:p>
            <w:pPr>
              <w:rPr>
                <w:bCs/>
                <w:szCs w:val="21"/>
              </w:rPr>
            </w:pPr>
            <w:r>
              <w:rPr>
                <w:rFonts w:hint="eastAsia" w:ascii="宋体" w:hAnsi="宋体"/>
                <w:bCs/>
                <w:szCs w:val="21"/>
              </w:rPr>
              <w:t>微</w:t>
            </w: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偶而疼痛或者意识不到的轻微疼痛，不影响活动</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40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不影响活动，加剧活动后很少引起中等程度的疼痛，可能服用阿司匹林</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30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6" w:type="dxa"/>
            <w:vMerge w:val="restart"/>
            <w:tcBorders>
              <w:top w:val="nil"/>
              <w:left w:val="single" w:color="auto" w:sz="4" w:space="0"/>
              <w:bottom w:val="single" w:color="auto" w:sz="4" w:space="0"/>
              <w:right w:val="single" w:color="auto" w:sz="4" w:space="0"/>
            </w:tcBorders>
          </w:tcPr>
          <w:p>
            <w:pPr>
              <w:spacing w:before="156" w:beforeLines="50"/>
              <w:rPr>
                <w:bCs/>
                <w:szCs w:val="21"/>
              </w:rPr>
            </w:pPr>
            <w:r>
              <w:rPr>
                <w:rFonts w:hint="eastAsia" w:ascii="宋体" w:hAnsi="宋体"/>
                <w:bCs/>
                <w:szCs w:val="21"/>
              </w:rPr>
              <w:t>中</w:t>
            </w:r>
          </w:p>
          <w:p>
            <w:pPr>
              <w:spacing w:before="156" w:beforeLines="50"/>
              <w:rPr>
                <w:bCs/>
                <w:szCs w:val="21"/>
              </w:rPr>
            </w:pPr>
            <w:r>
              <w:rPr>
                <w:rFonts w:hint="eastAsia" w:ascii="宋体" w:hAnsi="宋体"/>
                <w:bCs/>
                <w:szCs w:val="21"/>
              </w:rPr>
              <w:t>度</w:t>
            </w: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疼痛可忍受，活动受到一些限制，偶尔需要比阿司匹林药效更强的止痛药物</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20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经常发生严重疼痛，但能走动，活动严重受限，需要经常服用比阿司匹林药效更强的止痛药物</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10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重</w:t>
            </w:r>
          </w:p>
        </w:tc>
        <w:tc>
          <w:tcPr>
            <w:tcW w:w="7369" w:type="dxa"/>
            <w:gridSpan w:val="4"/>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因严重疼痛而致残，卧床不起</w:t>
            </w:r>
          </w:p>
        </w:tc>
        <w:tc>
          <w:tcPr>
            <w:tcW w:w="538"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5" w:type="dxa"/>
            <w:gridSpan w:val="7"/>
            <w:tcBorders>
              <w:top w:val="single" w:color="auto" w:sz="4" w:space="0"/>
              <w:left w:val="single" w:color="auto" w:sz="4" w:space="0"/>
              <w:bottom w:val="single" w:color="auto" w:sz="4" w:space="0"/>
              <w:right w:val="single" w:color="auto" w:sz="4" w:space="0"/>
            </w:tcBorders>
            <w:shd w:val="clear" w:color="auto" w:fill="E0E0E0"/>
          </w:tcPr>
          <w:p>
            <w:pPr>
              <w:jc w:val="center"/>
              <w:rPr>
                <w:bCs/>
                <w:szCs w:val="21"/>
              </w:rPr>
            </w:pPr>
            <w:r>
              <w:rPr>
                <w:rFonts w:hint="eastAsia" w:ascii="宋体" w:hAnsi="宋体"/>
                <w:bCs/>
                <w:szCs w:val="21"/>
              </w:rPr>
              <w:t>功</w:t>
            </w:r>
            <w:r>
              <w:rPr>
                <w:bCs/>
                <w:szCs w:val="21"/>
              </w:rPr>
              <w:t xml:space="preserve">     </w:t>
            </w:r>
            <w:r>
              <w:rPr>
                <w:rFonts w:hint="eastAsia" w:ascii="宋体" w:hAnsi="宋体"/>
                <w:bCs/>
                <w:szCs w:val="21"/>
              </w:rPr>
              <w:t>能</w:t>
            </w:r>
            <w:r>
              <w:rPr>
                <w:bCs/>
                <w:szCs w:val="21"/>
              </w:rPr>
              <w:t xml:space="preserve">    </w:t>
            </w:r>
            <w:r>
              <w:rPr>
                <w:rFonts w:hint="eastAsia" w:ascii="宋体" w:hAnsi="宋体"/>
                <w:bCs/>
                <w:szCs w:val="21"/>
              </w:rPr>
              <w:t>（</w:t>
            </w:r>
            <w:r>
              <w:rPr>
                <w:bCs/>
                <w:szCs w:val="21"/>
              </w:rPr>
              <w:t>47</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66" w:type="dxa"/>
            <w:vMerge w:val="restart"/>
            <w:tcBorders>
              <w:top w:val="nil"/>
              <w:left w:val="single" w:color="auto" w:sz="4" w:space="0"/>
              <w:bottom w:val="single" w:color="auto" w:sz="4" w:space="0"/>
              <w:right w:val="single" w:color="auto" w:sz="4" w:space="0"/>
            </w:tcBorders>
          </w:tcPr>
          <w:p>
            <w:pPr>
              <w:rPr>
                <w:bCs/>
                <w:szCs w:val="21"/>
              </w:rPr>
            </w:pPr>
          </w:p>
          <w:p>
            <w:pPr>
              <w:rPr>
                <w:bCs/>
                <w:szCs w:val="21"/>
              </w:rPr>
            </w:pPr>
          </w:p>
          <w:p>
            <w:pPr>
              <w:rPr>
                <w:bCs/>
                <w:szCs w:val="21"/>
              </w:rPr>
            </w:pPr>
            <w:r>
              <w:rPr>
                <w:rFonts w:hint="eastAsia" w:ascii="宋体" w:hAnsi="宋体"/>
                <w:bCs/>
                <w:szCs w:val="21"/>
              </w:rPr>
              <w:t>日</w:t>
            </w:r>
          </w:p>
          <w:p>
            <w:pPr>
              <w:rPr>
                <w:bCs/>
                <w:szCs w:val="21"/>
              </w:rPr>
            </w:pPr>
          </w:p>
          <w:p>
            <w:pPr>
              <w:rPr>
                <w:bCs/>
                <w:szCs w:val="21"/>
              </w:rPr>
            </w:pPr>
            <w:r>
              <w:rPr>
                <w:rFonts w:hint="eastAsia" w:ascii="宋体" w:hAnsi="宋体"/>
                <w:bCs/>
                <w:szCs w:val="21"/>
              </w:rPr>
              <w:t>常</w:t>
            </w:r>
          </w:p>
          <w:p>
            <w:pPr>
              <w:rPr>
                <w:bCs/>
                <w:szCs w:val="21"/>
              </w:rPr>
            </w:pPr>
          </w:p>
          <w:p>
            <w:pPr>
              <w:rPr>
                <w:bCs/>
                <w:szCs w:val="21"/>
              </w:rPr>
            </w:pPr>
            <w:r>
              <w:rPr>
                <w:rFonts w:hint="eastAsia" w:ascii="宋体" w:hAnsi="宋体"/>
                <w:bCs/>
                <w:szCs w:val="21"/>
              </w:rPr>
              <w:t>活</w:t>
            </w:r>
          </w:p>
          <w:p>
            <w:pPr>
              <w:rPr>
                <w:bCs/>
                <w:szCs w:val="21"/>
              </w:rPr>
            </w:pPr>
          </w:p>
          <w:p>
            <w:pPr>
              <w:rPr>
                <w:bCs/>
                <w:szCs w:val="21"/>
              </w:rPr>
            </w:pPr>
            <w:r>
              <w:rPr>
                <w:rFonts w:hint="eastAsia" w:ascii="宋体" w:hAnsi="宋体"/>
                <w:bCs/>
                <w:szCs w:val="21"/>
              </w:rPr>
              <w:t>动</w:t>
            </w:r>
          </w:p>
        </w:tc>
        <w:tc>
          <w:tcPr>
            <w:tcW w:w="643" w:type="dxa"/>
            <w:gridSpan w:val="2"/>
            <w:vMerge w:val="restart"/>
            <w:tcBorders>
              <w:top w:val="single" w:color="auto" w:sz="4" w:space="0"/>
              <w:left w:val="nil"/>
              <w:bottom w:val="single" w:color="auto" w:sz="4" w:space="0"/>
              <w:right w:val="single" w:color="auto" w:sz="4" w:space="0"/>
            </w:tcBorders>
          </w:tcPr>
          <w:p>
            <w:pPr>
              <w:rPr>
                <w:bCs/>
                <w:szCs w:val="21"/>
              </w:rPr>
            </w:pPr>
          </w:p>
          <w:p>
            <w:pPr>
              <w:rPr>
                <w:bCs/>
                <w:szCs w:val="21"/>
              </w:rPr>
            </w:pPr>
            <w:r>
              <w:rPr>
                <w:rFonts w:hint="eastAsia" w:ascii="宋体" w:hAnsi="宋体"/>
                <w:bCs/>
                <w:szCs w:val="21"/>
              </w:rPr>
              <w:t>上</w:t>
            </w:r>
            <w:r>
              <w:rPr>
                <w:bCs/>
                <w:szCs w:val="21"/>
              </w:rPr>
              <w:t xml:space="preserve"> </w:t>
            </w:r>
          </w:p>
          <w:p>
            <w:pPr>
              <w:rPr>
                <w:rFonts w:hint="eastAsia" w:ascii="宋体" w:hAnsi="宋体"/>
                <w:bCs/>
                <w:szCs w:val="21"/>
              </w:rPr>
            </w:pPr>
          </w:p>
          <w:p>
            <w:pPr>
              <w:rPr>
                <w:bCs/>
                <w:szCs w:val="21"/>
              </w:rPr>
            </w:pPr>
            <w:r>
              <w:rPr>
                <w:rFonts w:hint="eastAsia" w:ascii="宋体" w:hAnsi="宋体"/>
                <w:bCs/>
                <w:szCs w:val="21"/>
              </w:rPr>
              <w:t>楼</w:t>
            </w: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不需借助扶手</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4</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需借助扶手</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2</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其他方式上楼</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single" w:color="auto" w:sz="4" w:space="0"/>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不能上楼</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643"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转移</w:t>
            </w: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可以乘坐公共交通工具</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643" w:type="dxa"/>
            <w:gridSpan w:val="2"/>
            <w:vMerge w:val="restart"/>
            <w:tcBorders>
              <w:top w:val="nil"/>
              <w:left w:val="nil"/>
              <w:bottom w:val="single" w:color="auto" w:sz="4" w:space="0"/>
              <w:right w:val="single" w:color="auto" w:sz="4" w:space="0"/>
            </w:tcBorders>
          </w:tcPr>
          <w:p>
            <w:pPr>
              <w:rPr>
                <w:bCs/>
                <w:szCs w:val="21"/>
              </w:rPr>
            </w:pPr>
          </w:p>
          <w:p>
            <w:pPr>
              <w:rPr>
                <w:bCs/>
                <w:szCs w:val="21"/>
              </w:rPr>
            </w:pPr>
            <w:r>
              <w:rPr>
                <w:rFonts w:hint="eastAsia" w:ascii="宋体" w:hAnsi="宋体"/>
                <w:bCs/>
                <w:szCs w:val="21"/>
              </w:rPr>
              <w:t>坐</w:t>
            </w: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可以舒适地在任何高度的椅子上坐立</w:t>
            </w:r>
            <w:r>
              <w:rPr>
                <w:bCs/>
                <w:szCs w:val="21"/>
              </w:rPr>
              <w:t>1</w:t>
            </w:r>
            <w:r>
              <w:rPr>
                <w:rFonts w:hint="eastAsia" w:ascii="宋体" w:hAnsi="宋体"/>
                <w:bCs/>
                <w:szCs w:val="21"/>
              </w:rPr>
              <w:t>小时以上</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5</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nil"/>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可以舒适地在高位椅子上坐立半小时以上</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3</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nil"/>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不能在任何高度的椅子上坐立</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643" w:type="dxa"/>
            <w:gridSpan w:val="2"/>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穿</w:t>
            </w:r>
          </w:p>
          <w:p>
            <w:pPr>
              <w:rPr>
                <w:bCs/>
                <w:szCs w:val="21"/>
              </w:rPr>
            </w:pPr>
            <w:r>
              <w:rPr>
                <w:rFonts w:hint="eastAsia" w:ascii="宋体" w:hAnsi="宋体"/>
                <w:bCs/>
                <w:szCs w:val="21"/>
              </w:rPr>
              <w:t>鞋</w:t>
            </w:r>
          </w:p>
          <w:p>
            <w:pPr>
              <w:rPr>
                <w:bCs/>
                <w:szCs w:val="21"/>
              </w:rPr>
            </w:pPr>
            <w:r>
              <w:rPr>
                <w:rFonts w:hint="eastAsia" w:ascii="宋体" w:hAnsi="宋体"/>
                <w:bCs/>
                <w:szCs w:val="21"/>
              </w:rPr>
              <w:t>袜</w:t>
            </w: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可轻松完成</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4</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nil"/>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有困难但能完成</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2</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gridSpan w:val="2"/>
            <w:vMerge w:val="continue"/>
            <w:tcBorders>
              <w:top w:val="nil"/>
              <w:left w:val="nil"/>
              <w:bottom w:val="single" w:color="auto" w:sz="4" w:space="0"/>
              <w:right w:val="single" w:color="auto" w:sz="4" w:space="0"/>
            </w:tcBorders>
            <w:vAlign w:val="center"/>
          </w:tcPr>
          <w:p>
            <w:pPr>
              <w:widowControl/>
              <w:jc w:val="left"/>
              <w:rPr>
                <w:bCs/>
                <w:szCs w:val="21"/>
              </w:rPr>
            </w:pPr>
          </w:p>
        </w:tc>
        <w:tc>
          <w:tcPr>
            <w:tcW w:w="5995"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不能完成</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466" w:type="dxa"/>
            <w:vMerge w:val="restart"/>
            <w:tcBorders>
              <w:top w:val="nil"/>
              <w:left w:val="single" w:color="auto" w:sz="4" w:space="0"/>
              <w:bottom w:val="single" w:color="auto" w:sz="4" w:space="0"/>
              <w:right w:val="single" w:color="auto" w:sz="4" w:space="0"/>
            </w:tcBorders>
          </w:tcPr>
          <w:p>
            <w:pPr>
              <w:rPr>
                <w:bCs/>
                <w:szCs w:val="21"/>
              </w:rPr>
            </w:pPr>
          </w:p>
          <w:p>
            <w:pPr>
              <w:rPr>
                <w:bCs/>
                <w:szCs w:val="21"/>
              </w:rPr>
            </w:pPr>
          </w:p>
          <w:p>
            <w:pPr>
              <w:rPr>
                <w:bCs/>
                <w:szCs w:val="21"/>
              </w:rPr>
            </w:pPr>
          </w:p>
          <w:p>
            <w:pPr>
              <w:rPr>
                <w:bCs/>
                <w:szCs w:val="21"/>
              </w:rPr>
            </w:pPr>
          </w:p>
          <w:p>
            <w:pPr>
              <w:rPr>
                <w:bCs/>
                <w:szCs w:val="21"/>
              </w:rPr>
            </w:pPr>
            <w:r>
              <w:rPr>
                <w:rFonts w:hint="eastAsia" w:ascii="宋体" w:hAnsi="宋体"/>
                <w:bCs/>
                <w:szCs w:val="21"/>
              </w:rPr>
              <w:t>步</w:t>
            </w:r>
          </w:p>
          <w:p>
            <w:pPr>
              <w:rPr>
                <w:bCs/>
                <w:szCs w:val="21"/>
              </w:rPr>
            </w:pPr>
          </w:p>
          <w:p>
            <w:pPr>
              <w:rPr>
                <w:bCs/>
                <w:szCs w:val="21"/>
              </w:rPr>
            </w:pPr>
          </w:p>
          <w:p>
            <w:pPr>
              <w:rPr>
                <w:bCs/>
                <w:szCs w:val="21"/>
              </w:rPr>
            </w:pPr>
          </w:p>
          <w:p>
            <w:pPr>
              <w:rPr>
                <w:bCs/>
                <w:szCs w:val="21"/>
              </w:rPr>
            </w:pPr>
          </w:p>
          <w:p>
            <w:pPr>
              <w:rPr>
                <w:bCs/>
                <w:szCs w:val="21"/>
              </w:rPr>
            </w:pPr>
            <w:r>
              <w:rPr>
                <w:rFonts w:hint="eastAsia" w:ascii="宋体" w:hAnsi="宋体"/>
                <w:bCs/>
                <w:szCs w:val="21"/>
              </w:rPr>
              <w:t>态</w:t>
            </w:r>
          </w:p>
        </w:tc>
        <w:tc>
          <w:tcPr>
            <w:tcW w:w="637" w:type="dxa"/>
            <w:vMerge w:val="restart"/>
            <w:tcBorders>
              <w:top w:val="nil"/>
              <w:left w:val="nil"/>
              <w:bottom w:val="single" w:color="auto" w:sz="4" w:space="0"/>
              <w:right w:val="single" w:color="auto" w:sz="4" w:space="0"/>
            </w:tcBorders>
          </w:tcPr>
          <w:p>
            <w:pPr>
              <w:rPr>
                <w:bCs/>
                <w:szCs w:val="21"/>
              </w:rPr>
            </w:pPr>
          </w:p>
          <w:p>
            <w:pPr>
              <w:rPr>
                <w:bCs/>
                <w:szCs w:val="21"/>
              </w:rPr>
            </w:pPr>
            <w:r>
              <w:rPr>
                <w:rFonts w:hint="eastAsia" w:ascii="宋体" w:hAnsi="宋体"/>
                <w:bCs/>
                <w:szCs w:val="21"/>
              </w:rPr>
              <w:t>跛</w:t>
            </w:r>
          </w:p>
          <w:p>
            <w:pPr>
              <w:rPr>
                <w:bCs/>
                <w:szCs w:val="21"/>
              </w:rPr>
            </w:pPr>
            <w:r>
              <w:rPr>
                <w:rFonts w:hint="eastAsia" w:ascii="宋体" w:hAnsi="宋体"/>
                <w:bCs/>
                <w:szCs w:val="21"/>
              </w:rPr>
              <w:t>行</w:t>
            </w:r>
          </w:p>
          <w:p>
            <w:pPr>
              <w:rPr>
                <w:bCs/>
                <w:szCs w:val="21"/>
              </w:rPr>
            </w:pPr>
            <w:r>
              <w:rPr>
                <w:bCs/>
                <w:szCs w:val="21"/>
              </w:rPr>
              <w:t>  </w:t>
            </w: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无</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11</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轻度</w:t>
            </w:r>
            <w:r>
              <w:rPr>
                <w:bCs/>
                <w:szCs w:val="21"/>
              </w:rPr>
              <w:t> </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8</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中度</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5</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重</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637" w:type="dxa"/>
            <w:vMerge w:val="restart"/>
            <w:tcBorders>
              <w:top w:val="nil"/>
              <w:left w:val="nil"/>
              <w:bottom w:val="single" w:color="auto" w:sz="4" w:space="0"/>
              <w:right w:val="single" w:color="auto" w:sz="4" w:space="0"/>
            </w:tcBorders>
          </w:tcPr>
          <w:p>
            <w:pPr>
              <w:rPr>
                <w:bCs/>
                <w:szCs w:val="21"/>
              </w:rPr>
            </w:pPr>
            <w:r>
              <w:rPr>
                <w:bCs/>
                <w:szCs w:val="21"/>
              </w:rPr>
              <w:t> </w:t>
            </w:r>
          </w:p>
          <w:p>
            <w:pPr>
              <w:rPr>
                <w:bCs/>
                <w:szCs w:val="21"/>
              </w:rPr>
            </w:pPr>
            <w:r>
              <w:rPr>
                <w:rFonts w:hint="eastAsia" w:ascii="宋体" w:hAnsi="宋体"/>
                <w:bCs/>
                <w:szCs w:val="21"/>
              </w:rPr>
              <w:t>行</w:t>
            </w:r>
          </w:p>
          <w:p>
            <w:pPr>
              <w:rPr>
                <w:bCs/>
                <w:szCs w:val="21"/>
              </w:rPr>
            </w:pPr>
            <w:r>
              <w:rPr>
                <w:rFonts w:hint="eastAsia" w:ascii="宋体" w:hAnsi="宋体"/>
                <w:bCs/>
                <w:szCs w:val="21"/>
              </w:rPr>
              <w:t>走</w:t>
            </w:r>
          </w:p>
          <w:p>
            <w:pPr>
              <w:rPr>
                <w:bCs/>
                <w:szCs w:val="21"/>
              </w:rPr>
            </w:pPr>
            <w:r>
              <w:rPr>
                <w:rFonts w:hint="eastAsia" w:ascii="宋体" w:hAnsi="宋体"/>
                <w:bCs/>
                <w:szCs w:val="21"/>
              </w:rPr>
              <w:t>支</w:t>
            </w:r>
          </w:p>
          <w:p>
            <w:pPr>
              <w:rPr>
                <w:bCs/>
                <w:szCs w:val="21"/>
              </w:rPr>
            </w:pPr>
            <w:r>
              <w:rPr>
                <w:rFonts w:hint="eastAsia" w:ascii="宋体" w:hAnsi="宋体"/>
                <w:bCs/>
                <w:szCs w:val="21"/>
              </w:rPr>
              <w:t>持</w:t>
            </w:r>
          </w:p>
          <w:p>
            <w:pPr>
              <w:rPr>
                <w:bCs/>
                <w:szCs w:val="21"/>
              </w:rPr>
            </w:pPr>
            <w:r>
              <w:rPr>
                <w:bCs/>
                <w:szCs w:val="21"/>
              </w:rPr>
              <w:t> </w:t>
            </w: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不需要</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11</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长途行走时需要手杖</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7</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大多数行走时需手杖</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5</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需单拐</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3</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双手杖</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2</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双拐</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不能行走</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637" w:type="dxa"/>
            <w:vMerge w:val="restart"/>
            <w:tcBorders>
              <w:top w:val="nil"/>
              <w:left w:val="nil"/>
              <w:bottom w:val="single" w:color="auto" w:sz="4" w:space="0"/>
              <w:right w:val="single" w:color="auto" w:sz="4" w:space="0"/>
            </w:tcBorders>
          </w:tcPr>
          <w:p>
            <w:pPr>
              <w:rPr>
                <w:bCs/>
                <w:szCs w:val="21"/>
              </w:rPr>
            </w:pPr>
            <w:r>
              <w:rPr>
                <w:rFonts w:hint="eastAsia" w:ascii="宋体" w:hAnsi="宋体"/>
                <w:bCs/>
                <w:szCs w:val="21"/>
              </w:rPr>
              <w:t>行</w:t>
            </w:r>
          </w:p>
          <w:p>
            <w:pPr>
              <w:rPr>
                <w:bCs/>
                <w:szCs w:val="21"/>
              </w:rPr>
            </w:pPr>
            <w:r>
              <w:rPr>
                <w:rFonts w:hint="eastAsia" w:ascii="宋体" w:hAnsi="宋体"/>
                <w:bCs/>
                <w:szCs w:val="21"/>
              </w:rPr>
              <w:t>走</w:t>
            </w:r>
          </w:p>
          <w:p>
            <w:pPr>
              <w:rPr>
                <w:bCs/>
                <w:szCs w:val="21"/>
              </w:rPr>
            </w:pPr>
            <w:r>
              <w:rPr>
                <w:rFonts w:hint="eastAsia" w:ascii="宋体" w:hAnsi="宋体"/>
                <w:bCs/>
                <w:szCs w:val="21"/>
              </w:rPr>
              <w:t>距离</w:t>
            </w:r>
            <w:r>
              <w:rPr>
                <w:bCs/>
                <w:szCs w:val="21"/>
              </w:rPr>
              <w:t> </w:t>
            </w: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无限制</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11</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bCs/>
                <w:szCs w:val="21"/>
              </w:rPr>
              <w:t xml:space="preserve">6 </w:t>
            </w:r>
            <w:r>
              <w:rPr>
                <w:rFonts w:hint="eastAsia" w:ascii="宋体" w:hAnsi="宋体"/>
                <w:bCs/>
                <w:szCs w:val="21"/>
              </w:rPr>
              <w:t>个街区，约</w:t>
            </w:r>
            <w:r>
              <w:rPr>
                <w:bCs/>
                <w:szCs w:val="21"/>
              </w:rPr>
              <w:t>600m</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8  </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bCs/>
                <w:szCs w:val="21"/>
              </w:rPr>
              <w:t>2-3</w:t>
            </w:r>
            <w:r>
              <w:rPr>
                <w:rFonts w:hint="eastAsia" w:ascii="宋体" w:hAnsi="宋体"/>
                <w:bCs/>
                <w:szCs w:val="21"/>
              </w:rPr>
              <w:t>街区，约</w:t>
            </w:r>
            <w:r>
              <w:rPr>
                <w:bCs/>
                <w:szCs w:val="21"/>
              </w:rPr>
              <w:t>300m</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5</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只能在室内活动</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2</w:t>
            </w:r>
          </w:p>
        </w:tc>
        <w:tc>
          <w:tcPr>
            <w:tcW w:w="538"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widowControl/>
              <w:jc w:val="left"/>
              <w:rPr>
                <w:bCs/>
                <w:szCs w:val="21"/>
              </w:rPr>
            </w:pPr>
          </w:p>
        </w:tc>
        <w:tc>
          <w:tcPr>
            <w:tcW w:w="0" w:type="auto"/>
            <w:vMerge w:val="continue"/>
            <w:tcBorders>
              <w:top w:val="nil"/>
              <w:left w:val="nil"/>
              <w:bottom w:val="single" w:color="auto" w:sz="4" w:space="0"/>
              <w:right w:val="single" w:color="auto" w:sz="4" w:space="0"/>
            </w:tcBorders>
            <w:vAlign w:val="center"/>
          </w:tcPr>
          <w:p>
            <w:pPr>
              <w:widowControl/>
              <w:jc w:val="left"/>
              <w:rPr>
                <w:bCs/>
                <w:szCs w:val="21"/>
              </w:rPr>
            </w:pPr>
          </w:p>
        </w:tc>
        <w:tc>
          <w:tcPr>
            <w:tcW w:w="6001" w:type="dxa"/>
            <w:gridSpan w:val="2"/>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只能在床上活动</w:t>
            </w:r>
          </w:p>
        </w:tc>
        <w:tc>
          <w:tcPr>
            <w:tcW w:w="731"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538"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bl>
    <w:p>
      <w:pPr>
        <w:widowControl/>
        <w:autoSpaceDE w:val="0"/>
        <w:autoSpaceDN w:val="0"/>
        <w:ind w:firstLine="420" w:firstLineChars="200"/>
        <w:jc w:val="center"/>
        <w:rPr>
          <w:rFonts w:hint="eastAsia" w:ascii="黑体" w:hAnsi="黑体" w:eastAsia="黑体"/>
          <w:kern w:val="0"/>
          <w:szCs w:val="21"/>
        </w:rPr>
      </w:pPr>
      <w:r>
        <w:rPr>
          <w:rFonts w:hint="eastAsia" w:ascii="黑体" w:hAnsi="黑体" w:eastAsia="黑体"/>
          <w:kern w:val="0"/>
          <w:szCs w:val="21"/>
        </w:rPr>
        <w:t>髋关节功能Harris评分</w:t>
      </w:r>
      <w:r>
        <w:rPr>
          <w:rFonts w:hint="eastAsia" w:ascii="宋体" w:hAnsi="宋体"/>
          <w:kern w:val="0"/>
          <w:szCs w:val="21"/>
        </w:rPr>
        <w:t>（续）</w:t>
      </w:r>
    </w:p>
    <w:tbl>
      <w:tblPr>
        <w:tblStyle w:val="3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559"/>
        <w:gridCol w:w="4866"/>
        <w:gridCol w:w="1266"/>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5" w:type="dxa"/>
            <w:gridSpan w:val="5"/>
            <w:tcBorders>
              <w:top w:val="single" w:color="auto" w:sz="4" w:space="0"/>
              <w:left w:val="single" w:color="auto" w:sz="4" w:space="0"/>
              <w:bottom w:val="single" w:color="auto" w:sz="4" w:space="0"/>
              <w:right w:val="single" w:color="auto" w:sz="4" w:space="0"/>
            </w:tcBorders>
            <w:shd w:val="clear" w:color="auto" w:fill="E6E6E6"/>
          </w:tcPr>
          <w:p>
            <w:pPr>
              <w:jc w:val="center"/>
              <w:rPr>
                <w:bCs/>
                <w:szCs w:val="21"/>
              </w:rPr>
            </w:pPr>
            <w:r>
              <w:rPr>
                <w:rFonts w:hint="eastAsia" w:ascii="宋体" w:hAnsi="宋体"/>
                <w:bCs/>
                <w:szCs w:val="21"/>
              </w:rPr>
              <w:t>关</w:t>
            </w:r>
            <w:r>
              <w:rPr>
                <w:bCs/>
                <w:szCs w:val="21"/>
              </w:rPr>
              <w:t xml:space="preserve"> </w:t>
            </w:r>
            <w:r>
              <w:rPr>
                <w:rFonts w:hint="eastAsia" w:ascii="宋体" w:hAnsi="宋体"/>
                <w:bCs/>
                <w:szCs w:val="21"/>
              </w:rPr>
              <w:t>节</w:t>
            </w:r>
            <w:r>
              <w:rPr>
                <w:bCs/>
                <w:szCs w:val="21"/>
              </w:rPr>
              <w:t xml:space="preserve"> </w:t>
            </w:r>
            <w:r>
              <w:rPr>
                <w:rFonts w:hint="eastAsia" w:ascii="宋体" w:hAnsi="宋体"/>
                <w:bCs/>
                <w:szCs w:val="21"/>
              </w:rPr>
              <w:t>活</w:t>
            </w:r>
            <w:r>
              <w:rPr>
                <w:bCs/>
                <w:szCs w:val="21"/>
              </w:rPr>
              <w:t xml:space="preserve"> </w:t>
            </w:r>
            <w:r>
              <w:rPr>
                <w:rFonts w:hint="eastAsia" w:ascii="宋体" w:hAnsi="宋体"/>
                <w:bCs/>
                <w:szCs w:val="21"/>
              </w:rPr>
              <w:t>动</w:t>
            </w:r>
            <w:r>
              <w:rPr>
                <w:bCs/>
                <w:szCs w:val="21"/>
              </w:rPr>
              <w:t xml:space="preserve"> </w:t>
            </w:r>
            <w:r>
              <w:rPr>
                <w:rFonts w:hint="eastAsia" w:ascii="宋体" w:hAnsi="宋体"/>
                <w:bCs/>
                <w:szCs w:val="21"/>
              </w:rPr>
              <w:t>度</w:t>
            </w:r>
            <w:r>
              <w:rPr>
                <w:bCs/>
                <w:szCs w:val="21"/>
              </w:rPr>
              <w:t xml:space="preserve">   5</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屈</w:t>
            </w: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w:t>
            </w:r>
            <w:r>
              <w:rPr>
                <w:bCs/>
                <w:szCs w:val="21"/>
              </w:rPr>
              <w:t>45°</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)×1.0×0.05</w:t>
            </w:r>
          </w:p>
        </w:tc>
        <w:tc>
          <w:tcPr>
            <w:tcW w:w="1266"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46</w:t>
            </w:r>
            <w:r>
              <w:rPr>
                <w:rFonts w:hint="eastAsia" w:ascii="宋体" w:hAnsi="宋体"/>
                <w:bCs/>
                <w:szCs w:val="21"/>
              </w:rPr>
              <w:t>°～</w:t>
            </w:r>
            <w:r>
              <w:rPr>
                <w:bCs/>
                <w:szCs w:val="21"/>
              </w:rPr>
              <w:t>90°</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)-45°]×0.6+45}×0.05</w:t>
            </w:r>
          </w:p>
        </w:tc>
        <w:tc>
          <w:tcPr>
            <w:tcW w:w="1266"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91</w:t>
            </w:r>
            <w:r>
              <w:rPr>
                <w:rFonts w:hint="eastAsia" w:ascii="宋体" w:hAnsi="宋体"/>
                <w:bCs/>
                <w:szCs w:val="21"/>
              </w:rPr>
              <w:t>°～</w:t>
            </w:r>
            <w:r>
              <w:rPr>
                <w:bCs/>
                <w:szCs w:val="21"/>
              </w:rPr>
              <w:t>110°</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)-90°]×0.3+72} ×0.05</w:t>
            </w:r>
          </w:p>
        </w:tc>
        <w:tc>
          <w:tcPr>
            <w:tcW w:w="1266"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≥111°</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3.9</w:t>
            </w:r>
          </w:p>
        </w:tc>
        <w:tc>
          <w:tcPr>
            <w:tcW w:w="1266" w:type="dxa"/>
            <w:tcBorders>
              <w:top w:val="single" w:color="auto" w:sz="4" w:space="0"/>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伸</w:t>
            </w:r>
          </w:p>
        </w:tc>
        <w:tc>
          <w:tcPr>
            <w:tcW w:w="1559"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任何角度</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82" w:type="dxa"/>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外展</w:t>
            </w: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w:t>
            </w:r>
            <w:r>
              <w:rPr>
                <w:bCs/>
                <w:szCs w:val="21"/>
              </w:rPr>
              <w:t>15°</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)×0.8×0.05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16</w:t>
            </w:r>
            <w:r>
              <w:rPr>
                <w:rFonts w:hint="eastAsia" w:ascii="宋体" w:hAnsi="宋体"/>
                <w:bCs/>
                <w:szCs w:val="21"/>
              </w:rPr>
              <w:t>°～</w:t>
            </w:r>
            <w:r>
              <w:rPr>
                <w:bCs/>
                <w:szCs w:val="21"/>
              </w:rPr>
              <w:t>20°</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)-15°]×0.3+12]}×0.05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21</w:t>
            </w:r>
            <w:r>
              <w:rPr>
                <w:rFonts w:hint="eastAsia" w:ascii="宋体" w:hAnsi="宋体"/>
                <w:bCs/>
                <w:szCs w:val="21"/>
              </w:rPr>
              <w:t>°～</w:t>
            </w:r>
            <w:r>
              <w:rPr>
                <w:bCs/>
                <w:szCs w:val="21"/>
              </w:rPr>
              <w:t>45°</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0.675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内收</w:t>
            </w: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w:t>
            </w:r>
            <w:r>
              <w:rPr>
                <w:bCs/>
                <w:szCs w:val="21"/>
              </w:rPr>
              <w:t>15°</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)×0.2×0.05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≥16°</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0.15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r>
              <w:rPr>
                <w:rFonts w:hint="eastAsia" w:ascii="宋体" w:hAnsi="宋体"/>
                <w:bCs/>
                <w:szCs w:val="21"/>
              </w:rPr>
              <w:t>外旋</w:t>
            </w: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0</w:t>
            </w:r>
            <w:r>
              <w:rPr>
                <w:rFonts w:hint="eastAsia" w:ascii="宋体" w:hAnsi="宋体"/>
                <w:bCs/>
                <w:szCs w:val="21"/>
              </w:rPr>
              <w:t>°～</w:t>
            </w:r>
            <w:r>
              <w:rPr>
                <w:bCs/>
                <w:szCs w:val="21"/>
              </w:rPr>
              <w:t>15°</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    )×0.4×0.05</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nil"/>
              <w:left w:val="single" w:color="auto" w:sz="4" w:space="0"/>
              <w:bottom w:val="single" w:color="auto" w:sz="4" w:space="0"/>
              <w:right w:val="single" w:color="auto" w:sz="4" w:space="0"/>
            </w:tcBorders>
          </w:tcPr>
          <w:p>
            <w:pPr>
              <w:rPr>
                <w:bCs/>
                <w:szCs w:val="21"/>
              </w:rPr>
            </w:pPr>
          </w:p>
        </w:tc>
        <w:tc>
          <w:tcPr>
            <w:tcW w:w="1559" w:type="dxa"/>
            <w:tcBorders>
              <w:top w:val="single" w:color="auto" w:sz="4" w:space="0"/>
              <w:left w:val="nil"/>
              <w:bottom w:val="single" w:color="auto" w:sz="4" w:space="0"/>
              <w:right w:val="single" w:color="auto" w:sz="4" w:space="0"/>
            </w:tcBorders>
          </w:tcPr>
          <w:p>
            <w:pPr>
              <w:rPr>
                <w:bCs/>
                <w:szCs w:val="21"/>
              </w:rPr>
            </w:pPr>
            <w:r>
              <w:rPr>
                <w:bCs/>
                <w:szCs w:val="21"/>
              </w:rPr>
              <w:t>≥16°</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0.3</w:t>
            </w:r>
          </w:p>
        </w:tc>
        <w:tc>
          <w:tcPr>
            <w:tcW w:w="1266" w:type="dxa"/>
            <w:tcBorders>
              <w:top w:val="nil"/>
              <w:left w:val="nil"/>
              <w:bottom w:val="single" w:color="auto" w:sz="4" w:space="0"/>
              <w:right w:val="single" w:color="auto" w:sz="4" w:space="0"/>
            </w:tcBorders>
          </w:tcPr>
          <w:p>
            <w:pPr>
              <w:rPr>
                <w:bCs/>
                <w:szCs w:val="21"/>
              </w:rPr>
            </w:pP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内旋</w:t>
            </w:r>
          </w:p>
        </w:tc>
        <w:tc>
          <w:tcPr>
            <w:tcW w:w="1559" w:type="dxa"/>
            <w:tcBorders>
              <w:top w:val="single" w:color="auto" w:sz="4" w:space="0"/>
              <w:left w:val="nil"/>
              <w:bottom w:val="single" w:color="auto" w:sz="4" w:space="0"/>
              <w:right w:val="single" w:color="auto" w:sz="4" w:space="0"/>
            </w:tcBorders>
          </w:tcPr>
          <w:p>
            <w:pPr>
              <w:rPr>
                <w:bCs/>
                <w:szCs w:val="21"/>
              </w:rPr>
            </w:pPr>
            <w:r>
              <w:rPr>
                <w:rFonts w:hint="eastAsia" w:ascii="宋体" w:hAnsi="宋体"/>
                <w:bCs/>
                <w:szCs w:val="21"/>
              </w:rPr>
              <w:t>任何角度</w:t>
            </w:r>
          </w:p>
        </w:tc>
        <w:tc>
          <w:tcPr>
            <w:tcW w:w="4866"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0</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5" w:type="dxa"/>
            <w:gridSpan w:val="5"/>
            <w:tcBorders>
              <w:top w:val="single" w:color="auto" w:sz="4" w:space="0"/>
              <w:left w:val="single" w:color="auto" w:sz="4" w:space="0"/>
              <w:bottom w:val="single" w:color="auto" w:sz="4" w:space="0"/>
              <w:right w:val="single" w:color="auto" w:sz="4" w:space="0"/>
            </w:tcBorders>
            <w:shd w:val="clear" w:color="auto" w:fill="E6E6E6"/>
          </w:tcPr>
          <w:p>
            <w:pPr>
              <w:jc w:val="center"/>
              <w:rPr>
                <w:bCs/>
                <w:szCs w:val="21"/>
              </w:rPr>
            </w:pPr>
            <w:r>
              <w:rPr>
                <w:rFonts w:hint="eastAsia" w:ascii="宋体" w:hAnsi="宋体"/>
                <w:bCs/>
                <w:szCs w:val="21"/>
              </w:rPr>
              <w:t>肢</w:t>
            </w:r>
            <w:r>
              <w:rPr>
                <w:bCs/>
                <w:szCs w:val="21"/>
              </w:rPr>
              <w:t xml:space="preserve">  </w:t>
            </w:r>
            <w:r>
              <w:rPr>
                <w:rFonts w:hint="eastAsia" w:ascii="宋体" w:hAnsi="宋体"/>
                <w:bCs/>
                <w:szCs w:val="21"/>
              </w:rPr>
              <w:t>体</w:t>
            </w:r>
            <w:r>
              <w:rPr>
                <w:bCs/>
                <w:szCs w:val="21"/>
              </w:rPr>
              <w:t xml:space="preserve">  </w:t>
            </w:r>
            <w:r>
              <w:rPr>
                <w:rFonts w:hint="eastAsia" w:ascii="宋体" w:hAnsi="宋体"/>
                <w:bCs/>
                <w:szCs w:val="21"/>
              </w:rPr>
              <w:t>畸</w:t>
            </w:r>
            <w:r>
              <w:rPr>
                <w:bCs/>
                <w:szCs w:val="21"/>
              </w:rPr>
              <w:t xml:space="preserve">  </w:t>
            </w:r>
            <w:r>
              <w:rPr>
                <w:rFonts w:hint="eastAsia" w:ascii="宋体" w:hAnsi="宋体"/>
                <w:bCs/>
                <w:szCs w:val="21"/>
              </w:rPr>
              <w:t>形</w:t>
            </w:r>
            <w:r>
              <w:rPr>
                <w:bCs/>
                <w:szCs w:val="21"/>
              </w:rPr>
              <w:t xml:space="preserve">   </w:t>
            </w:r>
            <w:r>
              <w:rPr>
                <w:rFonts w:hint="eastAsia" w:ascii="宋体" w:hAnsi="宋体"/>
                <w:bCs/>
                <w:szCs w:val="21"/>
              </w:rPr>
              <w:t>（</w:t>
            </w:r>
            <w:r>
              <w:rPr>
                <w:bCs/>
                <w:szCs w:val="21"/>
              </w:rPr>
              <w:t>4</w:t>
            </w:r>
            <w:r>
              <w:rPr>
                <w:rFonts w:hint="eastAsia" w:ascii="宋体" w:hAnsi="宋体"/>
                <w:bCs/>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7" w:type="dxa"/>
            <w:gridSpan w:val="3"/>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屈曲挛缩＜</w:t>
            </w:r>
            <w:r>
              <w:rPr>
                <w:bCs/>
                <w:szCs w:val="21"/>
              </w:rPr>
              <w:t>30°</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7" w:type="dxa"/>
            <w:gridSpan w:val="3"/>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内收畸形＜</w:t>
            </w:r>
            <w:r>
              <w:rPr>
                <w:bCs/>
                <w:szCs w:val="21"/>
              </w:rPr>
              <w:t>10°</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7" w:type="dxa"/>
            <w:gridSpan w:val="3"/>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内旋畸形＜</w:t>
            </w:r>
            <w:r>
              <w:rPr>
                <w:bCs/>
                <w:szCs w:val="21"/>
              </w:rPr>
              <w:t>10°</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7" w:type="dxa"/>
            <w:gridSpan w:val="3"/>
            <w:tcBorders>
              <w:top w:val="single" w:color="auto" w:sz="4" w:space="0"/>
              <w:left w:val="single" w:color="auto" w:sz="4" w:space="0"/>
              <w:bottom w:val="single" w:color="auto" w:sz="4" w:space="0"/>
              <w:right w:val="single" w:color="auto" w:sz="4" w:space="0"/>
            </w:tcBorders>
          </w:tcPr>
          <w:p>
            <w:pPr>
              <w:rPr>
                <w:bCs/>
                <w:szCs w:val="21"/>
              </w:rPr>
            </w:pPr>
            <w:r>
              <w:rPr>
                <w:rFonts w:hint="eastAsia" w:ascii="宋体" w:hAnsi="宋体"/>
                <w:bCs/>
                <w:szCs w:val="21"/>
              </w:rPr>
              <w:t>肢体不等长＜</w:t>
            </w:r>
            <w:r>
              <w:rPr>
                <w:bCs/>
                <w:szCs w:val="21"/>
              </w:rPr>
              <w:t>3.2cm</w:t>
            </w:r>
          </w:p>
        </w:tc>
        <w:tc>
          <w:tcPr>
            <w:tcW w:w="1266" w:type="dxa"/>
            <w:tcBorders>
              <w:top w:val="single" w:color="auto" w:sz="4" w:space="0"/>
              <w:left w:val="nil"/>
              <w:bottom w:val="single" w:color="auto" w:sz="4" w:space="0"/>
              <w:right w:val="single" w:color="auto" w:sz="4" w:space="0"/>
            </w:tcBorders>
          </w:tcPr>
          <w:p>
            <w:pPr>
              <w:rPr>
                <w:bCs/>
                <w:szCs w:val="21"/>
              </w:rPr>
            </w:pPr>
            <w:r>
              <w:rPr>
                <w:bCs/>
                <w:szCs w:val="21"/>
              </w:rPr>
              <w:t>1</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3" w:type="dxa"/>
            <w:gridSpan w:val="4"/>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ascii="宋体" w:hAnsi="宋体"/>
                <w:bCs/>
                <w:szCs w:val="21"/>
              </w:rPr>
              <w:t>总</w:t>
            </w:r>
            <w:r>
              <w:rPr>
                <w:bCs/>
                <w:szCs w:val="21"/>
              </w:rPr>
              <w:t xml:space="preserve">   </w:t>
            </w:r>
            <w:r>
              <w:rPr>
                <w:rFonts w:hint="eastAsia" w:ascii="宋体" w:hAnsi="宋体"/>
                <w:bCs/>
                <w:szCs w:val="21"/>
              </w:rPr>
              <w:t>分：</w:t>
            </w:r>
          </w:p>
        </w:tc>
        <w:tc>
          <w:tcPr>
            <w:tcW w:w="1062" w:type="dxa"/>
            <w:tcBorders>
              <w:top w:val="single" w:color="auto" w:sz="4" w:space="0"/>
              <w:left w:val="nil"/>
              <w:bottom w:val="single" w:color="auto" w:sz="4" w:space="0"/>
              <w:right w:val="single" w:color="auto" w:sz="4" w:space="0"/>
            </w:tcBorders>
          </w:tcPr>
          <w:p>
            <w:pP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5" w:type="dxa"/>
            <w:gridSpan w:val="5"/>
            <w:tcBorders>
              <w:top w:val="single" w:color="auto" w:sz="4" w:space="0"/>
              <w:left w:val="single" w:color="auto" w:sz="4" w:space="0"/>
              <w:bottom w:val="single" w:color="auto" w:sz="4" w:space="0"/>
              <w:right w:val="single" w:color="auto" w:sz="4" w:space="0"/>
            </w:tcBorders>
          </w:tcPr>
          <w:p>
            <w:pPr>
              <w:rPr>
                <w:bCs/>
                <w:szCs w:val="21"/>
              </w:rPr>
            </w:pPr>
            <w:r>
              <w:rPr>
                <w:rFonts w:hint="eastAsia"/>
                <w:bCs/>
                <w:szCs w:val="21"/>
              </w:rPr>
              <w:t>85</w:t>
            </w:r>
            <w:r>
              <w:rPr>
                <w:rFonts w:hint="eastAsia" w:ascii="宋体" w:hAnsi="宋体"/>
                <w:bCs/>
                <w:szCs w:val="21"/>
              </w:rPr>
              <w:t>分～</w:t>
            </w:r>
            <w:r>
              <w:rPr>
                <w:rFonts w:hint="eastAsia"/>
                <w:bCs/>
                <w:szCs w:val="21"/>
              </w:rPr>
              <w:t>100</w:t>
            </w:r>
            <w:r>
              <w:rPr>
                <w:rFonts w:hint="eastAsia" w:ascii="宋体" w:hAnsi="宋体"/>
                <w:bCs/>
                <w:szCs w:val="21"/>
              </w:rPr>
              <w:t>分 优；</w:t>
            </w:r>
            <w:r>
              <w:rPr>
                <w:rFonts w:hint="eastAsia"/>
                <w:bCs/>
                <w:szCs w:val="21"/>
              </w:rPr>
              <w:t>70</w:t>
            </w:r>
            <w:r>
              <w:rPr>
                <w:rFonts w:hint="eastAsia" w:ascii="宋体" w:hAnsi="宋体"/>
                <w:bCs/>
                <w:szCs w:val="21"/>
              </w:rPr>
              <w:t>分～</w:t>
            </w:r>
            <w:r>
              <w:rPr>
                <w:rFonts w:hint="eastAsia"/>
                <w:bCs/>
                <w:szCs w:val="21"/>
              </w:rPr>
              <w:t>84</w:t>
            </w:r>
            <w:r>
              <w:rPr>
                <w:rFonts w:hint="eastAsia" w:ascii="宋体" w:hAnsi="宋体"/>
                <w:bCs/>
                <w:szCs w:val="21"/>
              </w:rPr>
              <w:t xml:space="preserve">分；良 </w:t>
            </w:r>
            <w:r>
              <w:rPr>
                <w:rFonts w:hint="eastAsia"/>
                <w:bCs/>
                <w:szCs w:val="21"/>
              </w:rPr>
              <w:t>60</w:t>
            </w:r>
            <w:r>
              <w:rPr>
                <w:rFonts w:hint="eastAsia" w:ascii="宋体" w:hAnsi="宋体"/>
                <w:bCs/>
                <w:szCs w:val="21"/>
              </w:rPr>
              <w:t>分～</w:t>
            </w:r>
            <w:r>
              <w:rPr>
                <w:rFonts w:hint="eastAsia"/>
                <w:bCs/>
                <w:szCs w:val="21"/>
              </w:rPr>
              <w:t xml:space="preserve">69 </w:t>
            </w:r>
            <w:r>
              <w:rPr>
                <w:rFonts w:hint="eastAsia" w:ascii="宋体" w:hAnsi="宋体"/>
                <w:bCs/>
                <w:szCs w:val="21"/>
              </w:rPr>
              <w:t>分 可 ；</w:t>
            </w:r>
            <w:r>
              <w:rPr>
                <w:rFonts w:hint="eastAsia"/>
                <w:bCs/>
                <w:szCs w:val="21"/>
              </w:rPr>
              <w:t>&lt;60</w:t>
            </w:r>
            <w:r>
              <w:rPr>
                <w:rFonts w:hint="eastAsia" w:ascii="宋体" w:hAnsi="宋体"/>
                <w:bCs/>
                <w:szCs w:val="21"/>
              </w:rPr>
              <w:t>分 差</w:t>
            </w:r>
          </w:p>
        </w:tc>
      </w:tr>
    </w:tbl>
    <w:p>
      <w:pPr>
        <w:widowControl/>
        <w:autoSpaceDE w:val="0"/>
        <w:autoSpaceDN w:val="0"/>
        <w:ind w:firstLine="420" w:firstLineChars="200"/>
        <w:rPr>
          <w:rFonts w:ascii="宋体"/>
          <w:kern w:val="0"/>
          <w:szCs w:val="21"/>
        </w:rPr>
      </w:pPr>
      <w:r>
        <w:rPr>
          <w:rFonts w:hint="eastAsia" w:ascii="宋体"/>
          <w:kern w:val="0"/>
          <w:szCs w:val="21"/>
        </w:rPr>
        <w:t xml:space="preserve"> </w:t>
      </w:r>
    </w:p>
    <w:p>
      <w:pPr>
        <w:pStyle w:val="23"/>
      </w:pPr>
    </w:p>
    <w:p>
      <w:pPr>
        <w:pStyle w:val="96"/>
      </w:pPr>
    </w:p>
    <w:p>
      <w:pPr>
        <w:pStyle w:val="84"/>
      </w:pPr>
    </w:p>
    <w:p>
      <w:pPr>
        <w:pStyle w:val="82"/>
      </w:pPr>
      <w:r>
        <w:br w:type="textWrapping"/>
      </w:r>
      <w:bookmarkStart w:id="42" w:name="_Toc161609647"/>
      <w:r>
        <w:rPr>
          <w:rFonts w:hint="eastAsia"/>
        </w:rPr>
        <w:t>（资料性附录）</w:t>
      </w:r>
      <w:r>
        <w:br w:type="textWrapping"/>
      </w:r>
      <w:r>
        <w:rPr>
          <w:rFonts w:hint="eastAsia"/>
        </w:rPr>
        <w:t>人工关节感染清除评估标准表</w:t>
      </w:r>
      <w:bookmarkEnd w:id="42"/>
    </w:p>
    <w:tbl>
      <w:tblPr>
        <w:tblStyle w:val="3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vAlign w:val="center"/>
          </w:tcPr>
          <w:p>
            <w:pPr>
              <w:spacing w:line="360" w:lineRule="auto"/>
              <w:rPr>
                <w:b/>
                <w:bCs/>
                <w:color w:val="000000"/>
                <w:sz w:val="28"/>
                <w:szCs w:val="28"/>
              </w:rPr>
            </w:pPr>
            <w:r>
              <w:rPr>
                <w:szCs w:val="21"/>
                <w:shd w:val="clear" w:color="auto" w:fill="FFFFFF"/>
              </w:rPr>
              <w:t xml:space="preserve">A. </w:t>
            </w:r>
            <w:r>
              <w:rPr>
                <w:rFonts w:hint="eastAsia" w:ascii="宋体" w:hAnsi="宋体"/>
                <w:szCs w:val="21"/>
                <w:shd w:val="clear" w:color="auto" w:fill="FFFFFF"/>
              </w:rPr>
              <w:t>感染根除：</w:t>
            </w:r>
          </w:p>
        </w:tc>
        <w:tc>
          <w:tcPr>
            <w:tcW w:w="5245" w:type="dxa"/>
            <w:tcBorders>
              <w:top w:val="single" w:color="auto" w:sz="4" w:space="0"/>
              <w:left w:val="nil"/>
              <w:bottom w:val="single" w:color="auto" w:sz="4" w:space="0"/>
              <w:right w:val="single" w:color="auto" w:sz="4" w:space="0"/>
            </w:tcBorders>
            <w:vAlign w:val="center"/>
          </w:tcPr>
          <w:p>
            <w:pPr>
              <w:spacing w:line="360" w:lineRule="auto"/>
              <w:rPr>
                <w:szCs w:val="21"/>
                <w:shd w:val="clear" w:color="auto" w:fill="FFFFFF"/>
              </w:rPr>
            </w:pPr>
            <w:r>
              <w:rPr>
                <w:rFonts w:hint="eastAsia" w:ascii="宋体" w:hAnsi="宋体"/>
                <w:szCs w:val="21"/>
                <w:shd w:val="clear" w:color="auto" w:fill="FFFFFF"/>
              </w:rPr>
              <w:t>无临床症状（伤口愈合，无瘘管或引流，关节无痛）；</w:t>
            </w:r>
          </w:p>
          <w:p>
            <w:pPr>
              <w:spacing w:line="360" w:lineRule="auto"/>
              <w:rPr>
                <w:szCs w:val="21"/>
                <w:shd w:val="clear" w:color="auto" w:fill="FFFFFF"/>
              </w:rPr>
            </w:pPr>
            <w:r>
              <w:rPr>
                <w:rFonts w:hint="eastAsia" w:ascii="宋体" w:hAnsi="宋体"/>
                <w:szCs w:val="21"/>
                <w:shd w:val="clear" w:color="auto" w:fill="FFFFFF"/>
              </w:rPr>
              <w:t>血清学标志物（包括</w:t>
            </w:r>
            <w:r>
              <w:rPr>
                <w:szCs w:val="21"/>
                <w:shd w:val="clear" w:color="auto" w:fill="FFFFFF"/>
              </w:rPr>
              <w:t>C</w:t>
            </w:r>
            <w:r>
              <w:rPr>
                <w:rFonts w:hint="eastAsia" w:ascii="宋体" w:hAnsi="宋体"/>
                <w:szCs w:val="21"/>
                <w:shd w:val="clear" w:color="auto" w:fill="FFFFFF"/>
              </w:rPr>
              <w:t>反应蛋白、红细胞沉降率、白细胞）恢复到基线（或正常水平）；</w:t>
            </w:r>
          </w:p>
          <w:p>
            <w:pPr>
              <w:spacing w:line="360" w:lineRule="auto"/>
              <w:rPr>
                <w:szCs w:val="21"/>
                <w:shd w:val="clear" w:color="auto" w:fill="FFFFFF"/>
              </w:rPr>
            </w:pPr>
            <w:r>
              <w:rPr>
                <w:rFonts w:hint="eastAsia" w:ascii="宋体" w:hAnsi="宋体"/>
                <w:szCs w:val="21"/>
                <w:shd w:val="clear" w:color="auto" w:fill="FFFFFF"/>
              </w:rPr>
              <w:t>无需抗生素抑制治疗；</w:t>
            </w:r>
          </w:p>
          <w:p>
            <w:pPr>
              <w:spacing w:line="360" w:lineRule="auto"/>
              <w:rPr>
                <w:szCs w:val="21"/>
                <w:shd w:val="clear" w:color="auto" w:fill="FFFFFF"/>
              </w:rPr>
            </w:pPr>
            <w:r>
              <w:rPr>
                <w:rFonts w:hint="eastAsia" w:ascii="宋体" w:hAnsi="宋体"/>
                <w:szCs w:val="21"/>
                <w:shd w:val="clear" w:color="auto" w:fill="FFFFFF"/>
              </w:rPr>
              <w:t>无由同一生物菌株引起的感染复发；</w:t>
            </w:r>
          </w:p>
          <w:p>
            <w:pPr>
              <w:spacing w:line="360" w:lineRule="auto"/>
              <w:rPr>
                <w:szCs w:val="21"/>
                <w:shd w:val="clear" w:color="auto" w:fill="FFFFFF"/>
              </w:rPr>
            </w:pPr>
            <w:r>
              <w:rPr>
                <w:rFonts w:hint="eastAsia" w:ascii="宋体" w:hAnsi="宋体"/>
                <w:szCs w:val="21"/>
                <w:shd w:val="clear" w:color="auto" w:fill="FFFFFF"/>
              </w:rPr>
              <w:t>没有发生（新的）不同微生物的感染；</w:t>
            </w:r>
          </w:p>
          <w:p>
            <w:pPr>
              <w:spacing w:line="360" w:lineRule="auto"/>
              <w:rPr>
                <w:b/>
                <w:bCs/>
                <w:color w:val="000000"/>
                <w:sz w:val="28"/>
                <w:szCs w:val="28"/>
              </w:rPr>
            </w:pPr>
            <w:r>
              <w:rPr>
                <w:rFonts w:hint="eastAsia" w:ascii="宋体" w:hAnsi="宋体"/>
                <w:szCs w:val="21"/>
                <w:shd w:val="clear" w:color="auto" w:fill="FFFFFF"/>
              </w:rPr>
              <w:t>在其他手术部位没有伴随的</w:t>
            </w:r>
            <w:r>
              <w:rPr>
                <w:rFonts w:hint="eastAsia"/>
                <w:szCs w:val="21"/>
                <w:shd w:val="clear" w:color="auto" w:fill="FFFFFF"/>
              </w:rPr>
              <w:t>人工关节感染</w:t>
            </w:r>
            <w:r>
              <w:rPr>
                <w:rFonts w:hint="eastAsia" w:ascii="宋体" w:hAnsi="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vAlign w:val="center"/>
          </w:tcPr>
          <w:p>
            <w:pPr>
              <w:spacing w:line="360" w:lineRule="auto"/>
              <w:rPr>
                <w:b/>
                <w:bCs/>
                <w:color w:val="000000"/>
                <w:sz w:val="28"/>
                <w:szCs w:val="28"/>
              </w:rPr>
            </w:pPr>
            <w:r>
              <w:rPr>
                <w:szCs w:val="21"/>
                <w:shd w:val="clear" w:color="auto" w:fill="FFFFFF"/>
              </w:rPr>
              <w:t>B.</w:t>
            </w:r>
            <w:r>
              <w:rPr>
                <w:rFonts w:hint="eastAsia" w:ascii="宋体" w:hAnsi="宋体"/>
                <w:szCs w:val="21"/>
                <w:shd w:val="clear" w:color="auto" w:fill="FFFFFF"/>
              </w:rPr>
              <w:t>再植手术后无因感染再次手术干预：</w:t>
            </w:r>
          </w:p>
        </w:tc>
        <w:tc>
          <w:tcPr>
            <w:tcW w:w="5245" w:type="dxa"/>
            <w:tcBorders>
              <w:top w:val="single" w:color="auto" w:sz="4" w:space="0"/>
              <w:left w:val="nil"/>
              <w:bottom w:val="single" w:color="auto" w:sz="4" w:space="0"/>
              <w:right w:val="single" w:color="auto" w:sz="4" w:space="0"/>
            </w:tcBorders>
            <w:vAlign w:val="center"/>
          </w:tcPr>
          <w:p>
            <w:pPr>
              <w:spacing w:line="360" w:lineRule="auto"/>
              <w:rPr>
                <w:szCs w:val="21"/>
                <w:shd w:val="clear" w:color="auto" w:fill="FFFFFF"/>
              </w:rPr>
            </w:pPr>
            <w:r>
              <w:rPr>
                <w:rFonts w:hint="eastAsia" w:ascii="宋体" w:hAnsi="宋体"/>
                <w:szCs w:val="21"/>
                <w:shd w:val="clear" w:color="auto" w:fill="FFFFFF"/>
              </w:rPr>
              <w:t>未因感染再次手术；</w:t>
            </w:r>
          </w:p>
          <w:p>
            <w:pPr>
              <w:spacing w:line="360" w:lineRule="auto"/>
              <w:rPr>
                <w:szCs w:val="21"/>
                <w:shd w:val="clear" w:color="auto" w:fill="FFFFFF"/>
              </w:rPr>
            </w:pPr>
            <w:r>
              <w:rPr>
                <w:rFonts w:hint="eastAsia" w:ascii="宋体" w:hAnsi="宋体"/>
                <w:szCs w:val="21"/>
                <w:shd w:val="clear" w:color="auto" w:fill="FFFFFF"/>
              </w:rPr>
              <w:t>在随访期内未因无菌性原因进行翻修（包括无菌性松动、不稳定、僵硬）；</w:t>
            </w:r>
          </w:p>
          <w:p>
            <w:pPr>
              <w:spacing w:line="360" w:lineRule="auto"/>
              <w:rPr>
                <w:b/>
                <w:bCs/>
                <w:color w:val="000000"/>
                <w:sz w:val="28"/>
                <w:szCs w:val="28"/>
              </w:rPr>
            </w:pPr>
            <w:r>
              <w:rPr>
                <w:rFonts w:hint="eastAsia" w:ascii="宋体" w:hAnsi="宋体"/>
                <w:szCs w:val="21"/>
                <w:shd w:val="clear" w:color="auto" w:fill="FFFFFF"/>
              </w:rPr>
              <w:t>再植入术后未进行其他手术治疗（包括：下肢截肢、髋</w:t>
            </w:r>
            <w:r>
              <w:rPr>
                <w:szCs w:val="21"/>
                <w:shd w:val="clear" w:color="auto" w:fill="FFFFFF"/>
              </w:rPr>
              <w:t>/</w:t>
            </w:r>
            <w:r>
              <w:rPr>
                <w:rFonts w:hint="eastAsia" w:ascii="宋体" w:hAnsi="宋体"/>
                <w:szCs w:val="21"/>
                <w:shd w:val="clear" w:color="auto" w:fill="FFFFFF"/>
              </w:rPr>
              <w:t>膝关节固定术、髋关节切除术）。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vAlign w:val="center"/>
          </w:tcPr>
          <w:p>
            <w:pPr>
              <w:spacing w:line="360" w:lineRule="auto"/>
              <w:rPr>
                <w:b/>
                <w:bCs/>
                <w:color w:val="000000"/>
                <w:sz w:val="28"/>
                <w:szCs w:val="28"/>
              </w:rPr>
            </w:pPr>
            <w:r>
              <w:rPr>
                <w:szCs w:val="21"/>
                <w:shd w:val="clear" w:color="auto" w:fill="FFFFFF"/>
              </w:rPr>
              <w:t>C.</w:t>
            </w:r>
            <w:r>
              <w:rPr>
                <w:rFonts w:hint="eastAsia" w:ascii="宋体" w:hAnsi="宋体"/>
                <w:szCs w:val="21"/>
                <w:shd w:val="clear" w:color="auto" w:fill="FFFFFF"/>
              </w:rPr>
              <w:t>不存在</w:t>
            </w:r>
            <w:r>
              <w:rPr>
                <w:rFonts w:hint="eastAsia"/>
                <w:szCs w:val="21"/>
                <w:shd w:val="clear" w:color="auto" w:fill="FFFFFF"/>
              </w:rPr>
              <w:t>人工关节感染</w:t>
            </w:r>
            <w:r>
              <w:rPr>
                <w:rFonts w:hint="eastAsia" w:ascii="宋体" w:hAnsi="宋体"/>
                <w:szCs w:val="21"/>
                <w:shd w:val="clear" w:color="auto" w:fill="FFFFFF"/>
              </w:rPr>
              <w:t>相关疾病导致的死亡：</w:t>
            </w:r>
          </w:p>
        </w:tc>
        <w:tc>
          <w:tcPr>
            <w:tcW w:w="5245" w:type="dxa"/>
            <w:tcBorders>
              <w:top w:val="single" w:color="auto" w:sz="4" w:space="0"/>
              <w:left w:val="nil"/>
              <w:bottom w:val="single" w:color="auto" w:sz="4" w:space="0"/>
              <w:right w:val="single" w:color="auto" w:sz="4" w:space="0"/>
            </w:tcBorders>
            <w:vAlign w:val="center"/>
          </w:tcPr>
          <w:p>
            <w:pPr>
              <w:spacing w:line="360" w:lineRule="auto"/>
              <w:rPr>
                <w:szCs w:val="21"/>
                <w:shd w:val="clear" w:color="auto" w:fill="FFFFFF"/>
              </w:rPr>
            </w:pPr>
            <w:r>
              <w:rPr>
                <w:rFonts w:hint="eastAsia" w:ascii="宋体" w:hAnsi="宋体"/>
                <w:szCs w:val="21"/>
                <w:shd w:val="clear" w:color="auto" w:fill="FFFFFF"/>
              </w:rPr>
              <w:t>无因与</w:t>
            </w:r>
            <w:r>
              <w:rPr>
                <w:rFonts w:hint="eastAsia"/>
                <w:szCs w:val="21"/>
                <w:shd w:val="clear" w:color="auto" w:fill="FFFFFF"/>
              </w:rPr>
              <w:t>人工关节感染</w:t>
            </w:r>
            <w:r>
              <w:rPr>
                <w:rFonts w:hint="eastAsia" w:ascii="宋体" w:hAnsi="宋体"/>
                <w:szCs w:val="21"/>
                <w:shd w:val="clear" w:color="auto" w:fill="FFFFFF"/>
              </w:rPr>
              <w:t>直接相关的疾病（包括败血症、坏死性筋膜炎）导致死亡；</w:t>
            </w:r>
          </w:p>
          <w:p>
            <w:pPr>
              <w:spacing w:line="360" w:lineRule="auto"/>
              <w:rPr>
                <w:szCs w:val="21"/>
                <w:shd w:val="clear" w:color="auto" w:fill="FFFFFF"/>
              </w:rPr>
            </w:pPr>
            <w:r>
              <w:rPr>
                <w:rFonts w:hint="eastAsia" w:ascii="宋体" w:hAnsi="宋体"/>
                <w:szCs w:val="21"/>
                <w:shd w:val="clear" w:color="auto" w:fill="FFFFFF"/>
              </w:rPr>
              <w:t>无因</w:t>
            </w:r>
            <w:r>
              <w:rPr>
                <w:szCs w:val="21"/>
                <w:shd w:val="clear" w:color="auto" w:fill="FFFFFF"/>
              </w:rPr>
              <w:t xml:space="preserve"> </w:t>
            </w:r>
            <w:r>
              <w:rPr>
                <w:rFonts w:hint="eastAsia"/>
                <w:szCs w:val="21"/>
                <w:shd w:val="clear" w:color="auto" w:fill="FFFFFF"/>
              </w:rPr>
              <w:t>人工关节感染</w:t>
            </w:r>
            <w:r>
              <w:rPr>
                <w:szCs w:val="21"/>
                <w:shd w:val="clear" w:color="auto" w:fill="FFFFFF"/>
              </w:rPr>
              <w:t xml:space="preserve"> </w:t>
            </w:r>
            <w:r>
              <w:rPr>
                <w:rFonts w:hint="eastAsia" w:ascii="宋体" w:hAnsi="宋体"/>
                <w:szCs w:val="21"/>
                <w:shd w:val="clear" w:color="auto" w:fill="FFFFFF"/>
              </w:rPr>
              <w:t>治疗住院死亡，原因与人工关节感染无直接关联（包括心肌梗死、中风、肺炎）；</w:t>
            </w:r>
          </w:p>
          <w:p>
            <w:pPr>
              <w:spacing w:line="360" w:lineRule="auto"/>
              <w:rPr>
                <w:szCs w:val="21"/>
                <w:shd w:val="clear" w:color="auto" w:fill="FFFFFF"/>
              </w:rPr>
            </w:pPr>
            <w:r>
              <w:rPr>
                <w:rFonts w:hint="eastAsia"/>
                <w:szCs w:val="21"/>
                <w:shd w:val="clear" w:color="auto" w:fill="FFFFFF"/>
              </w:rPr>
              <w:t>人工关节感染</w:t>
            </w:r>
            <w:r>
              <w:rPr>
                <w:rFonts w:hint="eastAsia" w:ascii="宋体" w:hAnsi="宋体"/>
                <w:szCs w:val="21"/>
                <w:shd w:val="clear" w:color="auto" w:fill="FFFFFF"/>
              </w:rPr>
              <w:t>治疗期间住院时间少于</w:t>
            </w:r>
            <w:r>
              <w:rPr>
                <w:szCs w:val="21"/>
                <w:shd w:val="clear" w:color="auto" w:fill="FFFFFF"/>
              </w:rPr>
              <w:t>3</w:t>
            </w:r>
            <w:r>
              <w:rPr>
                <w:rFonts w:hint="eastAsia" w:ascii="宋体" w:hAnsi="宋体"/>
                <w:szCs w:val="21"/>
                <w:shd w:val="clear" w:color="auto" w:fill="FFFFFF"/>
              </w:rPr>
              <w:t>个月</w:t>
            </w:r>
            <w:r>
              <w:rPr>
                <w:szCs w:val="21"/>
                <w:shd w:val="clear" w:color="auto" w:fill="FFFFFF"/>
              </w:rPr>
              <w:t>/</w:t>
            </w:r>
            <w:r>
              <w:rPr>
                <w:rFonts w:hint="eastAsia" w:ascii="宋体" w:hAnsi="宋体"/>
                <w:szCs w:val="21"/>
                <w:shd w:val="clear" w:color="auto" w:fill="FFFFFF"/>
              </w:rPr>
              <w:t>年；</w:t>
            </w:r>
          </w:p>
          <w:p>
            <w:pPr>
              <w:spacing w:line="360" w:lineRule="auto"/>
              <w:rPr>
                <w:szCs w:val="21"/>
                <w:shd w:val="clear" w:color="auto" w:fill="FFFFFF"/>
              </w:rPr>
            </w:pPr>
            <w:r>
              <w:rPr>
                <w:rFonts w:hint="eastAsia" w:ascii="宋体" w:hAnsi="宋体"/>
                <w:szCs w:val="21"/>
                <w:shd w:val="clear" w:color="auto" w:fill="FFFFFF"/>
              </w:rPr>
              <w:t>无与</w:t>
            </w:r>
            <w:r>
              <w:rPr>
                <w:rFonts w:hint="eastAsia"/>
                <w:szCs w:val="21"/>
                <w:shd w:val="clear" w:color="auto" w:fill="FFFFFF"/>
              </w:rPr>
              <w:t>人工关节感染</w:t>
            </w:r>
            <w:r>
              <w:rPr>
                <w:rFonts w:hint="eastAsia" w:ascii="宋体" w:hAnsi="宋体"/>
                <w:szCs w:val="21"/>
                <w:shd w:val="clear" w:color="auto" w:fill="FFFFFF"/>
              </w:rPr>
              <w:t>静脉或局部抗生素治疗相关的医疗并发症 （包括全身毒性、肾功能不全、外周插入中央导管并发症）。</w:t>
            </w:r>
          </w:p>
        </w:tc>
      </w:tr>
    </w:tbl>
    <w:p>
      <w:pPr>
        <w:pStyle w:val="23"/>
      </w:pPr>
    </w:p>
    <w:p>
      <w:pPr>
        <w:pStyle w:val="127"/>
        <w:framePr w:wrap="around"/>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t>DB ××/T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3"/>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5"/>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1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2"/>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pStyle w:val="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520F62E9"/>
    <w:multiLevelType w:val="multilevel"/>
    <w:tmpl w:val="520F62E9"/>
    <w:lvl w:ilvl="0" w:tentative="0">
      <w:start w:val="1"/>
      <w:numFmt w:val="decimal"/>
      <w:pStyle w:val="126"/>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56"/>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4"/>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60"/>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zF0VZ2pK21WWMxdwKPVeSzXEqwAu4f8apcQebvx1dw+YVpwd7OrK/q0jSMAvZkR7iqLV9AyJU5qBxGg6rugKg==" w:salt="Z5EgCuyD6U2/imtnqSyY8w=="/>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2MmZmMzUwODI5NWViYWE2NjYwZTM3NTJjOWQyYzMifQ=="/>
  </w:docVars>
  <w:rsids>
    <w:rsidRoot w:val="00035925"/>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37BF"/>
    <w:rsid w:val="00074FBE"/>
    <w:rsid w:val="0007762A"/>
    <w:rsid w:val="00081F6E"/>
    <w:rsid w:val="00083A09"/>
    <w:rsid w:val="0009005E"/>
    <w:rsid w:val="000918A9"/>
    <w:rsid w:val="00092001"/>
    <w:rsid w:val="00092618"/>
    <w:rsid w:val="00092857"/>
    <w:rsid w:val="00092BD8"/>
    <w:rsid w:val="000964C7"/>
    <w:rsid w:val="000979D9"/>
    <w:rsid w:val="000A20A9"/>
    <w:rsid w:val="000A48B1"/>
    <w:rsid w:val="000B2F0E"/>
    <w:rsid w:val="000B3143"/>
    <w:rsid w:val="000B405D"/>
    <w:rsid w:val="000C2BE6"/>
    <w:rsid w:val="000C6B05"/>
    <w:rsid w:val="000C6DD6"/>
    <w:rsid w:val="000C73D4"/>
    <w:rsid w:val="000D3D4C"/>
    <w:rsid w:val="000D4F51"/>
    <w:rsid w:val="000D718B"/>
    <w:rsid w:val="000E0C46"/>
    <w:rsid w:val="000E15EE"/>
    <w:rsid w:val="000F030C"/>
    <w:rsid w:val="000F129C"/>
    <w:rsid w:val="000F174F"/>
    <w:rsid w:val="00104E29"/>
    <w:rsid w:val="001056DE"/>
    <w:rsid w:val="001124C0"/>
    <w:rsid w:val="00117A25"/>
    <w:rsid w:val="00121293"/>
    <w:rsid w:val="0013175F"/>
    <w:rsid w:val="0013364D"/>
    <w:rsid w:val="001343BB"/>
    <w:rsid w:val="001512B4"/>
    <w:rsid w:val="001620A5"/>
    <w:rsid w:val="00164E53"/>
    <w:rsid w:val="0016699D"/>
    <w:rsid w:val="001670D9"/>
    <w:rsid w:val="00175159"/>
    <w:rsid w:val="00175AD7"/>
    <w:rsid w:val="00176208"/>
    <w:rsid w:val="0017780C"/>
    <w:rsid w:val="001813B2"/>
    <w:rsid w:val="0018211B"/>
    <w:rsid w:val="00183FE1"/>
    <w:rsid w:val="001840D3"/>
    <w:rsid w:val="00184782"/>
    <w:rsid w:val="00187A8A"/>
    <w:rsid w:val="001900F8"/>
    <w:rsid w:val="00191258"/>
    <w:rsid w:val="00192680"/>
    <w:rsid w:val="00193037"/>
    <w:rsid w:val="00193375"/>
    <w:rsid w:val="00193A2C"/>
    <w:rsid w:val="001A288E"/>
    <w:rsid w:val="001B6DC2"/>
    <w:rsid w:val="001B754B"/>
    <w:rsid w:val="001C149C"/>
    <w:rsid w:val="001C21AC"/>
    <w:rsid w:val="001C3689"/>
    <w:rsid w:val="001C47BA"/>
    <w:rsid w:val="001C59EA"/>
    <w:rsid w:val="001D406C"/>
    <w:rsid w:val="001D41EE"/>
    <w:rsid w:val="001D4BEB"/>
    <w:rsid w:val="001D71E6"/>
    <w:rsid w:val="001E0380"/>
    <w:rsid w:val="001E0B1B"/>
    <w:rsid w:val="001E13B1"/>
    <w:rsid w:val="001E2153"/>
    <w:rsid w:val="001F3A19"/>
    <w:rsid w:val="001F751B"/>
    <w:rsid w:val="002009E4"/>
    <w:rsid w:val="00201053"/>
    <w:rsid w:val="0020251B"/>
    <w:rsid w:val="002073D3"/>
    <w:rsid w:val="00215D48"/>
    <w:rsid w:val="0021624B"/>
    <w:rsid w:val="0022185E"/>
    <w:rsid w:val="00227FED"/>
    <w:rsid w:val="0023030A"/>
    <w:rsid w:val="00230F08"/>
    <w:rsid w:val="00234467"/>
    <w:rsid w:val="00235BE6"/>
    <w:rsid w:val="00237D8D"/>
    <w:rsid w:val="00241DA2"/>
    <w:rsid w:val="00244DDF"/>
    <w:rsid w:val="00247FEE"/>
    <w:rsid w:val="00250E7D"/>
    <w:rsid w:val="002523DB"/>
    <w:rsid w:val="002527DD"/>
    <w:rsid w:val="00252DAA"/>
    <w:rsid w:val="002565D5"/>
    <w:rsid w:val="002622C0"/>
    <w:rsid w:val="002778AE"/>
    <w:rsid w:val="0028269A"/>
    <w:rsid w:val="00283590"/>
    <w:rsid w:val="00286973"/>
    <w:rsid w:val="00287674"/>
    <w:rsid w:val="002938A4"/>
    <w:rsid w:val="00294E70"/>
    <w:rsid w:val="002954B8"/>
    <w:rsid w:val="002967B2"/>
    <w:rsid w:val="002A1924"/>
    <w:rsid w:val="002A7420"/>
    <w:rsid w:val="002A7A7E"/>
    <w:rsid w:val="002B0F12"/>
    <w:rsid w:val="002B1308"/>
    <w:rsid w:val="002B4554"/>
    <w:rsid w:val="002B707C"/>
    <w:rsid w:val="002C72D8"/>
    <w:rsid w:val="002D11FA"/>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13962"/>
    <w:rsid w:val="00320956"/>
    <w:rsid w:val="003234E0"/>
    <w:rsid w:val="00325926"/>
    <w:rsid w:val="00327A8A"/>
    <w:rsid w:val="003339A3"/>
    <w:rsid w:val="00336610"/>
    <w:rsid w:val="00341F5C"/>
    <w:rsid w:val="00343D23"/>
    <w:rsid w:val="00343F73"/>
    <w:rsid w:val="00345060"/>
    <w:rsid w:val="003451FB"/>
    <w:rsid w:val="00351A35"/>
    <w:rsid w:val="00352629"/>
    <w:rsid w:val="0035323B"/>
    <w:rsid w:val="00353D19"/>
    <w:rsid w:val="0035785A"/>
    <w:rsid w:val="003609D2"/>
    <w:rsid w:val="00363F22"/>
    <w:rsid w:val="00364940"/>
    <w:rsid w:val="00375564"/>
    <w:rsid w:val="00376489"/>
    <w:rsid w:val="00383191"/>
    <w:rsid w:val="00386DED"/>
    <w:rsid w:val="003912E7"/>
    <w:rsid w:val="00393947"/>
    <w:rsid w:val="00395141"/>
    <w:rsid w:val="00396A5A"/>
    <w:rsid w:val="003A2275"/>
    <w:rsid w:val="003A3B1B"/>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D40"/>
    <w:rsid w:val="003F22BB"/>
    <w:rsid w:val="003F2A5B"/>
    <w:rsid w:val="003F4EE0"/>
    <w:rsid w:val="003F5559"/>
    <w:rsid w:val="003F6013"/>
    <w:rsid w:val="00400473"/>
    <w:rsid w:val="00402153"/>
    <w:rsid w:val="00402E26"/>
    <w:rsid w:val="00402FC1"/>
    <w:rsid w:val="004200D9"/>
    <w:rsid w:val="00425082"/>
    <w:rsid w:val="00431DEB"/>
    <w:rsid w:val="0044259D"/>
    <w:rsid w:val="004439D9"/>
    <w:rsid w:val="00446B29"/>
    <w:rsid w:val="004524BE"/>
    <w:rsid w:val="00453F9A"/>
    <w:rsid w:val="00454CC3"/>
    <w:rsid w:val="00464903"/>
    <w:rsid w:val="00471E91"/>
    <w:rsid w:val="00474079"/>
    <w:rsid w:val="00474675"/>
    <w:rsid w:val="0047470C"/>
    <w:rsid w:val="00484C88"/>
    <w:rsid w:val="00495AF7"/>
    <w:rsid w:val="004A203E"/>
    <w:rsid w:val="004A35F9"/>
    <w:rsid w:val="004A4662"/>
    <w:rsid w:val="004A7E02"/>
    <w:rsid w:val="004B157A"/>
    <w:rsid w:val="004B24C1"/>
    <w:rsid w:val="004B3092"/>
    <w:rsid w:val="004B49B1"/>
    <w:rsid w:val="004B557C"/>
    <w:rsid w:val="004C292F"/>
    <w:rsid w:val="004C657F"/>
    <w:rsid w:val="004D306F"/>
    <w:rsid w:val="004D4B02"/>
    <w:rsid w:val="004E4B13"/>
    <w:rsid w:val="004E4B8C"/>
    <w:rsid w:val="004E5A47"/>
    <w:rsid w:val="005036E2"/>
    <w:rsid w:val="00510280"/>
    <w:rsid w:val="00513D73"/>
    <w:rsid w:val="005148B3"/>
    <w:rsid w:val="00514A43"/>
    <w:rsid w:val="00515E9C"/>
    <w:rsid w:val="005174E5"/>
    <w:rsid w:val="00520898"/>
    <w:rsid w:val="00522393"/>
    <w:rsid w:val="00522620"/>
    <w:rsid w:val="00525656"/>
    <w:rsid w:val="00525BF3"/>
    <w:rsid w:val="00534C02"/>
    <w:rsid w:val="0054044C"/>
    <w:rsid w:val="0054264B"/>
    <w:rsid w:val="00543786"/>
    <w:rsid w:val="00545A49"/>
    <w:rsid w:val="005463CC"/>
    <w:rsid w:val="00546D0D"/>
    <w:rsid w:val="0055153A"/>
    <w:rsid w:val="005533D7"/>
    <w:rsid w:val="00554B63"/>
    <w:rsid w:val="00562CF6"/>
    <w:rsid w:val="0056544B"/>
    <w:rsid w:val="00567177"/>
    <w:rsid w:val="005703DE"/>
    <w:rsid w:val="005710BC"/>
    <w:rsid w:val="005755F1"/>
    <w:rsid w:val="00582BBE"/>
    <w:rsid w:val="0058464E"/>
    <w:rsid w:val="0058650E"/>
    <w:rsid w:val="005866D5"/>
    <w:rsid w:val="00586760"/>
    <w:rsid w:val="005A01CB"/>
    <w:rsid w:val="005A19A9"/>
    <w:rsid w:val="005A3B8B"/>
    <w:rsid w:val="005A58FF"/>
    <w:rsid w:val="005A5EAF"/>
    <w:rsid w:val="005A6491"/>
    <w:rsid w:val="005A64C0"/>
    <w:rsid w:val="005B1985"/>
    <w:rsid w:val="005B3C11"/>
    <w:rsid w:val="005C1C28"/>
    <w:rsid w:val="005C43D0"/>
    <w:rsid w:val="005C6DB5"/>
    <w:rsid w:val="005D3842"/>
    <w:rsid w:val="005E19E7"/>
    <w:rsid w:val="005E2392"/>
    <w:rsid w:val="00601622"/>
    <w:rsid w:val="0061037E"/>
    <w:rsid w:val="00613FAA"/>
    <w:rsid w:val="00616C36"/>
    <w:rsid w:val="0061716C"/>
    <w:rsid w:val="006171AF"/>
    <w:rsid w:val="00617868"/>
    <w:rsid w:val="006243A1"/>
    <w:rsid w:val="00626005"/>
    <w:rsid w:val="00632E56"/>
    <w:rsid w:val="00635CBA"/>
    <w:rsid w:val="00636EFC"/>
    <w:rsid w:val="00637359"/>
    <w:rsid w:val="0064338B"/>
    <w:rsid w:val="00646542"/>
    <w:rsid w:val="006504F4"/>
    <w:rsid w:val="0065366F"/>
    <w:rsid w:val="00654BC9"/>
    <w:rsid w:val="006552FD"/>
    <w:rsid w:val="00656F0B"/>
    <w:rsid w:val="00663733"/>
    <w:rsid w:val="00663AF3"/>
    <w:rsid w:val="00666B6C"/>
    <w:rsid w:val="00677B54"/>
    <w:rsid w:val="00682682"/>
    <w:rsid w:val="00682702"/>
    <w:rsid w:val="00692368"/>
    <w:rsid w:val="00695192"/>
    <w:rsid w:val="006A2EBC"/>
    <w:rsid w:val="006A5EA0"/>
    <w:rsid w:val="006A783B"/>
    <w:rsid w:val="006A7B33"/>
    <w:rsid w:val="006B4E13"/>
    <w:rsid w:val="006B75DD"/>
    <w:rsid w:val="006C047C"/>
    <w:rsid w:val="006C3D8B"/>
    <w:rsid w:val="006C67E0"/>
    <w:rsid w:val="006C7ABA"/>
    <w:rsid w:val="006D0A13"/>
    <w:rsid w:val="006D0D60"/>
    <w:rsid w:val="006D1122"/>
    <w:rsid w:val="006D317E"/>
    <w:rsid w:val="006D3B1E"/>
    <w:rsid w:val="006D3C00"/>
    <w:rsid w:val="006E06AD"/>
    <w:rsid w:val="006E0754"/>
    <w:rsid w:val="006E3675"/>
    <w:rsid w:val="006E4A7F"/>
    <w:rsid w:val="006F0967"/>
    <w:rsid w:val="006F2274"/>
    <w:rsid w:val="006F64A0"/>
    <w:rsid w:val="0070038F"/>
    <w:rsid w:val="007027B1"/>
    <w:rsid w:val="0070286C"/>
    <w:rsid w:val="00704DF6"/>
    <w:rsid w:val="0070651C"/>
    <w:rsid w:val="007132A3"/>
    <w:rsid w:val="00716421"/>
    <w:rsid w:val="00721419"/>
    <w:rsid w:val="00724EFB"/>
    <w:rsid w:val="00726575"/>
    <w:rsid w:val="00730310"/>
    <w:rsid w:val="00740A49"/>
    <w:rsid w:val="007419C3"/>
    <w:rsid w:val="00746559"/>
    <w:rsid w:val="007467A7"/>
    <w:rsid w:val="007469DD"/>
    <w:rsid w:val="0074741B"/>
    <w:rsid w:val="0074759E"/>
    <w:rsid w:val="007478EA"/>
    <w:rsid w:val="0075415C"/>
    <w:rsid w:val="00757097"/>
    <w:rsid w:val="00761E8B"/>
    <w:rsid w:val="00763502"/>
    <w:rsid w:val="007913AB"/>
    <w:rsid w:val="007914F7"/>
    <w:rsid w:val="00795C73"/>
    <w:rsid w:val="007A4809"/>
    <w:rsid w:val="007A5172"/>
    <w:rsid w:val="007B1625"/>
    <w:rsid w:val="007B706E"/>
    <w:rsid w:val="007B71EB"/>
    <w:rsid w:val="007C0748"/>
    <w:rsid w:val="007C6205"/>
    <w:rsid w:val="007C686A"/>
    <w:rsid w:val="007C728E"/>
    <w:rsid w:val="007D0BE0"/>
    <w:rsid w:val="007D204F"/>
    <w:rsid w:val="007D2C53"/>
    <w:rsid w:val="007D3D60"/>
    <w:rsid w:val="007E1980"/>
    <w:rsid w:val="007E4B76"/>
    <w:rsid w:val="007E5043"/>
    <w:rsid w:val="007E5EA8"/>
    <w:rsid w:val="007F0CF1"/>
    <w:rsid w:val="007F12A5"/>
    <w:rsid w:val="007F2D74"/>
    <w:rsid w:val="007F3FB7"/>
    <w:rsid w:val="007F4CF1"/>
    <w:rsid w:val="007F758D"/>
    <w:rsid w:val="007F7D52"/>
    <w:rsid w:val="008000D6"/>
    <w:rsid w:val="0080484A"/>
    <w:rsid w:val="00805589"/>
    <w:rsid w:val="008057A5"/>
    <w:rsid w:val="00805E2F"/>
    <w:rsid w:val="0080654C"/>
    <w:rsid w:val="008071C6"/>
    <w:rsid w:val="00817A00"/>
    <w:rsid w:val="00820B95"/>
    <w:rsid w:val="00825891"/>
    <w:rsid w:val="00831631"/>
    <w:rsid w:val="0083228D"/>
    <w:rsid w:val="008324CC"/>
    <w:rsid w:val="00833D07"/>
    <w:rsid w:val="00835DB3"/>
    <w:rsid w:val="0083617B"/>
    <w:rsid w:val="00836342"/>
    <w:rsid w:val="00836A2D"/>
    <w:rsid w:val="008371BD"/>
    <w:rsid w:val="00840EBF"/>
    <w:rsid w:val="008504A8"/>
    <w:rsid w:val="00851B58"/>
    <w:rsid w:val="0085282E"/>
    <w:rsid w:val="00864937"/>
    <w:rsid w:val="0087198C"/>
    <w:rsid w:val="00872C1F"/>
    <w:rsid w:val="00873B42"/>
    <w:rsid w:val="00876074"/>
    <w:rsid w:val="00877CB0"/>
    <w:rsid w:val="008805AC"/>
    <w:rsid w:val="00880D1A"/>
    <w:rsid w:val="00884468"/>
    <w:rsid w:val="008856D8"/>
    <w:rsid w:val="00892E82"/>
    <w:rsid w:val="00893277"/>
    <w:rsid w:val="00895FA9"/>
    <w:rsid w:val="008A1035"/>
    <w:rsid w:val="008A6E08"/>
    <w:rsid w:val="008C0BE9"/>
    <w:rsid w:val="008C1B58"/>
    <w:rsid w:val="008C39AE"/>
    <w:rsid w:val="008C40DF"/>
    <w:rsid w:val="008C590D"/>
    <w:rsid w:val="008D447E"/>
    <w:rsid w:val="008D7566"/>
    <w:rsid w:val="008E0184"/>
    <w:rsid w:val="008E031B"/>
    <w:rsid w:val="008E0560"/>
    <w:rsid w:val="008E2D8C"/>
    <w:rsid w:val="008E7029"/>
    <w:rsid w:val="008E7EF6"/>
    <w:rsid w:val="008F1F98"/>
    <w:rsid w:val="008F2340"/>
    <w:rsid w:val="008F2790"/>
    <w:rsid w:val="008F6758"/>
    <w:rsid w:val="009040DD"/>
    <w:rsid w:val="00905B47"/>
    <w:rsid w:val="0090690F"/>
    <w:rsid w:val="00906928"/>
    <w:rsid w:val="00911391"/>
    <w:rsid w:val="0091331C"/>
    <w:rsid w:val="009137BD"/>
    <w:rsid w:val="0091503D"/>
    <w:rsid w:val="009279DE"/>
    <w:rsid w:val="00927AB9"/>
    <w:rsid w:val="00927B37"/>
    <w:rsid w:val="00930116"/>
    <w:rsid w:val="00930625"/>
    <w:rsid w:val="00941082"/>
    <w:rsid w:val="0094212C"/>
    <w:rsid w:val="00944853"/>
    <w:rsid w:val="0094609D"/>
    <w:rsid w:val="0095378C"/>
    <w:rsid w:val="00954689"/>
    <w:rsid w:val="0095472A"/>
    <w:rsid w:val="0096085A"/>
    <w:rsid w:val="009617C9"/>
    <w:rsid w:val="00961C93"/>
    <w:rsid w:val="00962B4E"/>
    <w:rsid w:val="00965324"/>
    <w:rsid w:val="0097091E"/>
    <w:rsid w:val="009760D3"/>
    <w:rsid w:val="00977132"/>
    <w:rsid w:val="00981A4B"/>
    <w:rsid w:val="00982250"/>
    <w:rsid w:val="00982501"/>
    <w:rsid w:val="00983D33"/>
    <w:rsid w:val="009877D3"/>
    <w:rsid w:val="009923C7"/>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5362"/>
    <w:rsid w:val="009E1415"/>
    <w:rsid w:val="009E6116"/>
    <w:rsid w:val="009E7E25"/>
    <w:rsid w:val="00A02E43"/>
    <w:rsid w:val="00A05368"/>
    <w:rsid w:val="00A065F9"/>
    <w:rsid w:val="00A07011"/>
    <w:rsid w:val="00A07F34"/>
    <w:rsid w:val="00A22154"/>
    <w:rsid w:val="00A24058"/>
    <w:rsid w:val="00A25C38"/>
    <w:rsid w:val="00A30DC6"/>
    <w:rsid w:val="00A35824"/>
    <w:rsid w:val="00A36BBE"/>
    <w:rsid w:val="00A37C20"/>
    <w:rsid w:val="00A40D9E"/>
    <w:rsid w:val="00A41DF7"/>
    <w:rsid w:val="00A420B1"/>
    <w:rsid w:val="00A42ECA"/>
    <w:rsid w:val="00A4307A"/>
    <w:rsid w:val="00A46DEF"/>
    <w:rsid w:val="00A47EBB"/>
    <w:rsid w:val="00A51CDD"/>
    <w:rsid w:val="00A563F8"/>
    <w:rsid w:val="00A56BBA"/>
    <w:rsid w:val="00A6730D"/>
    <w:rsid w:val="00A71625"/>
    <w:rsid w:val="00A71B9B"/>
    <w:rsid w:val="00A751C7"/>
    <w:rsid w:val="00A80008"/>
    <w:rsid w:val="00A82AAF"/>
    <w:rsid w:val="00A84CE5"/>
    <w:rsid w:val="00A87844"/>
    <w:rsid w:val="00A9227B"/>
    <w:rsid w:val="00A97A55"/>
    <w:rsid w:val="00AA038C"/>
    <w:rsid w:val="00AA7A09"/>
    <w:rsid w:val="00AB3B50"/>
    <w:rsid w:val="00AC05B1"/>
    <w:rsid w:val="00AC450C"/>
    <w:rsid w:val="00AD340B"/>
    <w:rsid w:val="00AD356C"/>
    <w:rsid w:val="00AD5592"/>
    <w:rsid w:val="00AE2914"/>
    <w:rsid w:val="00AE6D15"/>
    <w:rsid w:val="00AE7023"/>
    <w:rsid w:val="00AE78AA"/>
    <w:rsid w:val="00AF0EF3"/>
    <w:rsid w:val="00AF1F49"/>
    <w:rsid w:val="00AF2D81"/>
    <w:rsid w:val="00AF6562"/>
    <w:rsid w:val="00B04182"/>
    <w:rsid w:val="00B05ECF"/>
    <w:rsid w:val="00B07AE3"/>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2F11"/>
    <w:rsid w:val="00B63042"/>
    <w:rsid w:val="00B636A8"/>
    <w:rsid w:val="00B665C6"/>
    <w:rsid w:val="00B72AD8"/>
    <w:rsid w:val="00B74441"/>
    <w:rsid w:val="00B758A5"/>
    <w:rsid w:val="00B805AF"/>
    <w:rsid w:val="00B82BD5"/>
    <w:rsid w:val="00B869EC"/>
    <w:rsid w:val="00B9397A"/>
    <w:rsid w:val="00B9633D"/>
    <w:rsid w:val="00B967D5"/>
    <w:rsid w:val="00BA2EBE"/>
    <w:rsid w:val="00BB0F28"/>
    <w:rsid w:val="00BB458A"/>
    <w:rsid w:val="00BB693F"/>
    <w:rsid w:val="00BC270C"/>
    <w:rsid w:val="00BC5953"/>
    <w:rsid w:val="00BC609D"/>
    <w:rsid w:val="00BD00D3"/>
    <w:rsid w:val="00BD1659"/>
    <w:rsid w:val="00BD3AA9"/>
    <w:rsid w:val="00BD4A18"/>
    <w:rsid w:val="00BD6DB2"/>
    <w:rsid w:val="00BD73A1"/>
    <w:rsid w:val="00BE11CF"/>
    <w:rsid w:val="00BE21AB"/>
    <w:rsid w:val="00BE40D6"/>
    <w:rsid w:val="00BE55CB"/>
    <w:rsid w:val="00BE7067"/>
    <w:rsid w:val="00BF3BB2"/>
    <w:rsid w:val="00BF617A"/>
    <w:rsid w:val="00C0379D"/>
    <w:rsid w:val="00C03931"/>
    <w:rsid w:val="00C05FE3"/>
    <w:rsid w:val="00C11DA9"/>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57A9C"/>
    <w:rsid w:val="00C601D2"/>
    <w:rsid w:val="00C65BCC"/>
    <w:rsid w:val="00C66970"/>
    <w:rsid w:val="00C71F4D"/>
    <w:rsid w:val="00C8691C"/>
    <w:rsid w:val="00C86CB4"/>
    <w:rsid w:val="00C96295"/>
    <w:rsid w:val="00C96364"/>
    <w:rsid w:val="00CA03DF"/>
    <w:rsid w:val="00CA168A"/>
    <w:rsid w:val="00CA2097"/>
    <w:rsid w:val="00CA357E"/>
    <w:rsid w:val="00CA44F9"/>
    <w:rsid w:val="00CA4A69"/>
    <w:rsid w:val="00CA6621"/>
    <w:rsid w:val="00CB722E"/>
    <w:rsid w:val="00CC3E0C"/>
    <w:rsid w:val="00CC58D3"/>
    <w:rsid w:val="00CC784D"/>
    <w:rsid w:val="00CF1E15"/>
    <w:rsid w:val="00D00A8D"/>
    <w:rsid w:val="00D03268"/>
    <w:rsid w:val="00D0337B"/>
    <w:rsid w:val="00D07777"/>
    <w:rsid w:val="00D079B2"/>
    <w:rsid w:val="00D114E9"/>
    <w:rsid w:val="00D17CD8"/>
    <w:rsid w:val="00D2527C"/>
    <w:rsid w:val="00D313B3"/>
    <w:rsid w:val="00D35B8E"/>
    <w:rsid w:val="00D40F07"/>
    <w:rsid w:val="00D429C6"/>
    <w:rsid w:val="00D47748"/>
    <w:rsid w:val="00D5178F"/>
    <w:rsid w:val="00D518DF"/>
    <w:rsid w:val="00D54CC3"/>
    <w:rsid w:val="00D6041A"/>
    <w:rsid w:val="00D61258"/>
    <w:rsid w:val="00D633EB"/>
    <w:rsid w:val="00D736AC"/>
    <w:rsid w:val="00D747AA"/>
    <w:rsid w:val="00D75A7E"/>
    <w:rsid w:val="00D82FF7"/>
    <w:rsid w:val="00D847FE"/>
    <w:rsid w:val="00D86B9C"/>
    <w:rsid w:val="00D900CD"/>
    <w:rsid w:val="00D90A39"/>
    <w:rsid w:val="00D964EA"/>
    <w:rsid w:val="00D966D0"/>
    <w:rsid w:val="00DA0C59"/>
    <w:rsid w:val="00DA3991"/>
    <w:rsid w:val="00DA72A1"/>
    <w:rsid w:val="00DA7F95"/>
    <w:rsid w:val="00DB01F1"/>
    <w:rsid w:val="00DB3222"/>
    <w:rsid w:val="00DB7E6C"/>
    <w:rsid w:val="00DC26A8"/>
    <w:rsid w:val="00DC4F68"/>
    <w:rsid w:val="00DC623B"/>
    <w:rsid w:val="00DC64B0"/>
    <w:rsid w:val="00DD252A"/>
    <w:rsid w:val="00DD5949"/>
    <w:rsid w:val="00DD5A29"/>
    <w:rsid w:val="00DD5D9D"/>
    <w:rsid w:val="00DE3404"/>
    <w:rsid w:val="00DE35CB"/>
    <w:rsid w:val="00DF0EF0"/>
    <w:rsid w:val="00DF21E9"/>
    <w:rsid w:val="00DF22C7"/>
    <w:rsid w:val="00DF5CC9"/>
    <w:rsid w:val="00E00F14"/>
    <w:rsid w:val="00E01CB8"/>
    <w:rsid w:val="00E06386"/>
    <w:rsid w:val="00E075C5"/>
    <w:rsid w:val="00E1051A"/>
    <w:rsid w:val="00E11668"/>
    <w:rsid w:val="00E118E7"/>
    <w:rsid w:val="00E122B7"/>
    <w:rsid w:val="00E21B55"/>
    <w:rsid w:val="00E221D3"/>
    <w:rsid w:val="00E24EB4"/>
    <w:rsid w:val="00E30635"/>
    <w:rsid w:val="00E320ED"/>
    <w:rsid w:val="00E33AFB"/>
    <w:rsid w:val="00E34218"/>
    <w:rsid w:val="00E4555B"/>
    <w:rsid w:val="00E46282"/>
    <w:rsid w:val="00E5216E"/>
    <w:rsid w:val="00E5529C"/>
    <w:rsid w:val="00E657C6"/>
    <w:rsid w:val="00E75D40"/>
    <w:rsid w:val="00E81965"/>
    <w:rsid w:val="00E82344"/>
    <w:rsid w:val="00E84C82"/>
    <w:rsid w:val="00E84D64"/>
    <w:rsid w:val="00E87408"/>
    <w:rsid w:val="00E914C4"/>
    <w:rsid w:val="00E934F5"/>
    <w:rsid w:val="00E96961"/>
    <w:rsid w:val="00EA72EC"/>
    <w:rsid w:val="00EB11CB"/>
    <w:rsid w:val="00EB1C71"/>
    <w:rsid w:val="00EB275A"/>
    <w:rsid w:val="00EB2798"/>
    <w:rsid w:val="00EB57CA"/>
    <w:rsid w:val="00EB786A"/>
    <w:rsid w:val="00EC1578"/>
    <w:rsid w:val="00EC1BFC"/>
    <w:rsid w:val="00EC1C72"/>
    <w:rsid w:val="00EC3356"/>
    <w:rsid w:val="00EC3CC9"/>
    <w:rsid w:val="00EC5D85"/>
    <w:rsid w:val="00EC680A"/>
    <w:rsid w:val="00ED511C"/>
    <w:rsid w:val="00ED7229"/>
    <w:rsid w:val="00EE1281"/>
    <w:rsid w:val="00EE25CB"/>
    <w:rsid w:val="00EE2BED"/>
    <w:rsid w:val="00EE374B"/>
    <w:rsid w:val="00EE4A87"/>
    <w:rsid w:val="00EE4D1E"/>
    <w:rsid w:val="00EF2869"/>
    <w:rsid w:val="00F05D60"/>
    <w:rsid w:val="00F07224"/>
    <w:rsid w:val="00F07FD3"/>
    <w:rsid w:val="00F11BB5"/>
    <w:rsid w:val="00F1296C"/>
    <w:rsid w:val="00F1417B"/>
    <w:rsid w:val="00F1712D"/>
    <w:rsid w:val="00F17A17"/>
    <w:rsid w:val="00F208A0"/>
    <w:rsid w:val="00F2115E"/>
    <w:rsid w:val="00F27B3D"/>
    <w:rsid w:val="00F30ABD"/>
    <w:rsid w:val="00F34B99"/>
    <w:rsid w:val="00F40B02"/>
    <w:rsid w:val="00F41E81"/>
    <w:rsid w:val="00F51720"/>
    <w:rsid w:val="00F51CF2"/>
    <w:rsid w:val="00F52DAB"/>
    <w:rsid w:val="00F543F0"/>
    <w:rsid w:val="00F55E3E"/>
    <w:rsid w:val="00F57601"/>
    <w:rsid w:val="00F73F99"/>
    <w:rsid w:val="00F75F80"/>
    <w:rsid w:val="00F81D29"/>
    <w:rsid w:val="00F90BE5"/>
    <w:rsid w:val="00F91231"/>
    <w:rsid w:val="00F91C4D"/>
    <w:rsid w:val="00F92FD9"/>
    <w:rsid w:val="00FA37B1"/>
    <w:rsid w:val="00FA3E0B"/>
    <w:rsid w:val="00FA5EF7"/>
    <w:rsid w:val="00FA6684"/>
    <w:rsid w:val="00FA731E"/>
    <w:rsid w:val="00FA7BD0"/>
    <w:rsid w:val="00FB1DCF"/>
    <w:rsid w:val="00FB2B38"/>
    <w:rsid w:val="00FB61CE"/>
    <w:rsid w:val="00FB7A07"/>
    <w:rsid w:val="00FC04CC"/>
    <w:rsid w:val="00FC2066"/>
    <w:rsid w:val="00FC6358"/>
    <w:rsid w:val="00FC7C3C"/>
    <w:rsid w:val="00FD1381"/>
    <w:rsid w:val="00FD320D"/>
    <w:rsid w:val="00FE1B98"/>
    <w:rsid w:val="00FE23DE"/>
    <w:rsid w:val="00FF1801"/>
    <w:rsid w:val="00FF6842"/>
    <w:rsid w:val="029C06B6"/>
    <w:rsid w:val="03824D3C"/>
    <w:rsid w:val="061D1673"/>
    <w:rsid w:val="06794973"/>
    <w:rsid w:val="09924A84"/>
    <w:rsid w:val="0A193C90"/>
    <w:rsid w:val="0A7C41F2"/>
    <w:rsid w:val="115C731B"/>
    <w:rsid w:val="13422E4F"/>
    <w:rsid w:val="140908D1"/>
    <w:rsid w:val="15313A44"/>
    <w:rsid w:val="192B6E5D"/>
    <w:rsid w:val="1A853C36"/>
    <w:rsid w:val="1F43632C"/>
    <w:rsid w:val="24C468B5"/>
    <w:rsid w:val="272F3C34"/>
    <w:rsid w:val="274768C3"/>
    <w:rsid w:val="285100CD"/>
    <w:rsid w:val="28F66BBF"/>
    <w:rsid w:val="2ADA66CC"/>
    <w:rsid w:val="2FD4646C"/>
    <w:rsid w:val="32A32603"/>
    <w:rsid w:val="362C0724"/>
    <w:rsid w:val="3C1F5185"/>
    <w:rsid w:val="3CCD1C85"/>
    <w:rsid w:val="41F17D76"/>
    <w:rsid w:val="44D95E00"/>
    <w:rsid w:val="46026D27"/>
    <w:rsid w:val="4A4200BE"/>
    <w:rsid w:val="4A431FEF"/>
    <w:rsid w:val="4E265601"/>
    <w:rsid w:val="51632A20"/>
    <w:rsid w:val="51AC2E8D"/>
    <w:rsid w:val="55C24B24"/>
    <w:rsid w:val="566910D3"/>
    <w:rsid w:val="57840E99"/>
    <w:rsid w:val="587D7735"/>
    <w:rsid w:val="5D1B57E3"/>
    <w:rsid w:val="61A54003"/>
    <w:rsid w:val="65935097"/>
    <w:rsid w:val="68C97050"/>
    <w:rsid w:val="694D688D"/>
    <w:rsid w:val="6A626EE4"/>
    <w:rsid w:val="6A923047"/>
    <w:rsid w:val="6A9E67F3"/>
    <w:rsid w:val="71290113"/>
    <w:rsid w:val="74601463"/>
    <w:rsid w:val="7C2110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4">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5">
    <w:name w:val="index 8"/>
    <w:basedOn w:val="1"/>
    <w:next w:val="1"/>
    <w:autoRedefine/>
    <w:qFormat/>
    <w:uiPriority w:val="0"/>
    <w:pPr>
      <w:ind w:left="1680" w:hanging="210"/>
      <w:jc w:val="left"/>
    </w:pPr>
    <w:rPr>
      <w:rFonts w:ascii="Calibri" w:hAnsi="Calibri"/>
      <w:sz w:val="20"/>
      <w:szCs w:val="20"/>
    </w:rPr>
  </w:style>
  <w:style w:type="paragraph" w:styleId="6">
    <w:name w:val="caption"/>
    <w:basedOn w:val="1"/>
    <w:next w:val="1"/>
    <w:autoRedefine/>
    <w:qFormat/>
    <w:uiPriority w:val="0"/>
    <w:pPr>
      <w:spacing w:before="152" w:after="160"/>
    </w:pPr>
    <w:rPr>
      <w:rFonts w:ascii="Arial" w:hAnsi="Arial" w:eastAsia="黑体" w:cs="Arial"/>
      <w:sz w:val="20"/>
      <w:szCs w:val="20"/>
    </w:rPr>
  </w:style>
  <w:style w:type="paragraph" w:styleId="7">
    <w:name w:val="index 5"/>
    <w:basedOn w:val="1"/>
    <w:next w:val="1"/>
    <w:autoRedefine/>
    <w:qFormat/>
    <w:uiPriority w:val="0"/>
    <w:pPr>
      <w:ind w:left="1050" w:hanging="210"/>
      <w:jc w:val="left"/>
    </w:pPr>
    <w:rPr>
      <w:rFonts w:ascii="Calibri" w:hAnsi="Calibri"/>
      <w:sz w:val="20"/>
      <w:szCs w:val="20"/>
    </w:rPr>
  </w:style>
  <w:style w:type="paragraph" w:styleId="8">
    <w:name w:val="Document Map"/>
    <w:basedOn w:val="1"/>
    <w:autoRedefine/>
    <w:semiHidden/>
    <w:qFormat/>
    <w:uiPriority w:val="0"/>
    <w:pPr>
      <w:shd w:val="clear" w:color="auto" w:fill="000080"/>
    </w:pPr>
  </w:style>
  <w:style w:type="paragraph" w:styleId="9">
    <w:name w:val="index 6"/>
    <w:basedOn w:val="1"/>
    <w:next w:val="1"/>
    <w:autoRedefine/>
    <w:qFormat/>
    <w:uiPriority w:val="0"/>
    <w:pPr>
      <w:ind w:left="1260" w:hanging="210"/>
      <w:jc w:val="left"/>
    </w:pPr>
    <w:rPr>
      <w:rFonts w:ascii="Calibri" w:hAnsi="Calibri"/>
      <w:sz w:val="20"/>
      <w:szCs w:val="20"/>
    </w:rPr>
  </w:style>
  <w:style w:type="paragraph" w:styleId="10">
    <w:name w:val="index 4"/>
    <w:basedOn w:val="1"/>
    <w:next w:val="1"/>
    <w:autoRedefine/>
    <w:qFormat/>
    <w:uiPriority w:val="0"/>
    <w:pPr>
      <w:ind w:left="840" w:hanging="210"/>
      <w:jc w:val="left"/>
    </w:pPr>
    <w:rPr>
      <w:rFonts w:ascii="Calibri" w:hAnsi="Calibri"/>
      <w:sz w:val="20"/>
      <w:szCs w:val="20"/>
    </w:rPr>
  </w:style>
  <w:style w:type="paragraph" w:styleId="11">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2">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3">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4">
    <w:name w:val="index 3"/>
    <w:basedOn w:val="1"/>
    <w:next w:val="1"/>
    <w:autoRedefine/>
    <w:qFormat/>
    <w:uiPriority w:val="0"/>
    <w:pPr>
      <w:ind w:left="630" w:hanging="210"/>
      <w:jc w:val="left"/>
    </w:pPr>
    <w:rPr>
      <w:rFonts w:ascii="Calibri" w:hAnsi="Calibri"/>
      <w:sz w:val="20"/>
      <w:szCs w:val="20"/>
    </w:rPr>
  </w:style>
  <w:style w:type="paragraph" w:styleId="15">
    <w:name w:val="endnote text"/>
    <w:basedOn w:val="1"/>
    <w:autoRedefine/>
    <w:semiHidden/>
    <w:qFormat/>
    <w:uiPriority w:val="0"/>
    <w:pPr>
      <w:snapToGrid w:val="0"/>
      <w:jc w:val="left"/>
    </w:pPr>
  </w:style>
  <w:style w:type="paragraph" w:styleId="16">
    <w:name w:val="Balloon Text"/>
    <w:basedOn w:val="1"/>
    <w:link w:val="139"/>
    <w:autoRedefine/>
    <w:qFormat/>
    <w:uiPriority w:val="0"/>
    <w:rPr>
      <w:sz w:val="18"/>
      <w:szCs w:val="18"/>
    </w:rPr>
  </w:style>
  <w:style w:type="paragraph" w:styleId="17">
    <w:name w:val="footer"/>
    <w:basedOn w:val="1"/>
    <w:autoRedefine/>
    <w:qFormat/>
    <w:uiPriority w:val="0"/>
    <w:pPr>
      <w:snapToGrid w:val="0"/>
      <w:ind w:right="210" w:rightChars="100"/>
      <w:jc w:val="right"/>
    </w:pPr>
    <w:rPr>
      <w:sz w:val="18"/>
      <w:szCs w:val="18"/>
    </w:rPr>
  </w:style>
  <w:style w:type="paragraph" w:styleId="18">
    <w:name w:val="header"/>
    <w:basedOn w:val="1"/>
    <w:autoRedefine/>
    <w:qFormat/>
    <w:uiPriority w:val="0"/>
    <w:pPr>
      <w:snapToGrid w:val="0"/>
      <w:jc w:val="left"/>
    </w:pPr>
    <w:rPr>
      <w:sz w:val="18"/>
      <w:szCs w:val="18"/>
    </w:rPr>
  </w:style>
  <w:style w:type="paragraph" w:styleId="19">
    <w:name w:val="toc 1"/>
    <w:basedOn w:val="1"/>
    <w:next w:val="1"/>
    <w:autoRedefine/>
    <w:qFormat/>
    <w:uiPriority w:val="39"/>
    <w:pPr>
      <w:tabs>
        <w:tab w:val="right" w:leader="dot" w:pos="9242"/>
      </w:tabs>
      <w:spacing w:beforeLines="25" w:afterLines="25"/>
      <w:jc w:val="left"/>
    </w:pPr>
    <w:rPr>
      <w:rFonts w:ascii="宋体"/>
      <w:szCs w:val="21"/>
    </w:rPr>
  </w:style>
  <w:style w:type="paragraph" w:styleId="20">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21">
    <w:name w:val="index heading"/>
    <w:basedOn w:val="1"/>
    <w:next w:val="22"/>
    <w:autoRedefine/>
    <w:qFormat/>
    <w:uiPriority w:val="0"/>
    <w:pPr>
      <w:spacing w:before="120" w:after="120"/>
      <w:jc w:val="center"/>
    </w:pPr>
    <w:rPr>
      <w:rFonts w:ascii="Calibri" w:hAnsi="Calibri"/>
      <w:b/>
      <w:bCs/>
      <w:iCs/>
      <w:szCs w:val="20"/>
    </w:rPr>
  </w:style>
  <w:style w:type="paragraph" w:styleId="22">
    <w:name w:val="index 1"/>
    <w:basedOn w:val="1"/>
    <w:next w:val="23"/>
    <w:autoRedefine/>
    <w:qFormat/>
    <w:uiPriority w:val="0"/>
    <w:pPr>
      <w:tabs>
        <w:tab w:val="right" w:leader="dot" w:pos="9299"/>
      </w:tabs>
      <w:jc w:val="left"/>
    </w:pPr>
    <w:rPr>
      <w:rFonts w:ascii="宋体"/>
      <w:szCs w:val="21"/>
    </w:rPr>
  </w:style>
  <w:style w:type="paragraph" w:customStyle="1" w:styleId="23">
    <w:name w:val="段"/>
    <w:link w:val="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autoRedefine/>
    <w:qFormat/>
    <w:uiPriority w:val="0"/>
    <w:pPr>
      <w:numPr>
        <w:ilvl w:val="0"/>
        <w:numId w:val="1"/>
      </w:numPr>
      <w:snapToGrid w:val="0"/>
      <w:jc w:val="left"/>
    </w:pPr>
    <w:rPr>
      <w:rFonts w:ascii="宋体"/>
      <w:sz w:val="18"/>
      <w:szCs w:val="18"/>
    </w:rPr>
  </w:style>
  <w:style w:type="paragraph" w:styleId="25">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6">
    <w:name w:val="index 7"/>
    <w:basedOn w:val="1"/>
    <w:next w:val="1"/>
    <w:autoRedefine/>
    <w:qFormat/>
    <w:uiPriority w:val="0"/>
    <w:pPr>
      <w:ind w:left="1470" w:hanging="210"/>
      <w:jc w:val="left"/>
    </w:pPr>
    <w:rPr>
      <w:rFonts w:ascii="Calibri" w:hAnsi="Calibri"/>
      <w:sz w:val="20"/>
      <w:szCs w:val="20"/>
    </w:rPr>
  </w:style>
  <w:style w:type="paragraph" w:styleId="27">
    <w:name w:val="index 9"/>
    <w:basedOn w:val="1"/>
    <w:next w:val="1"/>
    <w:autoRedefine/>
    <w:qFormat/>
    <w:uiPriority w:val="0"/>
    <w:pPr>
      <w:ind w:left="1890" w:hanging="210"/>
      <w:jc w:val="left"/>
    </w:pPr>
    <w:rPr>
      <w:rFonts w:ascii="Calibri" w:hAnsi="Calibri"/>
      <w:sz w:val="20"/>
      <w:szCs w:val="20"/>
    </w:rPr>
  </w:style>
  <w:style w:type="paragraph" w:styleId="28">
    <w:name w:val="toc 2"/>
    <w:basedOn w:val="1"/>
    <w:next w:val="1"/>
    <w:autoRedefine/>
    <w:semiHidden/>
    <w:qFormat/>
    <w:uiPriority w:val="0"/>
    <w:pPr>
      <w:tabs>
        <w:tab w:val="right" w:leader="dot" w:pos="9242"/>
      </w:tabs>
    </w:pPr>
    <w:rPr>
      <w:rFonts w:ascii="宋体"/>
      <w:szCs w:val="21"/>
    </w:rPr>
  </w:style>
  <w:style w:type="paragraph" w:styleId="29">
    <w:name w:val="toc 9"/>
    <w:basedOn w:val="1"/>
    <w:next w:val="1"/>
    <w:autoRedefine/>
    <w:semiHidden/>
    <w:qFormat/>
    <w:uiPriority w:val="0"/>
    <w:pPr>
      <w:ind w:left="1470"/>
      <w:jc w:val="left"/>
    </w:pPr>
    <w:rPr>
      <w:sz w:val="20"/>
      <w:szCs w:val="20"/>
    </w:rPr>
  </w:style>
  <w:style w:type="paragraph" w:styleId="30">
    <w:name w:val="index 2"/>
    <w:basedOn w:val="1"/>
    <w:next w:val="1"/>
    <w:autoRedefine/>
    <w:qFormat/>
    <w:uiPriority w:val="0"/>
    <w:pPr>
      <w:ind w:left="420" w:hanging="210"/>
      <w:jc w:val="left"/>
    </w:pPr>
    <w:rPr>
      <w:rFonts w:ascii="Calibri" w:hAnsi="Calibri"/>
      <w:sz w:val="20"/>
      <w:szCs w:val="20"/>
    </w:rPr>
  </w:style>
  <w:style w:type="table" w:styleId="32">
    <w:name w:val="Table Grid"/>
    <w:basedOn w:val="31"/>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endnote reference"/>
    <w:autoRedefine/>
    <w:semiHidden/>
    <w:qFormat/>
    <w:uiPriority w:val="0"/>
    <w:rPr>
      <w:vertAlign w:val="superscript"/>
    </w:rPr>
  </w:style>
  <w:style w:type="character" w:styleId="35">
    <w:name w:val="page number"/>
    <w:autoRedefine/>
    <w:qFormat/>
    <w:uiPriority w:val="0"/>
    <w:rPr>
      <w:rFonts w:ascii="Times New Roman" w:hAnsi="Times New Roman" w:eastAsia="宋体"/>
      <w:sz w:val="18"/>
    </w:rPr>
  </w:style>
  <w:style w:type="character" w:styleId="36">
    <w:name w:val="FollowedHyperlink"/>
    <w:autoRedefine/>
    <w:qFormat/>
    <w:uiPriority w:val="0"/>
    <w:rPr>
      <w:color w:val="800080"/>
      <w:u w:val="single"/>
    </w:rPr>
  </w:style>
  <w:style w:type="character" w:styleId="37">
    <w:name w:val="Hyperlink"/>
    <w:autoRedefine/>
    <w:qFormat/>
    <w:uiPriority w:val="99"/>
    <w:rPr>
      <w:color w:val="0000FF"/>
      <w:spacing w:val="0"/>
      <w:w w:val="100"/>
      <w:szCs w:val="21"/>
      <w:u w:val="single"/>
    </w:rPr>
  </w:style>
  <w:style w:type="character" w:styleId="38">
    <w:name w:val="footnote reference"/>
    <w:autoRedefine/>
    <w:semiHidden/>
    <w:qFormat/>
    <w:uiPriority w:val="0"/>
    <w:rPr>
      <w:vertAlign w:val="superscript"/>
    </w:rPr>
  </w:style>
  <w:style w:type="character" w:customStyle="1" w:styleId="39">
    <w:name w:val="段 Char"/>
    <w:link w:val="23"/>
    <w:autoRedefine/>
    <w:qFormat/>
    <w:uiPriority w:val="0"/>
    <w:rPr>
      <w:rFonts w:ascii="宋体"/>
      <w:sz w:val="21"/>
      <w:lang w:val="en-US" w:eastAsia="zh-CN" w:bidi="ar-SA"/>
    </w:rPr>
  </w:style>
  <w:style w:type="paragraph" w:customStyle="1" w:styleId="40">
    <w:name w:val="一级条标题"/>
    <w:next w:val="23"/>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3"/>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3"/>
    <w:autoRedefine/>
    <w:qFormat/>
    <w:uiPriority w:val="0"/>
    <w:pPr>
      <w:numPr>
        <w:ilvl w:val="2"/>
      </w:numPr>
      <w:spacing w:before="50" w:after="50"/>
      <w:outlineLvl w:val="3"/>
    </w:pPr>
  </w:style>
  <w:style w:type="paragraph" w:customStyle="1" w:styleId="45">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3"/>
    <w:link w:val="137"/>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44"/>
    <w:next w:val="23"/>
    <w:autoRedefine/>
    <w:qFormat/>
    <w:uiPriority w:val="0"/>
    <w:pPr>
      <w:numPr>
        <w:ilvl w:val="3"/>
      </w:numPr>
      <w:outlineLvl w:val="4"/>
    </w:pPr>
  </w:style>
  <w:style w:type="paragraph" w:customStyle="1" w:styleId="50">
    <w:name w:val="示例"/>
    <w:next w:val="51"/>
    <w:autoRedefine/>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1">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autoRedefine/>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3">
    <w:name w:val="四级条标题"/>
    <w:basedOn w:val="49"/>
    <w:next w:val="23"/>
    <w:autoRedefine/>
    <w:qFormat/>
    <w:uiPriority w:val="0"/>
    <w:pPr>
      <w:numPr>
        <w:ilvl w:val="4"/>
      </w:numPr>
      <w:outlineLvl w:val="5"/>
    </w:pPr>
  </w:style>
  <w:style w:type="paragraph" w:customStyle="1" w:styleId="54">
    <w:name w:val="五级条标题"/>
    <w:basedOn w:val="53"/>
    <w:next w:val="23"/>
    <w:autoRedefine/>
    <w:qFormat/>
    <w:uiPriority w:val="0"/>
    <w:pPr>
      <w:numPr>
        <w:ilvl w:val="5"/>
      </w:numPr>
      <w:outlineLvl w:val="6"/>
    </w:pPr>
  </w:style>
  <w:style w:type="paragraph" w:customStyle="1" w:styleId="55">
    <w:name w:val="注："/>
    <w:next w:val="23"/>
    <w:autoRedefine/>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6">
    <w:name w:val="注×："/>
    <w:autoRedefine/>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7">
    <w:name w:val="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8">
    <w:name w:val="列项◆（三级）"/>
    <w:basedOn w:val="1"/>
    <w:autoRedefine/>
    <w:qFormat/>
    <w:uiPriority w:val="0"/>
    <w:pPr>
      <w:numPr>
        <w:ilvl w:val="2"/>
        <w:numId w:val="3"/>
      </w:numPr>
    </w:pPr>
    <w:rPr>
      <w:rFonts w:ascii="宋体"/>
      <w:szCs w:val="21"/>
    </w:rPr>
  </w:style>
  <w:style w:type="paragraph" w:customStyle="1" w:styleId="59">
    <w:name w:val="编号列项（三级）"/>
    <w:autoRedefine/>
    <w:qFormat/>
    <w:uiPriority w:val="0"/>
    <w:pPr>
      <w:numPr>
        <w:ilvl w:val="2"/>
        <w:numId w:val="5"/>
      </w:numPr>
    </w:pPr>
    <w:rPr>
      <w:rFonts w:ascii="宋体" w:hAnsi="Times New Roman" w:eastAsia="宋体" w:cs="Times New Roman"/>
      <w:sz w:val="21"/>
      <w:lang w:val="en-US" w:eastAsia="zh-CN" w:bidi="ar-SA"/>
    </w:rPr>
  </w:style>
  <w:style w:type="paragraph" w:customStyle="1" w:styleId="60">
    <w:name w:val="示例×："/>
    <w:basedOn w:val="43"/>
    <w:autoRedefine/>
    <w:qFormat/>
    <w:uiPriority w:val="0"/>
    <w:pPr>
      <w:numPr>
        <w:numId w:val="8"/>
      </w:numPr>
      <w:spacing w:beforeLines="0" w:afterLines="0"/>
      <w:outlineLvl w:val="9"/>
    </w:pPr>
    <w:rPr>
      <w:rFonts w:ascii="宋体" w:eastAsia="宋体"/>
      <w:sz w:val="18"/>
      <w:szCs w:val="18"/>
    </w:rPr>
  </w:style>
  <w:style w:type="paragraph" w:customStyle="1" w:styleId="61">
    <w:name w:val="二级无"/>
    <w:basedOn w:val="44"/>
    <w:autoRedefine/>
    <w:qFormat/>
    <w:uiPriority w:val="0"/>
    <w:pPr>
      <w:spacing w:beforeLines="0" w:afterLines="0"/>
    </w:pPr>
    <w:rPr>
      <w:rFonts w:ascii="宋体" w:eastAsia="宋体"/>
    </w:rPr>
  </w:style>
  <w:style w:type="paragraph" w:customStyle="1" w:styleId="62">
    <w:name w:val="注：（正文）"/>
    <w:basedOn w:val="55"/>
    <w:next w:val="23"/>
    <w:autoRedefine/>
    <w:qFormat/>
    <w:uiPriority w:val="0"/>
    <w:pPr>
      <w:numPr>
        <w:numId w:val="9"/>
      </w:numPr>
      <w:ind w:left="726" w:hanging="363"/>
    </w:pPr>
  </w:style>
  <w:style w:type="paragraph" w:customStyle="1" w:styleId="63">
    <w:name w:val="注×：（正文）"/>
    <w:autoRedefine/>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4">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autoRedefine/>
    <w:qFormat/>
    <w:uiPriority w:val="0"/>
    <w:pPr>
      <w:jc w:val="left"/>
    </w:pPr>
  </w:style>
  <w:style w:type="paragraph" w:customStyle="1" w:styleId="68">
    <w:name w:val="标准书眉一"/>
    <w:autoRedefine/>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3"/>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3"/>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autoRedefine/>
    <w:qFormat/>
    <w:uiPriority w:val="0"/>
    <w:rPr>
      <w:rFonts w:ascii="黑体" w:eastAsia="黑体"/>
      <w:spacing w:val="85"/>
      <w:w w:val="100"/>
      <w:position w:val="3"/>
      <w:sz w:val="28"/>
      <w:szCs w:val="28"/>
    </w:rPr>
  </w:style>
  <w:style w:type="paragraph" w:customStyle="1" w:styleId="72">
    <w:name w:val="发布部门"/>
    <w:next w:val="23"/>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autoRedefine/>
    <w:qFormat/>
    <w:uiPriority w:val="0"/>
    <w:pPr>
      <w:framePr w:wrap="around"/>
      <w:spacing w:before="370" w:line="400" w:lineRule="exact"/>
    </w:pPr>
    <w:rPr>
      <w:rFonts w:ascii="Times New Roman"/>
      <w:sz w:val="28"/>
      <w:szCs w:val="28"/>
    </w:rPr>
  </w:style>
  <w:style w:type="paragraph" w:customStyle="1" w:styleId="78">
    <w:name w:val="封面一致性程度标识"/>
    <w:basedOn w:val="77"/>
    <w:autoRedefine/>
    <w:qFormat/>
    <w:uiPriority w:val="0"/>
    <w:pPr>
      <w:framePr w:wrap="around"/>
      <w:spacing w:before="440"/>
    </w:pPr>
    <w:rPr>
      <w:rFonts w:ascii="宋体" w:eastAsia="宋体"/>
    </w:rPr>
  </w:style>
  <w:style w:type="paragraph" w:customStyle="1" w:styleId="79">
    <w:name w:val="封面标准文稿类别"/>
    <w:basedOn w:val="78"/>
    <w:autoRedefine/>
    <w:qFormat/>
    <w:uiPriority w:val="0"/>
    <w:pPr>
      <w:framePr w:wrap="around"/>
      <w:spacing w:after="160" w:line="240" w:lineRule="auto"/>
    </w:pPr>
    <w:rPr>
      <w:sz w:val="24"/>
    </w:rPr>
  </w:style>
  <w:style w:type="paragraph" w:customStyle="1" w:styleId="80">
    <w:name w:val="封面标准文稿编辑信息"/>
    <w:basedOn w:val="79"/>
    <w:autoRedefine/>
    <w:qFormat/>
    <w:uiPriority w:val="0"/>
    <w:pPr>
      <w:framePr w:wrap="around"/>
      <w:spacing w:before="180" w:line="180" w:lineRule="exact"/>
    </w:pPr>
    <w:rPr>
      <w:sz w:val="21"/>
    </w:rPr>
  </w:style>
  <w:style w:type="paragraph" w:customStyle="1" w:styleId="81">
    <w:name w:val="封面正文"/>
    <w:autoRedefine/>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3"/>
    <w:autoRedefine/>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3"/>
    <w:next w:val="23"/>
    <w:autoRedefine/>
    <w:qFormat/>
    <w:uiPriority w:val="0"/>
    <w:pPr>
      <w:ind w:firstLine="0" w:firstLineChars="0"/>
      <w:jc w:val="center"/>
    </w:pPr>
    <w:rPr>
      <w:rFonts w:ascii="黑体" w:eastAsia="黑体"/>
    </w:rPr>
  </w:style>
  <w:style w:type="paragraph" w:customStyle="1" w:styleId="84">
    <w:name w:val="附录表标号"/>
    <w:basedOn w:val="1"/>
    <w:next w:val="23"/>
    <w:autoRedefine/>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5">
    <w:name w:val="附录表标题"/>
    <w:basedOn w:val="1"/>
    <w:next w:val="23"/>
    <w:autoRedefine/>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3"/>
    <w:autoRedefine/>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autoRedefine/>
    <w:qFormat/>
    <w:uiPriority w:val="0"/>
    <w:pPr>
      <w:tabs>
        <w:tab w:val="clear" w:pos="360"/>
      </w:tabs>
      <w:spacing w:beforeLines="0" w:afterLines="0"/>
    </w:pPr>
    <w:rPr>
      <w:rFonts w:ascii="宋体" w:eastAsia="宋体"/>
      <w:szCs w:val="21"/>
    </w:rPr>
  </w:style>
  <w:style w:type="paragraph" w:customStyle="1" w:styleId="88">
    <w:name w:val="附录公式"/>
    <w:basedOn w:val="23"/>
    <w:next w:val="23"/>
    <w:link w:val="89"/>
    <w:autoRedefine/>
    <w:qFormat/>
    <w:uiPriority w:val="0"/>
  </w:style>
  <w:style w:type="character" w:customStyle="1" w:styleId="89">
    <w:name w:val="附录公式 Char"/>
    <w:basedOn w:val="39"/>
    <w:link w:val="88"/>
    <w:autoRedefine/>
    <w:qFormat/>
    <w:uiPriority w:val="0"/>
    <w:rPr>
      <w:rFonts w:ascii="宋体"/>
      <w:sz w:val="21"/>
      <w:lang w:val="en-US" w:eastAsia="zh-CN" w:bidi="ar-SA"/>
    </w:rPr>
  </w:style>
  <w:style w:type="paragraph" w:customStyle="1" w:styleId="90">
    <w:name w:val="附录公式编号制表符"/>
    <w:basedOn w:val="1"/>
    <w:next w:val="23"/>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3"/>
    <w:autoRedefine/>
    <w:qFormat/>
    <w:uiPriority w:val="0"/>
    <w:pPr>
      <w:numPr>
        <w:ilvl w:val="4"/>
      </w:numPr>
      <w:outlineLvl w:val="4"/>
    </w:pPr>
  </w:style>
  <w:style w:type="paragraph" w:customStyle="1" w:styleId="92">
    <w:name w:val="附录三级无"/>
    <w:basedOn w:val="91"/>
    <w:autoRedefine/>
    <w:qFormat/>
    <w:uiPriority w:val="0"/>
    <w:pPr>
      <w:tabs>
        <w:tab w:val="clear" w:pos="360"/>
      </w:tabs>
      <w:spacing w:beforeLines="0" w:afterLines="0"/>
    </w:pPr>
    <w:rPr>
      <w:rFonts w:ascii="宋体" w:eastAsia="宋体"/>
      <w:szCs w:val="21"/>
    </w:rPr>
  </w:style>
  <w:style w:type="paragraph" w:customStyle="1" w:styleId="93">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94">
    <w:name w:val="附录四级条标题"/>
    <w:basedOn w:val="91"/>
    <w:next w:val="23"/>
    <w:autoRedefine/>
    <w:qFormat/>
    <w:uiPriority w:val="0"/>
    <w:pPr>
      <w:numPr>
        <w:ilvl w:val="5"/>
      </w:numPr>
      <w:outlineLvl w:val="5"/>
    </w:pPr>
  </w:style>
  <w:style w:type="paragraph" w:customStyle="1" w:styleId="95">
    <w:name w:val="附录四级无"/>
    <w:basedOn w:val="94"/>
    <w:autoRedefine/>
    <w:qFormat/>
    <w:uiPriority w:val="0"/>
    <w:pPr>
      <w:tabs>
        <w:tab w:val="clear" w:pos="360"/>
      </w:tabs>
      <w:spacing w:beforeLines="0" w:afterLines="0"/>
    </w:pPr>
    <w:rPr>
      <w:rFonts w:ascii="宋体" w:eastAsia="宋体"/>
      <w:szCs w:val="21"/>
    </w:rPr>
  </w:style>
  <w:style w:type="paragraph" w:customStyle="1" w:styleId="96">
    <w:name w:val="附录图标号"/>
    <w:basedOn w:val="1"/>
    <w:autoRedefine/>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7">
    <w:name w:val="附录图标题"/>
    <w:basedOn w:val="1"/>
    <w:next w:val="23"/>
    <w:autoRedefine/>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3"/>
    <w:autoRedefine/>
    <w:qFormat/>
    <w:uiPriority w:val="0"/>
    <w:pPr>
      <w:numPr>
        <w:ilvl w:val="6"/>
      </w:numPr>
      <w:outlineLvl w:val="6"/>
    </w:pPr>
  </w:style>
  <w:style w:type="paragraph" w:customStyle="1" w:styleId="99">
    <w:name w:val="附录五级无"/>
    <w:basedOn w:val="98"/>
    <w:autoRedefine/>
    <w:qFormat/>
    <w:uiPriority w:val="0"/>
    <w:pPr>
      <w:tabs>
        <w:tab w:val="clear" w:pos="360"/>
      </w:tabs>
      <w:spacing w:beforeLines="0" w:afterLines="0"/>
    </w:pPr>
    <w:rPr>
      <w:rFonts w:ascii="宋体" w:eastAsia="宋体"/>
      <w:szCs w:val="21"/>
    </w:rPr>
  </w:style>
  <w:style w:type="paragraph" w:customStyle="1" w:styleId="100">
    <w:name w:val="附录章标题"/>
    <w:next w:val="23"/>
    <w:autoRedefine/>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3"/>
    <w:autoRedefine/>
    <w:qFormat/>
    <w:uiPriority w:val="0"/>
    <w:pPr>
      <w:numPr>
        <w:ilvl w:val="2"/>
      </w:numPr>
      <w:autoSpaceDN w:val="0"/>
      <w:spacing w:beforeLines="50" w:afterLines="50"/>
      <w:outlineLvl w:val="2"/>
    </w:pPr>
  </w:style>
  <w:style w:type="paragraph" w:customStyle="1" w:styleId="102">
    <w:name w:val="附录一级无"/>
    <w:basedOn w:val="101"/>
    <w:autoRedefine/>
    <w:qFormat/>
    <w:uiPriority w:val="0"/>
    <w:pPr>
      <w:tabs>
        <w:tab w:val="clear" w:pos="360"/>
      </w:tabs>
      <w:spacing w:beforeLines="0" w:afterLines="0"/>
    </w:pPr>
    <w:rPr>
      <w:rFonts w:ascii="宋体" w:eastAsia="宋体"/>
      <w:szCs w:val="21"/>
    </w:rPr>
  </w:style>
  <w:style w:type="paragraph" w:customStyle="1" w:styleId="103">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04">
    <w:name w:val="列项说明"/>
    <w:basedOn w:val="1"/>
    <w:autoRedefine/>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autoRedefine/>
    <w:qFormat/>
    <w:uiPriority w:val="0"/>
    <w:pPr>
      <w:framePr w:w="6101" w:wrap="around" w:vAnchor="page" w:hAnchor="page" w:x="4673" w:y="942"/>
    </w:pPr>
    <w:rPr>
      <w:w w:val="130"/>
    </w:rPr>
  </w:style>
  <w:style w:type="paragraph" w:customStyle="1" w:styleId="108">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autoRedefine/>
    <w:qFormat/>
    <w:uiPriority w:val="0"/>
    <w:pPr>
      <w:framePr w:wrap="around" w:y="15310"/>
      <w:spacing w:line="0" w:lineRule="atLeast"/>
    </w:pPr>
    <w:rPr>
      <w:rFonts w:ascii="黑体" w:eastAsia="黑体"/>
      <w:b w:val="0"/>
    </w:rPr>
  </w:style>
  <w:style w:type="paragraph" w:customStyle="1" w:styleId="110">
    <w:name w:val="前言、引言标题"/>
    <w:next w:val="23"/>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autoRedefine/>
    <w:qFormat/>
    <w:uiPriority w:val="0"/>
    <w:pPr>
      <w:spacing w:beforeLines="0" w:afterLines="0"/>
    </w:pPr>
    <w:rPr>
      <w:rFonts w:ascii="宋体" w:eastAsia="宋体"/>
    </w:rPr>
  </w:style>
  <w:style w:type="paragraph" w:customStyle="1" w:styleId="112">
    <w:name w:val="实施日期"/>
    <w:autoRedefine/>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3">
    <w:name w:val="示例后文字"/>
    <w:basedOn w:val="23"/>
    <w:next w:val="23"/>
    <w:autoRedefine/>
    <w:qFormat/>
    <w:uiPriority w:val="0"/>
    <w:pPr>
      <w:ind w:firstLine="360"/>
    </w:pPr>
    <w:rPr>
      <w:sz w:val="18"/>
    </w:rPr>
  </w:style>
  <w:style w:type="paragraph" w:customStyle="1" w:styleId="114">
    <w:name w:val="首示例"/>
    <w:next w:val="23"/>
    <w:link w:val="115"/>
    <w:autoRedefine/>
    <w:qFormat/>
    <w:uiPriority w:val="0"/>
    <w:pPr>
      <w:tabs>
        <w:tab w:val="left" w:pos="360"/>
      </w:tabs>
    </w:pPr>
    <w:rPr>
      <w:rFonts w:ascii="宋体" w:hAnsi="宋体" w:eastAsia="宋体" w:cs="Times New Roman"/>
      <w:kern w:val="2"/>
      <w:sz w:val="18"/>
      <w:szCs w:val="18"/>
      <w:lang w:val="en-US" w:eastAsia="zh-CN" w:bidi="ar-SA"/>
    </w:rPr>
  </w:style>
  <w:style w:type="character" w:customStyle="1" w:styleId="115">
    <w:name w:val="首示例 Char"/>
    <w:link w:val="114"/>
    <w:autoRedefine/>
    <w:qFormat/>
    <w:uiPriority w:val="0"/>
    <w:rPr>
      <w:rFonts w:ascii="宋体" w:hAnsi="宋体"/>
      <w:kern w:val="2"/>
      <w:sz w:val="18"/>
      <w:szCs w:val="18"/>
    </w:rPr>
  </w:style>
  <w:style w:type="paragraph" w:customStyle="1" w:styleId="116">
    <w:name w:val="四级无"/>
    <w:basedOn w:val="53"/>
    <w:autoRedefine/>
    <w:qFormat/>
    <w:uiPriority w:val="0"/>
    <w:pPr>
      <w:spacing w:beforeLines="0" w:afterLines="0"/>
    </w:pPr>
    <w:rPr>
      <w:rFonts w:ascii="宋体" w:eastAsia="宋体"/>
    </w:rPr>
  </w:style>
  <w:style w:type="paragraph" w:customStyle="1" w:styleId="117">
    <w:name w:val="条文脚注"/>
    <w:basedOn w:val="24"/>
    <w:autoRedefine/>
    <w:qFormat/>
    <w:uiPriority w:val="0"/>
    <w:pPr>
      <w:numPr>
        <w:numId w:val="0"/>
      </w:numPr>
      <w:jc w:val="both"/>
    </w:pPr>
  </w:style>
  <w:style w:type="paragraph" w:customStyle="1" w:styleId="118">
    <w:name w:val="图标脚注说明"/>
    <w:basedOn w:val="23"/>
    <w:autoRedefine/>
    <w:qFormat/>
    <w:uiPriority w:val="0"/>
    <w:pPr>
      <w:ind w:left="840" w:hanging="420" w:firstLineChars="0"/>
    </w:pPr>
    <w:rPr>
      <w:sz w:val="18"/>
      <w:szCs w:val="18"/>
    </w:rPr>
  </w:style>
  <w:style w:type="paragraph" w:customStyle="1" w:styleId="119">
    <w:name w:val="图表脚注说明"/>
    <w:basedOn w:val="1"/>
    <w:autoRedefine/>
    <w:qFormat/>
    <w:uiPriority w:val="0"/>
    <w:pPr>
      <w:numPr>
        <w:ilvl w:val="0"/>
        <w:numId w:val="15"/>
      </w:numPr>
    </w:pPr>
    <w:rPr>
      <w:rFonts w:ascii="宋体"/>
      <w:sz w:val="18"/>
      <w:szCs w:val="18"/>
    </w:rPr>
  </w:style>
  <w:style w:type="paragraph" w:customStyle="1" w:styleId="120">
    <w:name w:val="图的脚注"/>
    <w:next w:val="23"/>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autoRedefine/>
    <w:qFormat/>
    <w:uiPriority w:val="0"/>
    <w:pPr>
      <w:spacing w:beforeLines="0" w:afterLines="0"/>
    </w:pPr>
    <w:rPr>
      <w:rFonts w:ascii="宋体" w:eastAsia="宋体"/>
    </w:rPr>
  </w:style>
  <w:style w:type="paragraph" w:customStyle="1" w:styleId="123">
    <w:name w:val="一级无"/>
    <w:basedOn w:val="40"/>
    <w:autoRedefine/>
    <w:qFormat/>
    <w:uiPriority w:val="0"/>
    <w:pPr>
      <w:spacing w:beforeLines="0" w:afterLines="0"/>
    </w:pPr>
    <w:rPr>
      <w:rFonts w:ascii="宋体" w:eastAsia="宋体"/>
    </w:rPr>
  </w:style>
  <w:style w:type="paragraph" w:customStyle="1" w:styleId="124">
    <w:name w:val="正文表标题"/>
    <w:next w:val="23"/>
    <w:autoRedefine/>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5">
    <w:name w:val="正文公式编号制表符"/>
    <w:basedOn w:val="23"/>
    <w:next w:val="23"/>
    <w:autoRedefine/>
    <w:qFormat/>
    <w:uiPriority w:val="0"/>
    <w:pPr>
      <w:ind w:firstLine="0" w:firstLineChars="0"/>
    </w:pPr>
  </w:style>
  <w:style w:type="paragraph" w:customStyle="1" w:styleId="126">
    <w:name w:val="正文图标题"/>
    <w:next w:val="23"/>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autoRedefine/>
    <w:qFormat/>
    <w:uiPriority w:val="0"/>
    <w:pPr>
      <w:framePr w:hSpace="181" w:vSpace="181" w:wrap="around" w:vAnchor="text" w:hAnchor="margin" w:xAlign="center" w:y="285"/>
    </w:pPr>
  </w:style>
  <w:style w:type="paragraph" w:customStyle="1" w:styleId="128">
    <w:name w:val="其他发布日期"/>
    <w:autoRedefine/>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29">
    <w:name w:val="其他实施日期"/>
    <w:basedOn w:val="112"/>
    <w:autoRedefine/>
    <w:qFormat/>
    <w:uiPriority w:val="0"/>
    <w:pPr>
      <w:framePr w:wrap="around"/>
    </w:pPr>
  </w:style>
  <w:style w:type="paragraph" w:customStyle="1" w:styleId="130">
    <w:name w:val="封面标准名称2"/>
    <w:basedOn w:val="76"/>
    <w:autoRedefine/>
    <w:qFormat/>
    <w:uiPriority w:val="0"/>
    <w:pPr>
      <w:framePr w:wrap="around" w:y="4469"/>
      <w:spacing w:beforeLines="630"/>
    </w:pPr>
  </w:style>
  <w:style w:type="paragraph" w:customStyle="1" w:styleId="131">
    <w:name w:val="封面标准英文名称2"/>
    <w:basedOn w:val="77"/>
    <w:autoRedefine/>
    <w:qFormat/>
    <w:uiPriority w:val="0"/>
    <w:pPr>
      <w:framePr w:wrap="around" w:y="4469"/>
    </w:pPr>
  </w:style>
  <w:style w:type="paragraph" w:customStyle="1" w:styleId="132">
    <w:name w:val="封面一致性程度标识2"/>
    <w:basedOn w:val="78"/>
    <w:autoRedefine/>
    <w:qFormat/>
    <w:uiPriority w:val="0"/>
    <w:pPr>
      <w:framePr w:wrap="around" w:y="4469"/>
    </w:pPr>
  </w:style>
  <w:style w:type="paragraph" w:customStyle="1" w:styleId="133">
    <w:name w:val="封面标准文稿类别2"/>
    <w:basedOn w:val="79"/>
    <w:autoRedefine/>
    <w:qFormat/>
    <w:uiPriority w:val="0"/>
    <w:pPr>
      <w:framePr w:wrap="around" w:y="4469"/>
    </w:pPr>
  </w:style>
  <w:style w:type="paragraph" w:customStyle="1" w:styleId="134">
    <w:name w:val="封面标准文稿编辑信息2"/>
    <w:basedOn w:val="80"/>
    <w:autoRedefine/>
    <w:qFormat/>
    <w:uiPriority w:val="0"/>
    <w:pPr>
      <w:framePr w:wrap="around" w:y="4469"/>
    </w:pPr>
  </w:style>
  <w:style w:type="paragraph" w:customStyle="1" w:styleId="135">
    <w:name w:val="标准名称"/>
    <w:basedOn w:val="48"/>
    <w:link w:val="138"/>
    <w:autoRedefine/>
    <w:qFormat/>
    <w:uiPriority w:val="0"/>
  </w:style>
  <w:style w:type="character" w:styleId="136">
    <w:name w:val="Placeholder Text"/>
    <w:basedOn w:val="33"/>
    <w:autoRedefine/>
    <w:semiHidden/>
    <w:qFormat/>
    <w:uiPriority w:val="99"/>
    <w:rPr>
      <w:color w:val="808080"/>
    </w:rPr>
  </w:style>
  <w:style w:type="character" w:customStyle="1" w:styleId="137">
    <w:name w:val="目次、标准名称标题 Char"/>
    <w:basedOn w:val="33"/>
    <w:link w:val="48"/>
    <w:autoRedefine/>
    <w:qFormat/>
    <w:uiPriority w:val="0"/>
    <w:rPr>
      <w:rFonts w:ascii="黑体" w:eastAsia="黑体"/>
      <w:sz w:val="32"/>
      <w:shd w:val="clear" w:color="FFFFFF" w:fill="FFFFFF"/>
    </w:rPr>
  </w:style>
  <w:style w:type="character" w:customStyle="1" w:styleId="138">
    <w:name w:val="标准名称 Char"/>
    <w:basedOn w:val="137"/>
    <w:link w:val="135"/>
    <w:autoRedefine/>
    <w:qFormat/>
    <w:uiPriority w:val="0"/>
    <w:rPr>
      <w:rFonts w:ascii="黑体" w:eastAsia="黑体"/>
      <w:sz w:val="32"/>
      <w:shd w:val="clear" w:color="FFFFFF" w:fill="FFFFFF"/>
    </w:rPr>
  </w:style>
  <w:style w:type="character" w:customStyle="1" w:styleId="139">
    <w:name w:val="批注框文本 字符"/>
    <w:basedOn w:val="33"/>
    <w:link w:val="16"/>
    <w:autoRedefine/>
    <w:qFormat/>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pPr>
            <w:pStyle w:val="5"/>
          </w:pPr>
          <w:r>
            <w:rPr>
              <w:rStyle w:val="4"/>
              <w:rFonts w:hint="eastAsia"/>
            </w:rPr>
            <w:t>标准名称</w:t>
          </w:r>
        </w:p>
      </w:docPartBody>
    </w:docPart>
    <w:docPart>
      <w:docPartPr>
        <w:name w:val="{9a9407b8-27b7-4d75-84bc-746b9ba70aad}"/>
        <w:style w:val=""/>
        <w:category>
          <w:name w:val="常规"/>
          <w:gallery w:val="placeholder"/>
        </w:category>
        <w:types>
          <w:type w:val="bbPlcHdr"/>
        </w:types>
        <w:behaviors>
          <w:behavior w:val="content"/>
        </w:behaviors>
        <w:description w:val=""/>
        <w:guid w:val="{9A9407B8-27B7-4D75-84BC-746B9BA70AAD}"/>
      </w:docPartPr>
      <w:docPartBody>
        <w:p>
          <w:pPr>
            <w:pStyle w:val="5"/>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13A"/>
    <w:rsid w:val="0002647A"/>
    <w:rsid w:val="0002653F"/>
    <w:rsid w:val="00080DE3"/>
    <w:rsid w:val="00087E40"/>
    <w:rsid w:val="000C73CF"/>
    <w:rsid w:val="000E0304"/>
    <w:rsid w:val="001132F9"/>
    <w:rsid w:val="00114ABC"/>
    <w:rsid w:val="001C16E0"/>
    <w:rsid w:val="002068C7"/>
    <w:rsid w:val="00323E80"/>
    <w:rsid w:val="003372E5"/>
    <w:rsid w:val="003750AF"/>
    <w:rsid w:val="00383CF5"/>
    <w:rsid w:val="00396A5A"/>
    <w:rsid w:val="003E5FCE"/>
    <w:rsid w:val="00430F92"/>
    <w:rsid w:val="004E61E8"/>
    <w:rsid w:val="004F113A"/>
    <w:rsid w:val="004F1EC5"/>
    <w:rsid w:val="00515A81"/>
    <w:rsid w:val="005335DD"/>
    <w:rsid w:val="00570593"/>
    <w:rsid w:val="00595E09"/>
    <w:rsid w:val="00674FBA"/>
    <w:rsid w:val="006A26E3"/>
    <w:rsid w:val="006D02E4"/>
    <w:rsid w:val="007216E9"/>
    <w:rsid w:val="007A5172"/>
    <w:rsid w:val="007C6ACB"/>
    <w:rsid w:val="007E2797"/>
    <w:rsid w:val="00800293"/>
    <w:rsid w:val="00820E7E"/>
    <w:rsid w:val="008E024D"/>
    <w:rsid w:val="008F0268"/>
    <w:rsid w:val="00902EF8"/>
    <w:rsid w:val="00906928"/>
    <w:rsid w:val="00982DAC"/>
    <w:rsid w:val="009B16B1"/>
    <w:rsid w:val="00A15D21"/>
    <w:rsid w:val="00A94E45"/>
    <w:rsid w:val="00AD6808"/>
    <w:rsid w:val="00B717AC"/>
    <w:rsid w:val="00B87AFC"/>
    <w:rsid w:val="00BC609D"/>
    <w:rsid w:val="00BC67AA"/>
    <w:rsid w:val="00C875D2"/>
    <w:rsid w:val="00CB0B2B"/>
    <w:rsid w:val="00D4454B"/>
    <w:rsid w:val="00D65DD7"/>
    <w:rsid w:val="00DA4409"/>
    <w:rsid w:val="00E15C32"/>
    <w:rsid w:val="00E95A08"/>
    <w:rsid w:val="00EA15BD"/>
    <w:rsid w:val="00EA32AC"/>
    <w:rsid w:val="00F2757C"/>
    <w:rsid w:val="00F93653"/>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1112"/>
    <w:autoRedefine/>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E1D5B4-BC00-4C17-B22E-A6652D53DB8C}">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16</Pages>
  <Words>1688</Words>
  <Characters>9628</Characters>
  <Lines>80</Lines>
  <Paragraphs>22</Paragraphs>
  <TotalTime>3</TotalTime>
  <ScaleCrop>false</ScaleCrop>
  <LinksUpToDate>false</LinksUpToDate>
  <CharactersWithSpaces>11294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2024-03-19T10:21:00Z</dcterms:created>
  <dc:creator>CNIS</dc:creator>
  <cp:lastModifiedBy>黑白</cp:lastModifiedBy>
  <dcterms:modified xsi:type="dcterms:W3CDTF">2024-12-03T12:54:46Z</dcterms:modified>
  <dc:title>标准名称</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384718126D2240D5BFF85248620EC676_12</vt:lpwstr>
  </property>
</Properties>
</file>