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207AD">
      <w:pP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附件</w:t>
      </w:r>
    </w:p>
    <w:p w14:paraId="589195A2">
      <w:pPr>
        <w:jc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巴中市2024年第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二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批新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开展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医疗服务项目价格标准及医保报销类别表</w:t>
      </w:r>
    </w:p>
    <w:tbl>
      <w:tblPr>
        <w:tblStyle w:val="5"/>
        <w:tblW w:w="145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432"/>
        <w:gridCol w:w="2021"/>
        <w:gridCol w:w="2559"/>
        <w:gridCol w:w="1613"/>
        <w:gridCol w:w="487"/>
        <w:gridCol w:w="2100"/>
        <w:gridCol w:w="628"/>
        <w:gridCol w:w="628"/>
        <w:gridCol w:w="628"/>
        <w:gridCol w:w="628"/>
        <w:gridCol w:w="632"/>
        <w:gridCol w:w="590"/>
      </w:tblGrid>
      <w:tr w14:paraId="4BFCF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Header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5D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方正黑体_GBK" w:hAnsi="方正黑体_GBK" w:eastAsia="方正黑体_GBK" w:cs="方正黑体_GBK"/>
                <w:b/>
                <w:bCs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F3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方正黑体_GBK" w:hAnsi="方正黑体_GBK" w:eastAsia="方正黑体_GBK" w:cs="方正黑体_GBK"/>
                <w:b/>
                <w:bCs/>
                <w:sz w:val="20"/>
                <w:szCs w:val="20"/>
                <w:lang w:val="en-US" w:eastAsia="zh-CN" w:bidi="ar"/>
              </w:rPr>
              <w:t>编码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44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方正黑体_GBK" w:hAnsi="方正黑体_GBK" w:eastAsia="方正黑体_GBK" w:cs="方正黑体_GBK"/>
                <w:b/>
                <w:bCs/>
                <w:sz w:val="20"/>
                <w:szCs w:val="20"/>
                <w:lang w:val="en-US" w:eastAsia="zh-CN" w:bidi="ar"/>
              </w:rPr>
              <w:t>项目名称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EC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方正黑体_GBK" w:hAnsi="方正黑体_GBK" w:eastAsia="方正黑体_GBK" w:cs="方正黑体_GBK"/>
                <w:b/>
                <w:bCs/>
                <w:sz w:val="20"/>
                <w:szCs w:val="20"/>
                <w:lang w:val="en-US" w:eastAsia="zh-CN" w:bidi="ar"/>
              </w:rPr>
              <w:t>项目内涵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4B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7"/>
                <w:rFonts w:hint="eastAsia" w:ascii="方正黑体_GBK" w:hAnsi="方正黑体_GBK" w:eastAsia="方正黑体_GBK" w:cs="方正黑体_GBK"/>
                <w:b/>
                <w:bCs/>
                <w:sz w:val="20"/>
                <w:szCs w:val="20"/>
                <w:lang w:val="en-US" w:eastAsia="zh-CN" w:bidi="ar"/>
              </w:rPr>
            </w:pPr>
            <w:r>
              <w:rPr>
                <w:rStyle w:val="7"/>
                <w:rFonts w:hint="eastAsia" w:ascii="方正黑体_GBK" w:hAnsi="方正黑体_GBK" w:eastAsia="方正黑体_GBK" w:cs="方正黑体_GBK"/>
                <w:b/>
                <w:bCs/>
                <w:sz w:val="20"/>
                <w:szCs w:val="20"/>
                <w:lang w:val="en-US" w:eastAsia="zh-CN" w:bidi="ar"/>
              </w:rPr>
              <w:t>除外</w:t>
            </w:r>
          </w:p>
          <w:p w14:paraId="155A1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方正黑体_GBK" w:hAnsi="方正黑体_GBK" w:eastAsia="方正黑体_GBK" w:cs="方正黑体_GBK"/>
                <w:b/>
                <w:bCs/>
                <w:sz w:val="20"/>
                <w:szCs w:val="20"/>
                <w:lang w:val="en-US" w:eastAsia="zh-CN" w:bidi="ar"/>
              </w:rPr>
              <w:t>内容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A9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7"/>
                <w:rFonts w:hint="eastAsia" w:ascii="方正黑体_GBK" w:hAnsi="方正黑体_GBK" w:eastAsia="方正黑体_GBK" w:cs="方正黑体_GBK"/>
                <w:b/>
                <w:bCs/>
                <w:sz w:val="20"/>
                <w:szCs w:val="20"/>
                <w:lang w:val="en-US" w:eastAsia="zh-CN" w:bidi="ar"/>
              </w:rPr>
            </w:pPr>
            <w:r>
              <w:rPr>
                <w:rStyle w:val="7"/>
                <w:rFonts w:hint="eastAsia" w:ascii="方正黑体_GBK" w:hAnsi="方正黑体_GBK" w:eastAsia="方正黑体_GBK" w:cs="方正黑体_GBK"/>
                <w:b/>
                <w:bCs/>
                <w:sz w:val="20"/>
                <w:szCs w:val="20"/>
                <w:lang w:val="en-US" w:eastAsia="zh-CN" w:bidi="ar"/>
              </w:rPr>
              <w:t>计价</w:t>
            </w:r>
          </w:p>
          <w:p w14:paraId="2EC78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方正黑体_GBK" w:hAnsi="方正黑体_GBK" w:eastAsia="方正黑体_GBK" w:cs="方正黑体_GBK"/>
                <w:b/>
                <w:bCs/>
                <w:sz w:val="20"/>
                <w:szCs w:val="20"/>
                <w:lang w:val="en-US" w:eastAsia="zh-CN" w:bidi="ar"/>
              </w:rPr>
              <w:t>单位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68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方正黑体_GBK" w:hAnsi="方正黑体_GBK" w:eastAsia="方正黑体_GBK" w:cs="方正黑体_GBK"/>
                <w:b/>
                <w:bCs/>
                <w:sz w:val="20"/>
                <w:szCs w:val="20"/>
                <w:lang w:val="en-US" w:eastAsia="zh-CN" w:bidi="ar"/>
              </w:rPr>
              <w:t>说</w:t>
            </w:r>
            <w:r>
              <w:rPr>
                <w:rStyle w:val="8"/>
                <w:rFonts w:hint="eastAsia" w:ascii="方正黑体_GBK" w:hAnsi="方正黑体_GBK" w:eastAsia="方正黑体_GBK" w:cs="方正黑体_GBK"/>
                <w:b/>
                <w:bCs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Style w:val="7"/>
                <w:rFonts w:hint="eastAsia" w:ascii="方正黑体_GBK" w:hAnsi="方正黑体_GBK" w:eastAsia="方正黑体_GBK" w:cs="方正黑体_GBK"/>
                <w:b/>
                <w:bCs/>
                <w:sz w:val="20"/>
                <w:szCs w:val="20"/>
                <w:lang w:val="en-US" w:eastAsia="zh-CN" w:bidi="ar"/>
              </w:rPr>
              <w:t>明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A9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方正黑体_GBK" w:hAnsi="方正黑体_GBK" w:eastAsia="方正黑体_GBK" w:cs="方正黑体_GBK"/>
                <w:b/>
                <w:bCs/>
                <w:sz w:val="20"/>
                <w:szCs w:val="20"/>
                <w:lang w:val="en-US" w:eastAsia="zh-CN" w:bidi="ar"/>
              </w:rPr>
              <w:t>三甲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8C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方正黑体_GBK" w:hAnsi="方正黑体_GBK" w:eastAsia="方正黑体_GBK" w:cs="方正黑体_GBK"/>
                <w:b/>
                <w:bCs/>
                <w:sz w:val="20"/>
                <w:szCs w:val="20"/>
                <w:lang w:val="en-US" w:eastAsia="zh-CN" w:bidi="ar"/>
              </w:rPr>
              <w:t>三乙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2B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方正黑体_GBK" w:hAnsi="方正黑体_GBK" w:eastAsia="方正黑体_GBK" w:cs="方正黑体_GBK"/>
                <w:b/>
                <w:bCs/>
                <w:sz w:val="20"/>
                <w:szCs w:val="20"/>
                <w:lang w:val="en-US" w:eastAsia="zh-CN" w:bidi="ar"/>
              </w:rPr>
              <w:t>二甲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C5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二乙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5E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二乙</w:t>
            </w:r>
          </w:p>
          <w:p w14:paraId="377D9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以下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56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报销类别</w:t>
            </w:r>
          </w:p>
        </w:tc>
      </w:tr>
      <w:tr w14:paraId="6D900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1DE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A4A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120400014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8CC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骨髓腔穿刺输注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339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后铺巾，扩宫棒逐次扩宫至10号，置入外径为9.5号的宫腔电切镜，首选使用环状电极将憩室切口下缘组织切除，消除活瓣，然后使用电极将憩室内组织或较粗大血管电凝去除，确认创面无明显出血后退出宫腔电切镜，再次消毒宫腔。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C73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C84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09A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限急需经血管通路补液治疗或药物治疗，但无法建立常规静脉通路的急危重患者。输注从第二组起，每加一组液体加收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元。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68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62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02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41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E5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25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</w:tr>
      <w:tr w14:paraId="77C0B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AA4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4BF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120400014-1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23E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骨髓腔穿刺输注(从第二组起，每加一组液体加收)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4D0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  <w:t>切人迎、寸口、冲阳、太溪脉象,辨证确定针灸处方，常规消毒，选用适宜的金针及普通针灸针，进针后施以处方针刺手法，使患者得气，同时定时根据患者脉象变化调整处方手法，针刺手法结束后留针30-50分钟出针，局部按压防止出血。针刺中密切关注有无晕针等不良反应。出针后再次切脉，了解脉象变化。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914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F38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4F3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D7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45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D3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3A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B8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B0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</w:tr>
      <w:tr w14:paraId="202F5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3DD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59B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210102017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262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非血管介入临床操作数字减影（DSA）引导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E50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221E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210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E04B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D2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11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657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86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592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0A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533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55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 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76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</w:tr>
      <w:tr w14:paraId="7B8AD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D98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8DC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220301001-9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5DE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彩色多普勒超声常规检查（产前诊断加收）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609B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9092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CCD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A25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79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D7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68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FD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D7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51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</w:tr>
      <w:tr w14:paraId="5A5B1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17C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48A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220600004-2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21B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心脏彩色多普勒超声（产前诊断加收）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8658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CA7B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1FC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A06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18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AF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E5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12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61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01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</w:tr>
      <w:tr w14:paraId="23F7D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4E6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ABF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250700014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AD7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培养细胞的染色体分析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5A9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包括各种标本；含细胞培养和染色体分析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25C1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F2B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5F9F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8C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E9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03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B9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86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46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</w:tr>
      <w:tr w14:paraId="61CEC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B81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276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250700014-1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250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羊水、绒毛细胞培养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48C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E30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EEA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65B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脐血、外周血细胞培养减收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B6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256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9B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235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B5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E4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192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8F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183 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9C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</w:tr>
      <w:tr w14:paraId="4C20D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DA8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289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250700014-2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C7C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羊水、绒毛细胞培养（脐血细胞培养）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FE6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457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872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6AE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4A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A1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BA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F2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A6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9F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</w:tr>
      <w:tr w14:paraId="4CE1B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172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172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250700014-3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F94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羊水、绒毛细胞培养（外周血细胞培养）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1DCA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270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CFA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3FE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D6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F8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9D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DF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A4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BA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</w:tr>
      <w:tr w14:paraId="147FD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AD5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F6E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260000004-1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D6E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Rh血型鉴定（微柱凝胶法加收)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29D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293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B26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065D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1E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8C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5C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20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17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66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</w:tr>
      <w:tr w14:paraId="05607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D55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F42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310702023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8CD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医学3D建模（心腔）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5C3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利用医学影像检查等手段获得患者特定部位的真实信息，通过数字技术构建的虚拟3D模型、真实再现特定部位的形态，能够满足疾病诊断、手术规划、治疗的需要。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60A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血管鞘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CA3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737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84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966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9B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886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EB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806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C4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725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B5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693 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F7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</w:tr>
      <w:tr w14:paraId="1889E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41C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130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311400059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260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皮肤镜检测诊断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797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明确检测部位，消毒镜头与皮肤接触面，皮肤镜下微距摄影，就皮损色泽、边界、形态等进行分析，出具图文报告。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8BD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BA6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每个视野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AA6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4E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D6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AF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2C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13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D7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</w:tr>
      <w:tr w14:paraId="302ED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4A8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B9A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330502008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8E4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听骨链松解术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96A2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EE0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668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85B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2B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1270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E2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1162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16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1056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22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954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A1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858 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25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</w:tr>
      <w:tr w14:paraId="25616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36D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B63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330804005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EDE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颈动脉瘤切除＋血管移植术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FD2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包括颈动脉假性动脉瘤、外伤性动—静脉瘘、颈动脉过度迂曲的切除，自体大隐静脉或其它血管的取用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72D1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31B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489D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E2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1700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7B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1554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3D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1413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65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1270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22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1143 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FF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</w:tr>
      <w:tr w14:paraId="78B79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021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47B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330804006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212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颈动脉体瘤切除＋血管移植术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E13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0DA2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91E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365E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E8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2252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4A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2065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82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1877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C5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1689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92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1521 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3B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</w:tr>
      <w:tr w14:paraId="6B4E5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82A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761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8890"/>
                  <wp:effectExtent l="0" t="0" r="0" b="0"/>
                  <wp:wrapNone/>
                  <wp:docPr id="2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330804011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0D3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胸腹主动脉瘤切除人工血管转流术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6AC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含大隐静脉取用；包括脊髓动脉、腹腔动脉、肠系膜上、下动脉、双肾动脉架桥；不含体外循环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EFD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D4E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CCF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D1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3378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51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3097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06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2815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49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2539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68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2285 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0A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</w:tr>
      <w:tr w14:paraId="40D1C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A60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9E0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330804011-1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F52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胸腹主动脉瘤切除人工血管转流术(脊髓动脉架桥)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D22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4F5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819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2C6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DC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3378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C4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3097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8D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2815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04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2539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3A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2285 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9A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</w:tr>
      <w:tr w14:paraId="1CB05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555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995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330804011-2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F45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胸腹主动脉瘤切除人工血管转流术(腹腔动脉架桥)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D83A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B1E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0AE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AD1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AD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3378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BA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3097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58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2815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03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2539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F3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2285 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21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</w:tr>
      <w:tr w14:paraId="4E339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939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DDD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330804011-3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4D4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胸腹主动脉瘤切除人工血管转流术(肠系膜上动脉架桥)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C84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73D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6C6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758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CB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3378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F8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3097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7C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2815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5E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2539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55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2285 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A7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</w:tr>
      <w:tr w14:paraId="7CDC6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03E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339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330804011-4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FD4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胸腹主动脉瘤切除人工血管转流术(肠系膜下动脉架桥)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A90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6D80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5EB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888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F0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3378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91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3097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59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2815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1D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2539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84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2285 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C1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</w:tr>
      <w:tr w14:paraId="2094D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BF3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331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330804011-5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F14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胸腹主动脉瘤切除人工血管转流术(双肾动脉架桥)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BA4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5F2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E47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9677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F6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3378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3D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3097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FA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2815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65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2539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FC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2285 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28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</w:tr>
      <w:tr w14:paraId="76EF0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864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6A5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330804013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641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肠系膜上动脉取栓＋移植术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0DC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含大隐静脉取用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F1B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取栓管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3E4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71D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00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2252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1A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2065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E2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1877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BE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1689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87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1521 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38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</w:tr>
      <w:tr w14:paraId="1F028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EDD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A1A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330804014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854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胸腹主动脉损伤修复术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1D5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包括腔静脉损伤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162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D15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A57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9C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2252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AD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2065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85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1877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EB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1689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EA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1521 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2B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</w:tr>
      <w:tr w14:paraId="113A8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002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0AD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330804014-1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91E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胸腹主动脉损伤修复术(腔静脉损伤)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C16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396D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4A1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22D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7B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2252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C5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2065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DC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1877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8B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1689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30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1521 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0D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</w:tr>
      <w:tr w14:paraId="2764C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4D4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E87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330804039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F75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股股动脉人工血管转流术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AAC1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695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3C6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BF7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E3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795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E3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729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B8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663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2E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597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2A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537 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0F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</w:tr>
      <w:tr w14:paraId="45289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FAE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81A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330804040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011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股胫前动脉转流术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BF65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321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810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105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27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795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E7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729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C1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663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E9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597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3B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537 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00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</w:tr>
      <w:tr w14:paraId="36791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F17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A02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330804041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967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股腘动脉人工自体血管移植术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F3D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包括股—股转流、原位大隐静脉转流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BA9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瓣膜刀或其它能破坏瓣膜的代用品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F5F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0C5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CF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2473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7E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2272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B1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2065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99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1855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97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1670 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21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</w:tr>
      <w:tr w14:paraId="090AC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DD4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C4A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330804041-1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1D0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股腘动脉人工自体血管移植术(股—股转流)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525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D75B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6BC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760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99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2473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4B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2272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B0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2065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65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1855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0C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1670 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EB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</w:tr>
      <w:tr w14:paraId="02DB0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D8C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866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330804041-2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ACA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股腘动脉人工自体血管移植术(原位大隐静脉转流)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23D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239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1FB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141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29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2473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E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2272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AD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2065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BC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1855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12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1670 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32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</w:tr>
      <w:tr w14:paraId="45A0D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D68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1E7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330804049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8C0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腋股动脉人工血管转流术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84C7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E30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800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6C2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需继续向远端动脉架桥,每增一支加收元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13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2925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49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2683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45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2440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BB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2197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C6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1977 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88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</w:tr>
      <w:tr w14:paraId="4A1F2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8A1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AA9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331203014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1E4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显微镜下精索静脉曲张低位结扎术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686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经腹股沟管或外环下切口低位入路，游离精索，显微镜下结扎所有精索静脉，保留睾丸动脉、淋巴管及输精管静脉，缝合切口。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0BB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4F1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单侧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B61C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E0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1347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A8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1236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97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1123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8A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1011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92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967 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DA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</w:tr>
      <w:tr w14:paraId="67BF9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A07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9EE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331501038-1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F59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腰椎间盘突出摘除术(每增加一个间盘加收)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AF57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D414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666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每节间盘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830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B4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219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5A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219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E9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219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54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219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8A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219 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82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</w:tr>
      <w:tr w14:paraId="3F565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F93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2B1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331523013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480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痛风病灶切除术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F71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痛风石已增大至影响关节功能或压迫神经，消毒铺巾，气囊止血带止血，切开皮肤，显露痛风病灶，切除痛风石灰样沉积物，分离并保护被侵蚀的组织，关节囊、骨、软骨、肌腱等组织侵蚀破坏后给予重建修复。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A83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F04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每部位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69C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手足以每指(趾)为部位，其他以关节为部位，每增加一个部位加收15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元。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EE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296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F3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272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52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247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E9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222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A9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212 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F1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</w:tr>
      <w:tr w14:paraId="3F087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E7E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729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331523013-1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C30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痛风病灶切除术（每增加一个部位加收）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8AC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77D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469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每部位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E40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3F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6B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3A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DA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07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06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</w:tr>
      <w:tr w14:paraId="31BCE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146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E4A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410000014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8DE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中药外敷治疗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BD4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根据患者疾病，中医辨证施治后，选定外用方剂，调配后外敷于患处。主要用于颈椎病、腰椎病、肩周炎、关节炎、闭合型骨折、软组织损伤、乳痈、痛风、蜂窝组织炎。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2C5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2AA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F96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面积每次不低于10cm×10cm，每周不超过3次。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11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22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57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40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CE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53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</w:tr>
      <w:tr w14:paraId="65428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7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B45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C10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440000009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738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铺灸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987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服务产出：由医务人员将施灸制品对胸腹部、腰背部等平铺灸饼实施灸法，通过温和的药力和热力进行治疗，促进疏通经络，调和阴阳，扶正祛邪，达到治疗疾病的目的。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价格构成：所定价格涵盖灸饼和施灸制品制备，撒药粉，平铺，放置，点燃，施灸等所需的人力资源和基本物质资源消耗时间成本。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639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中医特殊药物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6D7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8FD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B8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C4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81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A7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45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4F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</w:tr>
      <w:tr w14:paraId="6B3ED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9EE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DE0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LDHZY001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2B3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热消融肿瘤治疗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104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指使用射频、微波、激光等设备对实体性肿瘤、囊实性肿瘤实行疗程式损毁治疗。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DA9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一次性消融针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D44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4BA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76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1367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DC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1246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4B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1133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AE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1020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34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950 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63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</w:tr>
      <w:tr w14:paraId="713AE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48F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B06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PBCD1502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46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砭石疗法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BD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服务产出：由医务人员使用贬石等同类功能的器具，通过各类手法作用在人体各部位，以发挥促进疏通经络、活血理气等各类作用。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价格构成：所定价格涵盖局部消莓，确定部位、运用点、压、揉、雄、刮、擦等各类手法，清洁，处理用物所需的人力资源和基本物质资源消耗，含设备投入及维护成本。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C4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D5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3C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0-6周岁儿童加收</w:t>
            </w:r>
            <w:r>
              <w:rPr>
                <w:rStyle w:val="9"/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lang w:val="en-US" w:eastAsia="zh-CN" w:bidi="ar"/>
              </w:rPr>
              <w:t>20%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CA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73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A3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5D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4E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8F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</w:tr>
      <w:tr w14:paraId="64195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24D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763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PBCD1502-1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AF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砭石疗法（0-6周岁儿童加收）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E6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E9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6A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63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7B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BB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56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8C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A0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89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</w:tr>
    </w:tbl>
    <w:p w14:paraId="0A2ACFA2"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3649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505C1C3">
                          <w:pPr>
                            <w:pStyle w:val="4"/>
                            <w:rPr>
                              <w:rFonts w:hint="eastAsia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Times New Roman" w:hAnsi="Times New Roman" w:eastAsia="方正仿宋_GBK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方正仿宋_GBK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05C1C3">
                    <w:pPr>
                      <w:pStyle w:val="4"/>
                      <w:rPr>
                        <w:rFonts w:hint="eastAsia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Times New Roman" w:hAnsi="Times New Roman" w:eastAsia="方正仿宋_GBK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方正仿宋_GBK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B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qFormat/>
    <w:uiPriority w:val="0"/>
    <w:pPr>
      <w:widowControl w:val="0"/>
      <w:spacing w:before="0" w:after="14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character" w:customStyle="1" w:styleId="7">
    <w:name w:val="font21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71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0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2024-12-04T08:16:43Z</dcterms:created>
  <dc:creator>Lenovo</dc:creator>
  <cp:lastModifiedBy>沙漠孤舟</cp:lastModifiedBy>
  <dcterms:modified xsi:type="dcterms:W3CDTF">2024-12-04T08:17:25Z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3357D07FEC3A4C2F97F04F805C7BD2DE_12</vt:lpwstr>
  </property>
</Properties>
</file>