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textAlignment w:val="auto"/>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附件2</w:t>
      </w:r>
    </w:p>
    <w:p>
      <w:pPr>
        <w:keepNext w:val="0"/>
        <w:keepLines w:val="0"/>
        <w:pageBreakBefore w:val="0"/>
        <w:kinsoku/>
        <w:wordWrap/>
        <w:overflowPunct/>
        <w:topLinePunct w:val="0"/>
        <w:autoSpaceDE/>
        <w:autoSpaceDN/>
        <w:bidi w:val="0"/>
        <w:adjustRightInd/>
        <w:snapToGrid/>
        <w:spacing w:line="640" w:lineRule="exact"/>
        <w:textAlignment w:val="auto"/>
        <w:rPr>
          <w:rFonts w:ascii="Nimbus Roman" w:hAnsi="Nimbus Roman" w:eastAsia="宋体" w:cs="Nimbus Roman"/>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pStyle w:val="8"/>
        <w:numPr>
          <w:numId w:val="0"/>
        </w:numPr>
        <w:spacing w:line="600" w:lineRule="exact"/>
        <w:rPr>
          <w:rFonts w:ascii="Nimbus Roman" w:hAnsi="Nimbus Roman" w:eastAsia="黑体" w:cs="Nimbus Roman"/>
          <w:color w:val="000000" w:themeColor="text1"/>
          <w:sz w:val="32"/>
          <w:szCs w:val="32"/>
          <w14:textFill>
            <w14:solidFill>
              <w14:schemeClr w14:val="tx1"/>
            </w14:solidFill>
          </w14:textFill>
        </w:rPr>
      </w:pPr>
      <w:r>
        <w:rPr>
          <w:rFonts w:hint="eastAsia" w:ascii="Nimbus Roman" w:hAnsi="Nimbus Roman" w:eastAsia="黑体" w:cs="Nimbus Roman"/>
          <w:color w:val="000000" w:themeColor="text1"/>
          <w:sz w:val="32"/>
          <w:szCs w:val="32"/>
          <w:lang w:eastAsia="zh-CN"/>
          <w14:textFill>
            <w14:solidFill>
              <w14:schemeClr w14:val="tx1"/>
            </w14:solidFill>
          </w14:textFill>
        </w:rPr>
        <w:t>　　一、政策背景</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14:textFill>
            <w14:solidFill>
              <w14:schemeClr w14:val="tx1"/>
            </w14:solidFill>
          </w14:textFill>
        </w:rPr>
        <w:t>医疗服务价格项目是医疗服务项目定价和价格管理的基础和依据,</w:t>
      </w:r>
      <w:r>
        <w:rPr>
          <w:rFonts w:hint="eastAsia" w:ascii="Times New Roman" w:hAnsi="Times New Roman" w:eastAsia="仿宋_GB2312" w:cs="Nimbus Roman"/>
          <w:color w:val="000000" w:themeColor="text1"/>
          <w:sz w:val="32"/>
          <w:szCs w:val="32"/>
          <w:lang w:eastAsia="zh-CN"/>
          <w14:textFill>
            <w14:solidFill>
              <w14:schemeClr w14:val="tx1"/>
            </w14:solidFill>
          </w14:textFill>
        </w:rPr>
        <w:t>为贯彻落实国家医保局等八部委印发的</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《深化医疗服务价格改革试点方案》（医保发〔2021〕41号）、《国家医疗保障局办公室关于进一步做好医疗服务价格管理工作的通知》（医保办发〔2022〕16号）等文件精神</w:t>
      </w:r>
      <w:r>
        <w:rPr>
          <w:rFonts w:hint="eastAsia" w:ascii="Times New Roman" w:hAnsi="Times New Roman" w:eastAsia="仿宋_GB2312" w:cs="Nimbus Roman"/>
          <w:color w:val="000000" w:themeColor="text1"/>
          <w:sz w:val="32"/>
          <w:szCs w:val="32"/>
          <w:lang w:eastAsia="zh-CN"/>
          <w14:textFill>
            <w14:solidFill>
              <w14:schemeClr w14:val="tx1"/>
            </w14:solidFill>
          </w14:textFill>
        </w:rPr>
        <w:t>，根据《广东省医疗保障局新增医疗服务价格项目管理办法》（粤医保规〔202</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Nimbus Roman"/>
          <w:color w:val="000000" w:themeColor="text1"/>
          <w:sz w:val="32"/>
          <w:szCs w:val="32"/>
          <w:lang w:eastAsia="zh-CN"/>
          <w14:textFill>
            <w14:solidFill>
              <w14:schemeClr w14:val="tx1"/>
            </w14:solidFill>
          </w14:textFill>
        </w:rPr>
        <w:t>号），</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省医保</w:t>
      </w:r>
      <w:r>
        <w:rPr>
          <w:rFonts w:hint="default" w:ascii="Times New Roman" w:hAnsi="Times New Roman" w:eastAsia="仿宋_GB2312" w:cs="Nimbus Roman"/>
          <w:b w:val="0"/>
          <w:i w:val="0"/>
          <w:snapToGrid/>
          <w:color w:val="000000"/>
          <w:sz w:val="32"/>
          <w:szCs w:val="32"/>
          <w:shd w:val="clear" w:fill="auto"/>
          <w:lang w:val="en-US" w:eastAsia="zh-CN" w:bidi="ar"/>
        </w:rPr>
        <w:t>局对申请修订的医疗服务价格项目开展了专家论证审核</w:t>
      </w:r>
      <w:r>
        <w:rPr>
          <w:rFonts w:hint="eastAsia" w:ascii="Times New Roman" w:hAnsi="Times New Roman" w:eastAsia="仿宋_GB2312" w:cs="Nimbus Roman"/>
          <w:b w:val="0"/>
          <w:i w:val="0"/>
          <w:snapToGrid/>
          <w:color w:val="000000"/>
          <w:sz w:val="32"/>
          <w:szCs w:val="32"/>
          <w:shd w:val="clear" w:fill="auto"/>
          <w:lang w:val="en-US" w:eastAsia="zh-CN" w:bidi="ar"/>
        </w:rPr>
        <w:t>，并对相关修订医疗服务价格项目制定了全省最高限价，于2024年11月28日印发</w:t>
      </w:r>
      <w:r>
        <w:rPr>
          <w:rFonts w:hint="default" w:ascii="Nimbus Roman" w:hAnsi="Nimbus Roman" w:eastAsia="仿宋_GB2312" w:cs="Nimbus Roman"/>
          <w:color w:val="000000"/>
          <w:sz w:val="32"/>
          <w:szCs w:val="32"/>
        </w:rPr>
        <w:t>《</w:t>
      </w:r>
      <w:r>
        <w:rPr>
          <w:rFonts w:hint="eastAsia" w:ascii="Nimbus Roman" w:hAnsi="Nimbus Roman" w:eastAsia="仿宋_GB2312" w:cs="Nimbus Roman"/>
          <w:color w:val="000000"/>
          <w:sz w:val="32"/>
          <w:szCs w:val="32"/>
          <w:lang w:val="en-US" w:eastAsia="zh-CN"/>
        </w:rPr>
        <w:t>广东省</w:t>
      </w:r>
      <w:r>
        <w:rPr>
          <w:rFonts w:hint="default" w:ascii="Nimbus Roman" w:hAnsi="Nimbus Roman" w:eastAsia="仿宋_GB2312" w:cs="Nimbus Roman"/>
          <w:color w:val="000000"/>
          <w:sz w:val="32"/>
          <w:szCs w:val="32"/>
        </w:rPr>
        <w:t>医疗保障局关于公布“高强度超声聚焦刀治疗”等修订医疗服务</w:t>
      </w:r>
      <w:r>
        <w:rPr>
          <w:rFonts w:hint="eastAsia" w:ascii="Nimbus Roman" w:hAnsi="Nimbus Roman" w:eastAsia="仿宋_GB2312" w:cs="Nimbus Roman"/>
          <w:color w:val="000000"/>
          <w:sz w:val="32"/>
          <w:szCs w:val="32"/>
          <w:lang w:val="en-US" w:eastAsia="zh-CN"/>
        </w:rPr>
        <w:t>价格</w:t>
      </w:r>
      <w:r>
        <w:rPr>
          <w:rFonts w:hint="default" w:ascii="Nimbus Roman" w:hAnsi="Nimbus Roman" w:eastAsia="仿宋_GB2312" w:cs="Nimbus Roman"/>
          <w:color w:val="000000"/>
          <w:sz w:val="32"/>
          <w:szCs w:val="32"/>
        </w:rPr>
        <w:t>项目的通</w:t>
      </w:r>
      <w:r>
        <w:rPr>
          <w:rFonts w:hint="default" w:ascii="Times New Roman" w:hAnsi="Times New Roman" w:eastAsia="仿宋_GB2312" w:cs="Times New Roman"/>
          <w:color w:val="000000"/>
          <w:sz w:val="32"/>
          <w:szCs w:val="32"/>
        </w:rPr>
        <w:t>知》（</w:t>
      </w:r>
      <w:r>
        <w:rPr>
          <w:rFonts w:hint="default" w:ascii="Times New Roman" w:hAnsi="Times New Roman" w:eastAsia="仿宋_GB2312" w:cs="Times New Roman"/>
          <w:color w:val="000000"/>
          <w:sz w:val="32"/>
          <w:szCs w:val="32"/>
          <w:lang w:val="en-US" w:eastAsia="zh-CN"/>
        </w:rPr>
        <w:t>粤</w:t>
      </w:r>
      <w:r>
        <w:rPr>
          <w:rFonts w:hint="default" w:ascii="Times New Roman" w:hAnsi="Times New Roman" w:eastAsia="仿宋_GB2312" w:cs="Times New Roman"/>
          <w:color w:val="000000"/>
          <w:sz w:val="32"/>
          <w:szCs w:val="32"/>
        </w:rPr>
        <w:t>医保发〔</w:t>
      </w:r>
      <w:r>
        <w:rPr>
          <w:rFonts w:hint="default" w:ascii="Times New Roman" w:hAnsi="Times New Roman" w:eastAsia="仿宋_GB2312" w:cs="Times New Roman"/>
          <w:color w:val="000000"/>
          <w:sz w:val="32"/>
          <w:szCs w:val="32"/>
          <w:lang w:val="en-US" w:eastAsia="zh-CN"/>
        </w:rPr>
        <w:t>2024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根据</w:t>
      </w:r>
      <w:r>
        <w:rPr>
          <w:rFonts w:hint="default" w:ascii="Times New Roman" w:hAnsi="Times New Roman" w:eastAsia="仿宋_GB2312" w:cs="Times New Roman"/>
          <w:kern w:val="0"/>
          <w:sz w:val="32"/>
          <w:szCs w:val="32"/>
          <w:lang w:val="en-US" w:eastAsia="zh-CN" w:bidi="ar"/>
        </w:rPr>
        <w:t>《广东省定价目录（2022年版）》</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 w:val="0"/>
          <w:bCs w:val="0"/>
          <w:sz w:val="32"/>
          <w:szCs w:val="32"/>
          <w:lang w:val="en-US" w:eastAsia="zh-CN"/>
        </w:rPr>
        <w:t>粤府办</w:t>
      </w:r>
      <w:r>
        <w:rPr>
          <w:rFonts w:hint="default" w:ascii="Times New Roman" w:hAnsi="Times New Roman" w:eastAsia="仿宋_GB2312" w:cs="Times New Roman"/>
          <w:kern w:val="0"/>
          <w:sz w:val="32"/>
          <w:szCs w:val="32"/>
          <w:lang w:val="en-US" w:eastAsia="zh-CN" w:bidi="ar"/>
        </w:rPr>
        <w:t>〔2022〕5号）和《广东省发展改革委关于印发关于政府制定价格行为规则的实施细则（2024年修订）的通知》(粤发改规〔2024〕3号)等规定，市医保局拟定了《关于公布“高强度超</w:t>
      </w:r>
      <w:r>
        <w:rPr>
          <w:rFonts w:hint="eastAsia" w:eastAsia="仿宋_GB2312" w:cs="Times New Roman"/>
          <w:kern w:val="0"/>
          <w:sz w:val="32"/>
          <w:szCs w:val="32"/>
          <w:lang w:val="en-US" w:eastAsia="zh-CN" w:bidi="ar"/>
        </w:rPr>
        <w:t>声聚焦刀治疗”等修订医疗服务项目价格的通知（征求意见稿）》。</w:t>
      </w:r>
    </w:p>
    <w:p>
      <w:pPr>
        <w:pStyle w:val="8"/>
        <w:numPr>
          <w:numId w:val="0"/>
        </w:numPr>
        <w:spacing w:line="600" w:lineRule="exact"/>
        <w:rPr>
          <w:rFonts w:ascii="Nimbus Roman" w:hAnsi="Nimbus Roman" w:eastAsia="黑体" w:cs="Nimbus Roman"/>
          <w:color w:val="000000" w:themeColor="text1"/>
          <w:sz w:val="32"/>
          <w:szCs w:val="32"/>
          <w14:textFill>
            <w14:solidFill>
              <w14:schemeClr w14:val="tx1"/>
            </w14:solidFill>
          </w14:textFill>
        </w:rPr>
      </w:pPr>
      <w:r>
        <w:rPr>
          <w:rFonts w:hint="eastAsia" w:ascii="Nimbus Roman" w:hAnsi="Nimbus Roman" w:eastAsia="黑体" w:cs="Nimbus Roman"/>
          <w:color w:val="000000" w:themeColor="text1"/>
          <w:sz w:val="32"/>
          <w:szCs w:val="32"/>
          <w:lang w:eastAsia="zh-CN"/>
          <w14:textFill>
            <w14:solidFill>
              <w14:schemeClr w14:val="tx1"/>
            </w14:solidFill>
          </w14:textFill>
        </w:rPr>
        <w:t>　　二、政策依据</w:t>
      </w:r>
      <w:bookmarkStart w:id="2" w:name="_GoBack"/>
      <w:bookmarkEnd w:id="2"/>
    </w:p>
    <w:p>
      <w:pPr>
        <w:numPr>
          <w:ilvl w:val="0"/>
          <w:numId w:val="1"/>
        </w:numPr>
        <w:spacing w:line="600" w:lineRule="exact"/>
        <w:ind w:firstLine="640" w:firstLineChars="200"/>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《广东省定价目录（2022年版）》</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 w:val="0"/>
          <w:bCs w:val="0"/>
          <w:sz w:val="32"/>
          <w:szCs w:val="32"/>
          <w:lang w:val="en-US" w:eastAsia="zh-CN"/>
        </w:rPr>
        <w:t>粤</w:t>
      </w:r>
      <w:r>
        <w:rPr>
          <w:rFonts w:hint="eastAsia" w:ascii="Times New Roman" w:hAnsi="Times New Roman" w:eastAsia="仿宋_GB2312" w:cs="Times New Roman"/>
          <w:b w:val="0"/>
          <w:bCs w:val="0"/>
          <w:sz w:val="32"/>
          <w:szCs w:val="32"/>
          <w:lang w:val="en-US" w:eastAsia="zh-CN"/>
        </w:rPr>
        <w:t>府办</w:t>
      </w:r>
      <w:r>
        <w:rPr>
          <w:rFonts w:hint="default" w:ascii="Times New Roman" w:hAnsi="Times New Roman" w:eastAsia="仿宋_GB2312" w:cs="Times New Roman"/>
          <w:kern w:val="0"/>
          <w:sz w:val="32"/>
          <w:szCs w:val="32"/>
          <w:lang w:val="en-US" w:eastAsia="zh-CN" w:bidi="ar"/>
        </w:rPr>
        <w:t>〔2022〕5号）</w:t>
      </w:r>
    </w:p>
    <w:p>
      <w:pPr>
        <w:numPr>
          <w:ilvl w:val="0"/>
          <w:numId w:val="0"/>
        </w:num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kern w:val="0"/>
          <w:sz w:val="32"/>
          <w:szCs w:val="32"/>
          <w:lang w:val="en-US" w:eastAsia="zh-CN" w:bidi="ar"/>
        </w:rPr>
        <w:t>《广东省发展改革委关于印发关于政府制定价格行为规则的实施细则（2024</w:t>
      </w:r>
      <w:r>
        <w:rPr>
          <w:rFonts w:hint="eastAsia" w:eastAsia="仿宋_GB2312" w:cs="Times New Roman"/>
          <w:kern w:val="0"/>
          <w:sz w:val="32"/>
          <w:szCs w:val="32"/>
          <w:lang w:val="en-US" w:eastAsia="zh-CN" w:bidi="ar"/>
        </w:rPr>
        <w:t>年修订）的通知》(粤发改规</w:t>
      </w:r>
      <w:r>
        <w:rPr>
          <w:rFonts w:hint="eastAsia" w:ascii="Times New Roman" w:hAnsi="Times New Roman" w:eastAsia="仿宋_GB2312" w:cs="Times New Roman"/>
          <w:kern w:val="0"/>
          <w:sz w:val="32"/>
          <w:szCs w:val="32"/>
          <w:lang w:val="en-US" w:eastAsia="zh-CN" w:bidi="ar"/>
        </w:rPr>
        <w:t>〔2024〕3号</w:t>
      </w:r>
      <w:r>
        <w:rPr>
          <w:rFonts w:hint="eastAsia" w:eastAsia="仿宋_GB2312" w:cs="Times New Roman"/>
          <w:kern w:val="0"/>
          <w:sz w:val="32"/>
          <w:szCs w:val="32"/>
          <w:lang w:val="en-US" w:eastAsia="zh-CN" w:bidi="ar"/>
        </w:rPr>
        <w:t>)</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（三）</w:t>
      </w:r>
      <w:r>
        <w:rPr>
          <w:rFonts w:hint="default" w:ascii="Nimbus Roman" w:hAnsi="Nimbus Roman" w:eastAsia="仿宋_GB2312" w:cs="Nimbus Roman"/>
          <w:color w:val="000000"/>
          <w:sz w:val="32"/>
          <w:szCs w:val="32"/>
        </w:rPr>
        <w:t>《</w:t>
      </w:r>
      <w:r>
        <w:rPr>
          <w:rFonts w:hint="eastAsia" w:ascii="Nimbus Roman" w:hAnsi="Nimbus Roman" w:eastAsia="仿宋_GB2312" w:cs="Nimbus Roman"/>
          <w:color w:val="000000"/>
          <w:sz w:val="32"/>
          <w:szCs w:val="32"/>
          <w:lang w:val="en-US" w:eastAsia="zh-CN"/>
        </w:rPr>
        <w:t>广东省</w:t>
      </w:r>
      <w:r>
        <w:rPr>
          <w:rFonts w:hint="default" w:ascii="Nimbus Roman" w:hAnsi="Nimbus Roman" w:eastAsia="仿宋_GB2312" w:cs="Nimbus Roman"/>
          <w:color w:val="000000"/>
          <w:sz w:val="32"/>
          <w:szCs w:val="32"/>
        </w:rPr>
        <w:t>医疗保障局关于公布“高强度超声聚焦刀治疗”等修订医疗服务</w:t>
      </w:r>
      <w:r>
        <w:rPr>
          <w:rFonts w:hint="eastAsia" w:ascii="Nimbus Roman" w:hAnsi="Nimbus Roman" w:eastAsia="仿宋_GB2312" w:cs="Nimbus Roman"/>
          <w:color w:val="000000"/>
          <w:sz w:val="32"/>
          <w:szCs w:val="32"/>
          <w:lang w:val="en-US" w:eastAsia="zh-CN"/>
        </w:rPr>
        <w:t>价格</w:t>
      </w:r>
      <w:r>
        <w:rPr>
          <w:rFonts w:hint="default" w:ascii="Nimbus Roman" w:hAnsi="Nimbus Roman" w:eastAsia="仿宋_GB2312" w:cs="Nimbus Roman"/>
          <w:color w:val="000000"/>
          <w:sz w:val="32"/>
          <w:szCs w:val="32"/>
        </w:rPr>
        <w:t>项目的通知》（</w:t>
      </w:r>
      <w:r>
        <w:rPr>
          <w:rFonts w:hint="eastAsia" w:ascii="Nimbus Roman" w:hAnsi="Nimbus Roman" w:eastAsia="仿宋_GB2312" w:cs="Nimbus Roman"/>
          <w:color w:val="000000"/>
          <w:sz w:val="32"/>
          <w:szCs w:val="32"/>
          <w:lang w:val="en-US" w:eastAsia="zh-CN"/>
        </w:rPr>
        <w:t>粤</w:t>
      </w:r>
      <w:r>
        <w:rPr>
          <w:rFonts w:hint="default" w:ascii="Nimbus Roman" w:hAnsi="Nimbus Roman" w:eastAsia="仿宋_GB2312" w:cs="Nimbus Roman"/>
          <w:color w:val="000000"/>
          <w:sz w:val="32"/>
          <w:szCs w:val="32"/>
        </w:rPr>
        <w:t>医保</w:t>
      </w:r>
      <w:r>
        <w:rPr>
          <w:rFonts w:hint="default" w:ascii="Times New Roman" w:hAnsi="Times New Roman" w:eastAsia="仿宋_GB2312" w:cs="Times New Roman"/>
          <w:kern w:val="0"/>
          <w:sz w:val="32"/>
          <w:szCs w:val="32"/>
          <w:lang w:val="en-US" w:eastAsia="zh-CN" w:bidi="ar"/>
        </w:rPr>
        <w:t>发〔</w:t>
      </w:r>
      <w:r>
        <w:rPr>
          <w:rFonts w:hint="eastAsia" w:ascii="Times New Roman" w:hAnsi="Times New Roman" w:eastAsia="仿宋_GB2312" w:cs="Times New Roman"/>
          <w:kern w:val="0"/>
          <w:sz w:val="32"/>
          <w:szCs w:val="32"/>
          <w:lang w:val="en-US" w:eastAsia="zh-CN" w:bidi="ar"/>
        </w:rPr>
        <w:t>2024</w:t>
      </w:r>
      <w:r>
        <w:rPr>
          <w:rFonts w:hint="default" w:ascii="Times New Roman" w:hAnsi="Times New Roman" w:eastAsia="仿宋_GB2312"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29</w:t>
      </w:r>
      <w:r>
        <w:rPr>
          <w:rFonts w:hint="default" w:ascii="Nimbus Roman" w:hAnsi="Nimbus Roman" w:eastAsia="仿宋_GB2312" w:cs="Nimbus Roman"/>
          <w:color w:val="000000"/>
          <w:sz w:val="32"/>
          <w:szCs w:val="32"/>
        </w:rPr>
        <w:t>号）</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（一）成本测算。</w:t>
      </w:r>
      <w:r>
        <w:rPr>
          <w:rFonts w:hint="default" w:ascii="Times New Roman" w:hAnsi="Times New Roman" w:eastAsia="仿宋_GB2312" w:cs="Times New Roman"/>
          <w:sz w:val="32"/>
          <w:szCs w:val="32"/>
          <w:highlight w:val="none"/>
          <w:lang w:val="en-US" w:eastAsia="zh-CN"/>
        </w:rPr>
        <w:t>2023年</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月</w:t>
      </w:r>
      <w:r>
        <w:rPr>
          <w:rFonts w:hint="default" w:ascii="Times New Roman" w:hAnsi="Times New Roman" w:eastAsia="仿宋_GB2312" w:cs="Times New Roman"/>
          <w:sz w:val="32"/>
          <w:szCs w:val="32"/>
          <w:lang w:val="en-US" w:eastAsia="zh-CN"/>
        </w:rPr>
        <w:t>选取</w:t>
      </w:r>
      <w:r>
        <w:rPr>
          <w:rFonts w:hint="eastAsia" w:ascii="仿宋_GB2312" w:hAnsi="仿宋_GB2312" w:eastAsia="仿宋_GB2312" w:cs="仿宋_GB2312"/>
          <w:sz w:val="32"/>
          <w:szCs w:val="32"/>
          <w:lang w:eastAsia="zh-CN"/>
        </w:rPr>
        <w:t>汕头市中心医院、汕大医学院第一附属医院、汕大医学院第二附属医院、汕头市第二人民医院、汕头市第三人民医院、汕头市结核病防治所</w:t>
      </w:r>
      <w:r>
        <w:rPr>
          <w:rFonts w:hint="default" w:ascii="Times New Roman" w:hAnsi="Times New Roman" w:eastAsia="仿宋_GB2312" w:cs="Times New Roman"/>
          <w:sz w:val="32"/>
          <w:szCs w:val="32"/>
          <w:lang w:val="en-US" w:eastAsia="zh-CN"/>
        </w:rPr>
        <w:t>作为样本医院，开展</w:t>
      </w:r>
      <w:r>
        <w:rPr>
          <w:rFonts w:hint="default" w:ascii="Times New Roman" w:hAnsi="Times New Roman" w:eastAsia="仿宋_GB2312" w:cs="Nimbus Roman"/>
          <w:b w:val="0"/>
          <w:i w:val="0"/>
          <w:snapToGrid/>
          <w:color w:val="000000"/>
          <w:sz w:val="32"/>
          <w:szCs w:val="32"/>
          <w:shd w:val="clear" w:fill="auto"/>
          <w:lang w:val="en-US" w:eastAsia="zh-CN" w:bidi="ar"/>
        </w:rPr>
        <w:t>“常规药敏定性试验”等30项</w:t>
      </w:r>
      <w:r>
        <w:rPr>
          <w:rFonts w:hint="eastAsia" w:ascii="Times New Roman" w:hAnsi="Times New Roman" w:eastAsia="仿宋_GB2312" w:cs="Nimbus Roman"/>
          <w:b w:val="0"/>
          <w:i w:val="0"/>
          <w:snapToGrid/>
          <w:color w:val="000000"/>
          <w:sz w:val="32"/>
          <w:szCs w:val="32"/>
          <w:shd w:val="clear" w:fill="auto"/>
          <w:lang w:val="en-US" w:eastAsia="zh-CN" w:bidi="ar"/>
        </w:rPr>
        <w:t>（其中，2个主项目无需拟定价格，下同）</w:t>
      </w:r>
      <w:r>
        <w:rPr>
          <w:rFonts w:hint="default" w:ascii="Times New Roman" w:hAnsi="Times New Roman" w:eastAsia="仿宋_GB2312" w:cs="Times New Roman"/>
          <w:sz w:val="32"/>
          <w:szCs w:val="32"/>
          <w:lang w:val="en-US" w:eastAsia="zh-CN"/>
        </w:rPr>
        <w:t>医疗服务项目成本测算和项目开展情况调查工作</w:t>
      </w:r>
      <w:r>
        <w:rPr>
          <w:rFonts w:hint="eastAsia" w:ascii="Times New Roman" w:hAnsi="Times New Roman" w:eastAsia="仿宋_GB2312" w:cs="Times New Roman"/>
          <w:sz w:val="32"/>
          <w:szCs w:val="32"/>
          <w:lang w:val="en-US" w:eastAsia="zh-CN"/>
        </w:rPr>
        <w:t>；2024年11月25日组织市中心医院、</w:t>
      </w:r>
      <w:r>
        <w:rPr>
          <w:rFonts w:hint="default" w:ascii="Times New Roman" w:hAnsi="Times New Roman" w:eastAsia="仿宋_GB2312" w:cs="Times New Roman"/>
          <w:sz w:val="32"/>
          <w:szCs w:val="32"/>
          <w:lang w:val="en-US" w:eastAsia="zh-CN"/>
        </w:rPr>
        <w:t>汕大医学院第一附属医院作为样本医院</w:t>
      </w:r>
      <w:r>
        <w:rPr>
          <w:rFonts w:hint="eastAsia" w:ascii="Times New Roman" w:hAnsi="Times New Roman" w:eastAsia="仿宋_GB2312" w:cs="Times New Roman"/>
          <w:sz w:val="32"/>
          <w:szCs w:val="32"/>
          <w:lang w:val="en-US" w:eastAsia="zh-CN"/>
        </w:rPr>
        <w:t>对新修订的</w:t>
      </w:r>
      <w:r>
        <w:rPr>
          <w:rFonts w:hint="eastAsia" w:eastAsia="仿宋_GB2312" w:cs="Times New Roman"/>
          <w:kern w:val="0"/>
          <w:sz w:val="32"/>
          <w:szCs w:val="32"/>
          <w:lang w:val="en-US" w:eastAsia="zh-CN" w:bidi="ar"/>
        </w:rPr>
        <w:t>“高强度超声聚焦刀治疗”</w:t>
      </w:r>
      <w:r>
        <w:rPr>
          <w:rFonts w:hint="default" w:ascii="Times New Roman" w:hAnsi="Times New Roman" w:eastAsia="仿宋_GB2312" w:cs="Times New Roman"/>
          <w:kern w:val="0"/>
          <w:sz w:val="32"/>
          <w:szCs w:val="32"/>
          <w:lang w:val="en-US" w:eastAsia="zh-CN" w:bidi="ar"/>
        </w:rPr>
        <w:t>等</w:t>
      </w:r>
      <w:r>
        <w:rPr>
          <w:rFonts w:hint="eastAsia" w:ascii="Times New Roman" w:hAnsi="Times New Roman" w:eastAsia="仿宋_GB2312" w:cs="Times New Roman"/>
          <w:kern w:val="0"/>
          <w:sz w:val="32"/>
          <w:szCs w:val="32"/>
          <w:lang w:val="en-US" w:eastAsia="zh-CN" w:bidi="ar"/>
        </w:rPr>
        <w:t>11</w:t>
      </w:r>
      <w:r>
        <w:rPr>
          <w:rFonts w:hint="default" w:ascii="Times New Roman" w:hAnsi="Times New Roman" w:eastAsia="仿宋_GB2312" w:cs="Times New Roman"/>
          <w:b w:val="0"/>
          <w:i w:val="0"/>
          <w:snapToGrid/>
          <w:color w:val="000000"/>
          <w:sz w:val="32"/>
          <w:szCs w:val="32"/>
          <w:shd w:val="clear" w:fill="auto"/>
          <w:lang w:val="en-US" w:eastAsia="zh-CN" w:bidi="ar"/>
        </w:rPr>
        <w:t>项</w:t>
      </w:r>
      <w:r>
        <w:rPr>
          <w:rFonts w:hint="eastAsia" w:ascii="Times New Roman" w:hAnsi="Times New Roman" w:eastAsia="仿宋_GB2312" w:cs="Times New Roman"/>
          <w:b w:val="0"/>
          <w:i w:val="0"/>
          <w:snapToGrid/>
          <w:color w:val="000000"/>
          <w:sz w:val="32"/>
          <w:szCs w:val="32"/>
          <w:shd w:val="clear" w:fill="auto"/>
          <w:lang w:val="en-US" w:eastAsia="zh-CN" w:bidi="ar"/>
        </w:rPr>
        <w:t>(其中，1个主项目、1个市场调节价项目无需拟定价格，下同)</w:t>
      </w:r>
      <w:r>
        <w:rPr>
          <w:rFonts w:hint="default" w:ascii="Times New Roman" w:hAnsi="Times New Roman" w:eastAsia="仿宋_GB2312" w:cs="Times New Roman"/>
          <w:kern w:val="0"/>
          <w:sz w:val="32"/>
          <w:szCs w:val="32"/>
          <w:lang w:val="en-US" w:eastAsia="zh-CN" w:bidi="ar"/>
        </w:rPr>
        <w:t>医</w:t>
      </w:r>
      <w:r>
        <w:rPr>
          <w:rFonts w:hint="eastAsia" w:eastAsia="仿宋_GB2312" w:cs="Times New Roman"/>
          <w:kern w:val="0"/>
          <w:sz w:val="32"/>
          <w:szCs w:val="32"/>
          <w:lang w:val="en-US" w:eastAsia="zh-CN" w:bidi="ar"/>
        </w:rPr>
        <w:t>疗服务价格项目进行成本测算</w:t>
      </w:r>
      <w:r>
        <w:rPr>
          <w:rFonts w:hint="default" w:ascii="Times New Roman" w:hAnsi="Times New Roman" w:eastAsia="仿宋_GB2312" w:cs="Times New Roman"/>
          <w:sz w:val="32"/>
          <w:szCs w:val="32"/>
          <w:lang w:val="en-US" w:eastAsia="zh-CN"/>
        </w:rPr>
        <w:t>。</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color w:val="auto"/>
          <w:kern w:val="2"/>
          <w:sz w:val="32"/>
          <w:szCs w:val="32"/>
          <w:lang w:val="en-US" w:eastAsia="zh-CN" w:bidi="ar-SA"/>
        </w:rPr>
        <w:t>（二）成本调查。</w:t>
      </w:r>
      <w:r>
        <w:rPr>
          <w:rFonts w:hint="default" w:ascii="Times New Roman" w:hAnsi="Times New Roman" w:eastAsia="仿宋_GB2312" w:cs="Times New Roman"/>
          <w:sz w:val="32"/>
          <w:szCs w:val="32"/>
          <w:lang w:val="en-US" w:eastAsia="zh-CN"/>
        </w:rPr>
        <w:t>作为省医保局样本地市，</w:t>
      </w:r>
      <w:r>
        <w:rPr>
          <w:rFonts w:hint="default" w:ascii="Times New Roman" w:hAnsi="Times New Roman" w:eastAsia="仿宋_GB2312" w:cs="Times New Roman"/>
          <w:color w:val="auto"/>
          <w:kern w:val="2"/>
          <w:sz w:val="32"/>
          <w:szCs w:val="32"/>
          <w:lang w:val="en-US" w:eastAsia="zh-CN" w:bidi="ar-SA"/>
        </w:rPr>
        <w:t>于2023年11月</w:t>
      </w:r>
      <w:r>
        <w:rPr>
          <w:rFonts w:hint="eastAsia" w:ascii="Times New Roman" w:hAnsi="Times New Roman" w:eastAsia="仿宋_GB2312" w:cs="Times New Roman"/>
          <w:color w:val="auto"/>
          <w:kern w:val="2"/>
          <w:sz w:val="32"/>
          <w:szCs w:val="32"/>
          <w:lang w:val="en-US" w:eastAsia="zh-CN" w:bidi="ar-SA"/>
        </w:rPr>
        <w:t>17</w:t>
      </w:r>
      <w:r>
        <w:rPr>
          <w:rFonts w:hint="default" w:ascii="Times New Roman" w:hAnsi="Times New Roman" w:eastAsia="仿宋_GB2312" w:cs="Times New Roman"/>
          <w:color w:val="auto"/>
          <w:kern w:val="2"/>
          <w:sz w:val="32"/>
          <w:szCs w:val="32"/>
          <w:lang w:val="en-US" w:eastAsia="zh-CN" w:bidi="ar-SA"/>
        </w:rPr>
        <w:t>日</w:t>
      </w:r>
      <w:r>
        <w:rPr>
          <w:rFonts w:hint="default" w:ascii="Times New Roman" w:hAnsi="Times New Roman" w:eastAsia="仿宋_GB2312" w:cs="Times New Roman"/>
          <w:sz w:val="32"/>
          <w:szCs w:val="32"/>
          <w:lang w:val="en-US" w:eastAsia="zh-CN"/>
        </w:rPr>
        <w:t>配合省医保局开展</w:t>
      </w:r>
      <w:r>
        <w:rPr>
          <w:rFonts w:hint="default" w:ascii="Times New Roman" w:hAnsi="Times New Roman" w:eastAsia="仿宋_GB2312" w:cs="Nimbus Roman"/>
          <w:b w:val="0"/>
          <w:i w:val="0"/>
          <w:snapToGrid/>
          <w:color w:val="000000"/>
          <w:sz w:val="32"/>
          <w:szCs w:val="32"/>
          <w:shd w:val="clear" w:fill="auto"/>
          <w:lang w:val="en-US" w:eastAsia="zh-CN" w:bidi="ar"/>
        </w:rPr>
        <w:t>“常规药敏定性试验”等30项</w:t>
      </w:r>
      <w:r>
        <w:rPr>
          <w:rFonts w:hint="default" w:ascii="Times New Roman" w:hAnsi="Times New Roman" w:eastAsia="仿宋_GB2312" w:cs="Times New Roman"/>
          <w:sz w:val="32"/>
          <w:szCs w:val="32"/>
          <w:lang w:val="en-US" w:eastAsia="zh-CN"/>
        </w:rPr>
        <w:t>医疗服务价格项目现场价格和成本调查工作，与省医保局共享</w:t>
      </w:r>
      <w:r>
        <w:rPr>
          <w:rFonts w:hint="eastAsia" w:ascii="Times New Roman" w:hAnsi="Times New Roman" w:eastAsia="仿宋_GB2312" w:cs="Times New Roman"/>
          <w:sz w:val="32"/>
          <w:szCs w:val="32"/>
          <w:lang w:val="en-US" w:eastAsia="zh-CN"/>
        </w:rPr>
        <w:t>成本调查</w:t>
      </w:r>
      <w:r>
        <w:rPr>
          <w:rFonts w:hint="default" w:ascii="Times New Roman" w:hAnsi="Times New Roman" w:eastAsia="仿宋_GB2312" w:cs="Times New Roman"/>
          <w:sz w:val="32"/>
          <w:szCs w:val="32"/>
          <w:lang w:val="en-US" w:eastAsia="zh-CN"/>
        </w:rPr>
        <w:t>成果。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sz w:val="32"/>
          <w:szCs w:val="32"/>
          <w:lang w:val="en-US" w:eastAsia="zh-CN"/>
        </w:rPr>
        <w:t>（三）专家论证</w:t>
      </w:r>
      <w:r>
        <w:rPr>
          <w:rFonts w:hint="default" w:ascii="Times New Roman" w:hAnsi="Times New Roman" w:eastAsia="仿宋_GB2312" w:cs="Times New Roman"/>
          <w:sz w:val="32"/>
          <w:szCs w:val="32"/>
          <w:lang w:val="en-US" w:eastAsia="zh-CN"/>
        </w:rPr>
        <w:t>。结合前期成本测算、成本调查情况，市医保局拟</w:t>
      </w:r>
      <w:r>
        <w:rPr>
          <w:rFonts w:hint="eastAsia" w:ascii="Times New Roman" w:hAnsi="Times New Roman" w:eastAsia="仿宋_GB2312" w:cs="Times New Roman"/>
          <w:sz w:val="32"/>
          <w:szCs w:val="32"/>
          <w:lang w:val="en-US" w:eastAsia="zh-CN"/>
        </w:rPr>
        <w:t>定</w:t>
      </w:r>
      <w:r>
        <w:rPr>
          <w:rFonts w:hint="default" w:ascii="Times New Roman" w:hAnsi="Times New Roman" w:eastAsia="仿宋_GB2312" w:cs="Times New Roman"/>
          <w:sz w:val="32"/>
          <w:szCs w:val="32"/>
          <w:lang w:val="en-US" w:eastAsia="zh-CN"/>
        </w:rPr>
        <w:t>了《汕头市公立医疗机构</w:t>
      </w:r>
      <w:r>
        <w:rPr>
          <w:rFonts w:hint="eastAsia" w:eastAsia="仿宋_GB2312" w:cs="Times New Roman"/>
          <w:kern w:val="0"/>
          <w:sz w:val="32"/>
          <w:szCs w:val="32"/>
          <w:lang w:val="en-US" w:eastAsia="zh-CN" w:bidi="ar"/>
        </w:rPr>
        <w:t>“高强度超声聚焦刀治疗”等修订医疗服务价格项目拟定价分析表</w:t>
      </w:r>
      <w:r>
        <w:rPr>
          <w:rFonts w:hint="default" w:ascii="Times New Roman" w:hAnsi="Times New Roman" w:eastAsia="仿宋_GB2312" w:cs="Times New Roman"/>
          <w:sz w:val="32"/>
          <w:szCs w:val="32"/>
          <w:lang w:val="en-US" w:eastAsia="zh-CN"/>
        </w:rPr>
        <w:t>》，于2024年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日下午开展医疗服务项目价格专家论证会，对我市公立医疗机构</w:t>
      </w:r>
      <w:r>
        <w:rPr>
          <w:rFonts w:hint="eastAsia" w:eastAsia="仿宋_GB2312" w:cs="Times New Roman"/>
          <w:kern w:val="0"/>
          <w:sz w:val="32"/>
          <w:szCs w:val="32"/>
          <w:lang w:val="en-US" w:eastAsia="zh-CN" w:bidi="ar"/>
        </w:rPr>
        <w:t>“高强度超声聚焦刀治疗”等</w:t>
      </w:r>
      <w:r>
        <w:rPr>
          <w:rFonts w:hint="eastAsia" w:ascii="Times New Roman" w:hAnsi="Times New Roman" w:eastAsia="仿宋_GB2312" w:cs="Nimbus Roman"/>
          <w:b w:val="0"/>
          <w:i w:val="0"/>
          <w:snapToGrid/>
          <w:color w:val="000000"/>
          <w:sz w:val="32"/>
          <w:szCs w:val="32"/>
          <w:shd w:val="clear" w:fill="auto"/>
          <w:lang w:val="en-US" w:eastAsia="zh-CN" w:bidi="ar"/>
        </w:rPr>
        <w:t>11</w:t>
      </w:r>
      <w:r>
        <w:rPr>
          <w:rFonts w:hint="default" w:ascii="Times New Roman" w:hAnsi="Times New Roman" w:eastAsia="仿宋_GB2312" w:cs="Nimbus Roman"/>
          <w:b w:val="0"/>
          <w:i w:val="0"/>
          <w:snapToGrid/>
          <w:color w:val="000000"/>
          <w:sz w:val="32"/>
          <w:szCs w:val="32"/>
          <w:shd w:val="clear" w:fill="auto"/>
          <w:lang w:val="en-US" w:eastAsia="zh-CN" w:bidi="ar"/>
        </w:rPr>
        <w:t>项</w:t>
      </w:r>
      <w:r>
        <w:rPr>
          <w:rFonts w:hint="eastAsia" w:ascii="Times New Roman" w:hAnsi="Times New Roman" w:eastAsia="仿宋_GB2312" w:cs="Nimbus Roman"/>
          <w:b w:val="0"/>
          <w:i w:val="0"/>
          <w:snapToGrid/>
          <w:color w:val="000000"/>
          <w:sz w:val="32"/>
          <w:szCs w:val="32"/>
          <w:shd w:val="clear" w:fill="auto"/>
          <w:lang w:val="en-US" w:eastAsia="zh-CN" w:bidi="ar"/>
        </w:rPr>
        <w:t>修订医疗服务价格项目和</w:t>
      </w:r>
      <w:r>
        <w:rPr>
          <w:rFonts w:hint="default" w:ascii="Times New Roman" w:hAnsi="Times New Roman" w:eastAsia="仿宋_GB2312" w:cs="Nimbus Roman"/>
          <w:b w:val="0"/>
          <w:i w:val="0"/>
          <w:snapToGrid/>
          <w:color w:val="000000"/>
          <w:sz w:val="32"/>
          <w:szCs w:val="32"/>
          <w:shd w:val="clear" w:fill="auto"/>
          <w:lang w:val="en-US" w:eastAsia="zh-CN" w:bidi="ar"/>
        </w:rPr>
        <w:t>“常规药敏定性试验”等30项</w:t>
      </w:r>
      <w:r>
        <w:rPr>
          <w:rFonts w:hint="default" w:ascii="Times New Roman" w:hAnsi="Times New Roman" w:eastAsia="仿宋_GB2312" w:cs="Times New Roman"/>
          <w:sz w:val="32"/>
          <w:szCs w:val="32"/>
          <w:lang w:val="en-US" w:eastAsia="zh-CN"/>
        </w:rPr>
        <w:t>医疗服务</w:t>
      </w:r>
      <w:r>
        <w:rPr>
          <w:rFonts w:hint="eastAsia" w:ascii="Times New Roman" w:hAnsi="Times New Roman" w:eastAsia="仿宋_GB2312" w:cs="Times New Roman"/>
          <w:sz w:val="32"/>
          <w:szCs w:val="32"/>
          <w:lang w:val="en-US" w:eastAsia="zh-CN"/>
        </w:rPr>
        <w:t>价格</w:t>
      </w:r>
      <w:r>
        <w:rPr>
          <w:rFonts w:hint="default" w:ascii="Times New Roman" w:hAnsi="Times New Roman" w:eastAsia="仿宋_GB2312" w:cs="Times New Roman"/>
          <w:sz w:val="32"/>
          <w:szCs w:val="32"/>
          <w:lang w:val="en-US" w:eastAsia="zh-CN"/>
        </w:rPr>
        <w:t>项目拟定价形成一致意见。</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kern w:val="0"/>
          <w:sz w:val="32"/>
          <w:lang w:val="en-US" w:eastAsia="zh-CN"/>
        </w:rPr>
      </w:pPr>
      <w:r>
        <w:rPr>
          <w:rFonts w:hint="default" w:ascii="Times New Roman" w:hAnsi="Times New Roman" w:eastAsia="黑体" w:cs="Times New Roman"/>
          <w:b w:val="0"/>
          <w:bCs w:val="0"/>
          <w:kern w:val="0"/>
          <w:sz w:val="32"/>
          <w:lang w:val="en-US" w:eastAsia="zh-CN"/>
        </w:rPr>
        <w:t>四、主要内容</w:t>
      </w:r>
    </w:p>
    <w:p>
      <w:pPr>
        <w:spacing w:line="600"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w:t>
      </w:r>
      <w:r>
        <w:rPr>
          <w:rFonts w:hint="default" w:ascii="Times New Roman" w:hAnsi="Times New Roman" w:eastAsia="仿宋_GB2312" w:cs="Times New Roman"/>
          <w:kern w:val="0"/>
          <w:sz w:val="32"/>
          <w:szCs w:val="32"/>
          <w:lang w:val="en-US" w:eastAsia="zh-CN" w:bidi="ar"/>
        </w:rPr>
        <w:t>《广东省定价目录（2022年版）》</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 w:val="0"/>
          <w:bCs w:val="0"/>
          <w:sz w:val="32"/>
          <w:szCs w:val="32"/>
          <w:lang w:val="en-US" w:eastAsia="zh-CN"/>
        </w:rPr>
        <w:t>粤府办</w:t>
      </w:r>
      <w:r>
        <w:rPr>
          <w:rFonts w:hint="default" w:ascii="Times New Roman" w:hAnsi="Times New Roman" w:eastAsia="仿宋_GB2312" w:cs="Times New Roman"/>
          <w:kern w:val="0"/>
          <w:sz w:val="32"/>
          <w:szCs w:val="32"/>
          <w:lang w:val="en-US" w:eastAsia="zh-CN" w:bidi="ar"/>
        </w:rPr>
        <w:t>〔2022〕5号）和《广东省发展改革委关于印发关于政府制定价格行为规则的实施细则（2024年修订）的通知》(粤发改规〔2024〕3号)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，市医保局依规</w:t>
      </w:r>
      <w:r>
        <w:rPr>
          <w:rFonts w:hint="default" w:ascii="Times New Roman" w:hAnsi="Times New Roman" w:eastAsia="仿宋" w:cs="Times New Roman"/>
          <w:sz w:val="32"/>
          <w:szCs w:val="32"/>
          <w:lang w:eastAsia="zh-CN"/>
        </w:rPr>
        <w:t>启动</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对省医保局新修订的</w:t>
      </w:r>
      <w:r>
        <w:rPr>
          <w:rFonts w:hint="default" w:ascii="Times New Roman" w:hAnsi="Times New Roman" w:eastAsia="仿宋_GB2312" w:cs="Nimbus Roman"/>
          <w:b w:val="0"/>
          <w:i w:val="0"/>
          <w:snapToGrid/>
          <w:color w:val="000000"/>
          <w:sz w:val="32"/>
          <w:szCs w:val="32"/>
          <w:shd w:val="clear" w:fill="auto"/>
          <w:lang w:val="en-US" w:eastAsia="zh-CN" w:bidi="ar"/>
        </w:rPr>
        <w:t>“高强度超声聚焦刀治疗”等</w:t>
      </w:r>
      <w:r>
        <w:rPr>
          <w:rFonts w:hint="eastAsia" w:ascii="Times New Roman" w:hAnsi="Times New Roman" w:eastAsia="仿宋_GB2312" w:cs="Nimbus Roman"/>
          <w:b w:val="0"/>
          <w:i w:val="0"/>
          <w:snapToGrid/>
          <w:color w:val="000000"/>
          <w:sz w:val="32"/>
          <w:szCs w:val="32"/>
          <w:shd w:val="clear" w:fill="auto"/>
          <w:lang w:val="en-US" w:eastAsia="zh-CN" w:bidi="ar"/>
        </w:rPr>
        <w:t>11</w:t>
      </w:r>
      <w:r>
        <w:rPr>
          <w:rFonts w:hint="default" w:ascii="Times New Roman" w:hAnsi="Times New Roman" w:eastAsia="仿宋_GB2312" w:cs="Nimbus Roman"/>
          <w:b w:val="0"/>
          <w:i w:val="0"/>
          <w:snapToGrid/>
          <w:color w:val="000000"/>
          <w:sz w:val="32"/>
          <w:szCs w:val="32"/>
          <w:shd w:val="clear" w:fill="auto"/>
          <w:lang w:val="en-US" w:eastAsia="zh-CN" w:bidi="ar"/>
        </w:rPr>
        <w:t>项医疗服务价格项目</w:t>
      </w:r>
      <w:r>
        <w:rPr>
          <w:rFonts w:hint="eastAsia" w:ascii="Times New Roman" w:hAnsi="Times New Roman" w:eastAsia="仿宋_GB2312" w:cs="Nimbus Roman"/>
          <w:b w:val="0"/>
          <w:i w:val="0"/>
          <w:snapToGrid/>
          <w:color w:val="000000"/>
          <w:sz w:val="32"/>
          <w:szCs w:val="32"/>
          <w:shd w:val="clear" w:fill="auto"/>
          <w:lang w:val="en-US" w:eastAsia="zh-CN" w:bidi="ar"/>
        </w:rPr>
        <w:t>以及</w:t>
      </w:r>
      <w:r>
        <w:rPr>
          <w:rFonts w:hint="default" w:ascii="Times New Roman" w:hAnsi="Times New Roman" w:eastAsia="仿宋_GB2312" w:cs="Nimbus Roman"/>
          <w:b w:val="0"/>
          <w:i w:val="0"/>
          <w:snapToGrid/>
          <w:color w:val="000000"/>
          <w:sz w:val="32"/>
          <w:szCs w:val="32"/>
          <w:shd w:val="clear" w:fill="auto"/>
          <w:lang w:val="en-US" w:eastAsia="zh-CN" w:bidi="ar"/>
        </w:rPr>
        <w:t>“常规药敏定性试验”等30项医疗服务价格项目</w:t>
      </w:r>
      <w:r>
        <w:rPr>
          <w:rFonts w:hint="eastAsia" w:ascii="Times New Roman" w:hAnsi="Times New Roman" w:eastAsia="仿宋_GB2312" w:cs="Nimbus Roman"/>
          <w:b w:val="0"/>
          <w:i w:val="0"/>
          <w:snapToGrid/>
          <w:color w:val="000000"/>
          <w:sz w:val="32"/>
          <w:szCs w:val="32"/>
          <w:shd w:val="clear" w:fill="auto"/>
          <w:lang w:val="en-US" w:eastAsia="zh-CN" w:bidi="ar"/>
        </w:rPr>
        <w:t>的</w:t>
      </w:r>
      <w:r>
        <w:rPr>
          <w:rFonts w:hint="default" w:ascii="Times New Roman" w:hAnsi="Times New Roman" w:eastAsia="仿宋" w:cs="Times New Roman"/>
          <w:sz w:val="32"/>
          <w:szCs w:val="32"/>
          <w:lang w:eastAsia="zh-CN"/>
        </w:rPr>
        <w:t>定</w:t>
      </w:r>
      <w:r>
        <w:rPr>
          <w:rFonts w:hint="eastAsia" w:ascii="Times New Roman" w:hAnsi="Times New Roman" w:eastAsia="仿宋" w:cs="Times New Roman"/>
          <w:sz w:val="32"/>
          <w:szCs w:val="32"/>
          <w:lang w:val="en-US" w:eastAsia="zh-CN"/>
        </w:rPr>
        <w:t>调</w:t>
      </w:r>
      <w:r>
        <w:rPr>
          <w:rFonts w:hint="default" w:ascii="Times New Roman" w:hAnsi="Times New Roman" w:eastAsia="仿宋" w:cs="Times New Roman"/>
          <w:sz w:val="32"/>
          <w:szCs w:val="32"/>
          <w:lang w:eastAsia="zh-CN"/>
        </w:rPr>
        <w:t>价工作。</w:t>
      </w:r>
    </w:p>
    <w:p>
      <w:pPr>
        <w:spacing w:line="60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基于我市公立医疗机构成本调查数据，结合我市</w:t>
      </w:r>
      <w:r>
        <w:rPr>
          <w:rFonts w:hint="default" w:ascii="Times New Roman" w:hAnsi="Times New Roman" w:eastAsia="仿宋_GB2312" w:cs="Times New Roman"/>
          <w:color w:val="auto"/>
          <w:sz w:val="32"/>
          <w:szCs w:val="32"/>
        </w:rPr>
        <w:t>经济医疗发展水平和群众承受能力相匹配，在确保群众负担总体稳定的基础上，综合考虑</w:t>
      </w:r>
      <w:r>
        <w:rPr>
          <w:rFonts w:hint="default" w:ascii="Times New Roman" w:hAnsi="Times New Roman" w:eastAsia="仿宋_GB2312" w:cs="Times New Roman"/>
          <w:color w:val="auto"/>
          <w:sz w:val="32"/>
          <w:szCs w:val="32"/>
          <w:lang w:eastAsia="zh-CN"/>
        </w:rPr>
        <w:t>省内</w:t>
      </w:r>
      <w:r>
        <w:rPr>
          <w:rFonts w:hint="default" w:ascii="Times New Roman" w:hAnsi="Times New Roman" w:eastAsia="仿宋_GB2312" w:cs="Times New Roman"/>
          <w:color w:val="auto"/>
          <w:sz w:val="32"/>
          <w:szCs w:val="32"/>
        </w:rPr>
        <w:t>地市间价格的比价关系、居民价格消费指数、医保基金承受能力、次均费用增幅等因素，</w:t>
      </w:r>
      <w:r>
        <w:rPr>
          <w:rFonts w:hint="default" w:ascii="Times New Roman" w:hAnsi="Times New Roman" w:eastAsia="仿宋_GB2312" w:cs="Times New Roman"/>
          <w:color w:val="auto"/>
          <w:sz w:val="32"/>
          <w:szCs w:val="32"/>
          <w:lang w:eastAsia="zh-CN"/>
        </w:rPr>
        <w:t>充分听取专家意见，</w:t>
      </w:r>
      <w:bookmarkStart w:id="0" w:name="OLE_LINK2"/>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 w:cs="Times New Roman"/>
          <w:sz w:val="32"/>
          <w:szCs w:val="32"/>
        </w:rPr>
        <w:t>省医保局公布的</w:t>
      </w:r>
      <w:r>
        <w:rPr>
          <w:rFonts w:hint="eastAsia" w:ascii="Times New Roman" w:hAnsi="Times New Roman" w:eastAsia="仿宋" w:cs="Times New Roman"/>
          <w:sz w:val="32"/>
          <w:szCs w:val="32"/>
          <w:lang w:val="en-US" w:eastAsia="zh-CN"/>
        </w:rPr>
        <w:t>最高限价</w:t>
      </w:r>
      <w:r>
        <w:rPr>
          <w:rFonts w:hint="default" w:ascii="Times New Roman" w:hAnsi="Times New Roman" w:eastAsia="仿宋" w:cs="Times New Roman"/>
          <w:sz w:val="32"/>
          <w:szCs w:val="32"/>
          <w:lang w:eastAsia="zh-CN"/>
        </w:rPr>
        <w:t>内</w:t>
      </w:r>
      <w:r>
        <w:rPr>
          <w:rFonts w:hint="eastAsia" w:ascii="Times New Roman" w:hAnsi="Times New Roman" w:eastAsia="仿宋" w:cs="Times New Roman"/>
          <w:sz w:val="32"/>
          <w:szCs w:val="32"/>
          <w:lang w:val="en-US" w:eastAsia="zh-CN"/>
        </w:rPr>
        <w:t>下浮</w:t>
      </w:r>
      <w:r>
        <w:rPr>
          <w:rFonts w:hint="default" w:ascii="Times New Roman" w:hAnsi="Times New Roman" w:eastAsia="仿宋" w:cs="Times New Roman"/>
          <w:sz w:val="32"/>
          <w:szCs w:val="32"/>
          <w:lang w:val="en-US" w:eastAsia="zh-CN"/>
        </w:rPr>
        <w:t>5</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kern w:val="0"/>
          <w:sz w:val="32"/>
          <w:szCs w:val="32"/>
          <w:lang w:val="en-US" w:eastAsia="zh-CN" w:bidi="ar"/>
        </w:rPr>
        <w:t>拟</w:t>
      </w:r>
      <w:r>
        <w:rPr>
          <w:rFonts w:hint="default" w:ascii="Times New Roman" w:hAnsi="Times New Roman" w:eastAsia="仿宋_GB2312" w:cs="Times New Roman"/>
          <w:sz w:val="32"/>
          <w:szCs w:val="32"/>
          <w:lang w:eastAsia="zh-CN"/>
        </w:rPr>
        <w:t>定我市</w:t>
      </w:r>
      <w:r>
        <w:rPr>
          <w:rFonts w:hint="default" w:ascii="Times New Roman" w:hAnsi="Times New Roman" w:eastAsia="仿宋_GB2312" w:cs="Times New Roman"/>
          <w:sz w:val="32"/>
          <w:szCs w:val="32"/>
        </w:rPr>
        <w:t>三级公立医疗机构</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医疗机构平均成本高</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最高限价95%的，按照全</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最高限价95%确定，共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个；平均成本低于全</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最高限价95%的，按照平均成本确定，共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个；未申报成本的项目按照全</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最高限价95%确定，共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个。</w:t>
      </w:r>
      <w:bookmarkEnd w:id="0"/>
    </w:p>
    <w:p>
      <w:pPr>
        <w:numPr>
          <w:ilvl w:val="0"/>
          <w:numId w:val="0"/>
        </w:numPr>
        <w:spacing w:line="60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kern w:val="2"/>
          <w:sz w:val="32"/>
          <w:szCs w:val="32"/>
          <w:shd w:val="clear" w:color="auto" w:fill="FFFFFF"/>
          <w:lang w:val="en-US" w:eastAsia="zh-CN" w:bidi="ar-SA"/>
        </w:rPr>
        <w:t>按照我市公立医疗机构基本医疗服务项目价格管理规定，各级别医疗机构间医疗服务价格分别按10%拉开差距，即二级公立医疗机构在三级公立医疗机构拟定价下调10%、一级公立医疗机构在二级公立医疗机构拟定价下调10%。根据以上定价原则，拟定我市汕头市各级公立医疗机构</w:t>
      </w:r>
      <w:bookmarkStart w:id="1" w:name="OLE_LINK1"/>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新修订的</w:t>
      </w:r>
      <w:r>
        <w:rPr>
          <w:rFonts w:hint="default" w:ascii="Times New Roman" w:hAnsi="Times New Roman" w:eastAsia="仿宋_GB2312" w:cs="Nimbus Roman"/>
          <w:b w:val="0"/>
          <w:i w:val="0"/>
          <w:snapToGrid/>
          <w:color w:val="000000"/>
          <w:sz w:val="32"/>
          <w:szCs w:val="32"/>
          <w:shd w:val="clear" w:fill="auto"/>
          <w:lang w:val="en-US" w:eastAsia="zh-CN" w:bidi="ar"/>
        </w:rPr>
        <w:t>“高强度超声聚焦刀治疗”等</w:t>
      </w:r>
      <w:bookmarkEnd w:id="1"/>
      <w:r>
        <w:rPr>
          <w:rFonts w:hint="eastAsia" w:ascii="Times New Roman" w:hAnsi="Times New Roman" w:eastAsia="仿宋_GB2312" w:cs="Nimbus Roman"/>
          <w:b w:val="0"/>
          <w:i w:val="0"/>
          <w:snapToGrid/>
          <w:color w:val="000000"/>
          <w:sz w:val="32"/>
          <w:szCs w:val="32"/>
          <w:shd w:val="clear" w:fill="auto"/>
          <w:lang w:val="en-US" w:eastAsia="zh-CN" w:bidi="ar"/>
        </w:rPr>
        <w:t>11</w:t>
      </w:r>
      <w:r>
        <w:rPr>
          <w:rFonts w:hint="default" w:ascii="Times New Roman" w:hAnsi="Times New Roman" w:eastAsia="仿宋_GB2312" w:cs="Nimbus Roman"/>
          <w:b w:val="0"/>
          <w:i w:val="0"/>
          <w:snapToGrid/>
          <w:color w:val="000000"/>
          <w:sz w:val="32"/>
          <w:szCs w:val="32"/>
          <w:shd w:val="clear" w:fill="auto"/>
          <w:lang w:val="en-US" w:eastAsia="zh-CN" w:bidi="ar"/>
        </w:rPr>
        <w:t>项医疗服务价格项目</w:t>
      </w:r>
      <w:r>
        <w:rPr>
          <w:rFonts w:hint="eastAsia" w:ascii="Times New Roman" w:hAnsi="Times New Roman" w:eastAsia="仿宋_GB2312" w:cs="Nimbus Roman"/>
          <w:b w:val="0"/>
          <w:i w:val="0"/>
          <w:snapToGrid/>
          <w:color w:val="000000"/>
          <w:sz w:val="32"/>
          <w:szCs w:val="32"/>
          <w:shd w:val="clear" w:fill="auto"/>
          <w:lang w:val="en-US" w:eastAsia="zh-CN" w:bidi="ar"/>
        </w:rPr>
        <w:t>以及</w:t>
      </w:r>
      <w:r>
        <w:rPr>
          <w:rFonts w:hint="default" w:ascii="Times New Roman" w:hAnsi="Times New Roman" w:eastAsia="仿宋_GB2312" w:cs="Nimbus Roman"/>
          <w:b w:val="0"/>
          <w:i w:val="0"/>
          <w:snapToGrid/>
          <w:color w:val="000000"/>
          <w:sz w:val="32"/>
          <w:szCs w:val="32"/>
          <w:shd w:val="clear" w:fill="auto"/>
          <w:lang w:val="en-US" w:eastAsia="zh-CN" w:bidi="ar"/>
        </w:rPr>
        <w:t>“常规药敏定性试验”等</w:t>
      </w:r>
      <w:r>
        <w:rPr>
          <w:rFonts w:hint="eastAsia" w:ascii="Times New Roman" w:hAnsi="Times New Roman" w:eastAsia="仿宋_GB2312" w:cs="Nimbus Roman"/>
          <w:b w:val="0"/>
          <w:i w:val="0"/>
          <w:snapToGrid/>
          <w:color w:val="000000"/>
          <w:sz w:val="32"/>
          <w:szCs w:val="32"/>
          <w:shd w:val="clear" w:fill="auto"/>
          <w:lang w:val="en-US" w:eastAsia="zh-CN" w:bidi="ar"/>
        </w:rPr>
        <w:t>30</w:t>
      </w:r>
      <w:r>
        <w:rPr>
          <w:rFonts w:hint="default" w:ascii="Times New Roman" w:hAnsi="Times New Roman" w:eastAsia="仿宋_GB2312" w:cs="Nimbus Roman"/>
          <w:b w:val="0"/>
          <w:i w:val="0"/>
          <w:snapToGrid/>
          <w:color w:val="000000"/>
          <w:sz w:val="32"/>
          <w:szCs w:val="32"/>
          <w:shd w:val="clear" w:fill="auto"/>
          <w:lang w:val="en-US" w:eastAsia="zh-CN" w:bidi="ar"/>
        </w:rPr>
        <w:t>项医疗服务价格项目</w:t>
      </w:r>
      <w:r>
        <w:rPr>
          <w:rFonts w:hint="default" w:ascii="Times New Roman" w:hAnsi="Times New Roman" w:eastAsia="仿宋_GB2312" w:cs="Times New Roman"/>
          <w:color w:val="000000"/>
          <w:kern w:val="2"/>
          <w:sz w:val="32"/>
          <w:szCs w:val="32"/>
          <w:shd w:val="clear" w:color="auto" w:fill="FFFFFF"/>
          <w:lang w:val="en-US" w:eastAsia="zh-CN" w:bidi="ar-SA"/>
        </w:rPr>
        <w:t>收费标准。</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kern w:val="0"/>
          <w:sz w:val="32"/>
          <w:lang w:val="en-US" w:eastAsia="zh-CN"/>
        </w:rPr>
      </w:pPr>
      <w:r>
        <w:rPr>
          <w:rFonts w:hint="default" w:ascii="Times New Roman" w:hAnsi="Times New Roman" w:eastAsia="黑体" w:cs="Times New Roman"/>
          <w:b w:val="0"/>
          <w:bCs w:val="0"/>
          <w:kern w:val="0"/>
          <w:sz w:val="32"/>
          <w:lang w:val="en-US" w:eastAsia="zh-CN"/>
        </w:rPr>
        <w:t>五、需要说明的几个问题</w:t>
      </w:r>
    </w:p>
    <w:p>
      <w:pPr>
        <w:keepNext w:val="0"/>
        <w:keepLines w:val="0"/>
        <w:pageBreakBefore w:val="0"/>
        <w:widowControl w:val="0"/>
        <w:kinsoku/>
        <w:wordWrap/>
        <w:overflowPunct/>
        <w:topLinePunct w:val="0"/>
        <w:bidi w:val="0"/>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lang w:val="en-US" w:eastAsia="zh-CN"/>
        </w:rPr>
        <w:t>（一）</w:t>
      </w:r>
      <w:r>
        <w:rPr>
          <w:rFonts w:hint="eastAsia" w:ascii="Times New Roman" w:hAnsi="Times New Roman" w:eastAsia="楷体_GB2312" w:cs="Times New Roman"/>
          <w:sz w:val="32"/>
          <w:szCs w:val="32"/>
          <w:lang w:val="en-US" w:eastAsia="zh-CN"/>
        </w:rPr>
        <w:t>关于</w:t>
      </w:r>
      <w:r>
        <w:rPr>
          <w:rFonts w:hint="eastAsia" w:ascii="Times New Roman" w:hAnsi="Times New Roman" w:eastAsia="楷体_GB2312" w:cs="Times New Roman"/>
          <w:color w:val="auto"/>
          <w:sz w:val="32"/>
          <w:szCs w:val="32"/>
          <w:lang w:val="en-US" w:eastAsia="zh-CN"/>
        </w:rPr>
        <w:t>下浮比例</w:t>
      </w:r>
      <w:r>
        <w:rPr>
          <w:rFonts w:hint="default" w:ascii="Times New Roman" w:hAnsi="Times New Roman" w:eastAsia="楷体_GB2312" w:cs="Times New Roman"/>
          <w:sz w:val="32"/>
          <w:szCs w:val="32"/>
          <w:lang w:val="en-US" w:eastAsia="zh-CN"/>
        </w:rPr>
        <w:t>。</w:t>
      </w:r>
      <w:r>
        <w:rPr>
          <w:rFonts w:hint="eastAsia" w:ascii="仿宋_GB2312" w:hAnsi="仿宋_GB2312" w:eastAsia="仿宋_GB2312" w:cs="仿宋_GB2312"/>
          <w:sz w:val="32"/>
          <w:szCs w:val="32"/>
          <w:lang w:val="en-US" w:eastAsia="zh-CN"/>
        </w:rPr>
        <w:t>结合我市口腔种植类、辅助生殖类医疗服务价格项目定价工作，我市三级公立医疗机构医疗服务项目价格均在省医保局公布的基准价上下浮5%。此次省医保局公布的是全省最高限价，参照既往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 w:cs="Times New Roman"/>
          <w:sz w:val="32"/>
          <w:szCs w:val="32"/>
        </w:rPr>
        <w:t>省医保局公布的</w:t>
      </w:r>
      <w:r>
        <w:rPr>
          <w:rFonts w:hint="eastAsia" w:ascii="Times New Roman" w:hAnsi="Times New Roman" w:eastAsia="仿宋" w:cs="Times New Roman"/>
          <w:sz w:val="32"/>
          <w:szCs w:val="32"/>
          <w:lang w:val="en-US" w:eastAsia="zh-CN"/>
        </w:rPr>
        <w:t>最高限价</w:t>
      </w:r>
      <w:r>
        <w:rPr>
          <w:rFonts w:hint="default" w:ascii="Times New Roman" w:hAnsi="Times New Roman" w:eastAsia="仿宋" w:cs="Times New Roman"/>
          <w:sz w:val="32"/>
          <w:szCs w:val="32"/>
          <w:lang w:eastAsia="zh-CN"/>
        </w:rPr>
        <w:t>内</w:t>
      </w:r>
      <w:r>
        <w:rPr>
          <w:rFonts w:hint="eastAsia" w:ascii="Times New Roman" w:hAnsi="Times New Roman" w:eastAsia="仿宋" w:cs="Times New Roman"/>
          <w:sz w:val="32"/>
          <w:szCs w:val="32"/>
          <w:lang w:val="en-US" w:eastAsia="zh-CN"/>
        </w:rPr>
        <w:t>下浮</w:t>
      </w:r>
      <w:r>
        <w:rPr>
          <w:rFonts w:hint="default" w:ascii="Times New Roman" w:hAnsi="Times New Roman" w:eastAsia="仿宋" w:cs="Times New Roman"/>
          <w:sz w:val="32"/>
          <w:szCs w:val="32"/>
          <w:lang w:val="en-US" w:eastAsia="zh-CN"/>
        </w:rPr>
        <w:t>5</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kern w:val="0"/>
          <w:sz w:val="32"/>
          <w:szCs w:val="32"/>
          <w:lang w:val="en-US" w:eastAsia="zh-CN" w:bidi="ar"/>
        </w:rPr>
        <w:t>拟</w:t>
      </w:r>
      <w:r>
        <w:rPr>
          <w:rFonts w:hint="default" w:ascii="Times New Roman" w:hAnsi="Times New Roman" w:eastAsia="仿宋_GB2312" w:cs="Times New Roman"/>
          <w:sz w:val="32"/>
          <w:szCs w:val="32"/>
          <w:lang w:eastAsia="zh-CN"/>
        </w:rPr>
        <w:t>定</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新修订的</w:t>
      </w:r>
      <w:r>
        <w:rPr>
          <w:rFonts w:hint="default" w:ascii="Times New Roman" w:hAnsi="Times New Roman" w:eastAsia="仿宋_GB2312" w:cs="Nimbus Roman"/>
          <w:b w:val="0"/>
          <w:i w:val="0"/>
          <w:snapToGrid/>
          <w:color w:val="000000"/>
          <w:sz w:val="32"/>
          <w:szCs w:val="32"/>
          <w:shd w:val="clear" w:fill="auto"/>
          <w:lang w:val="en-US" w:eastAsia="zh-CN" w:bidi="ar"/>
        </w:rPr>
        <w:t>“高强度超声聚焦刀治疗”等</w:t>
      </w:r>
      <w:r>
        <w:rPr>
          <w:rFonts w:hint="eastAsia" w:ascii="Times New Roman" w:hAnsi="Times New Roman" w:eastAsia="仿宋_GB2312" w:cs="Nimbus Roman"/>
          <w:b w:val="0"/>
          <w:i w:val="0"/>
          <w:snapToGrid/>
          <w:color w:val="000000"/>
          <w:sz w:val="32"/>
          <w:szCs w:val="32"/>
          <w:shd w:val="clear" w:fill="auto"/>
          <w:lang w:val="en-US" w:eastAsia="zh-CN" w:bidi="ar"/>
        </w:rPr>
        <w:t>11</w:t>
      </w:r>
      <w:r>
        <w:rPr>
          <w:rFonts w:hint="default" w:ascii="Times New Roman" w:hAnsi="Times New Roman" w:eastAsia="仿宋_GB2312" w:cs="Nimbus Roman"/>
          <w:b w:val="0"/>
          <w:i w:val="0"/>
          <w:snapToGrid/>
          <w:color w:val="000000"/>
          <w:sz w:val="32"/>
          <w:szCs w:val="32"/>
          <w:shd w:val="clear" w:fill="auto"/>
          <w:lang w:val="en-US" w:eastAsia="zh-CN" w:bidi="ar"/>
        </w:rPr>
        <w:t>项医疗服务价格项目</w:t>
      </w:r>
      <w:r>
        <w:rPr>
          <w:rFonts w:hint="eastAsia" w:ascii="Times New Roman" w:hAnsi="Times New Roman" w:eastAsia="仿宋_GB2312" w:cs="Nimbus Roman"/>
          <w:b w:val="0"/>
          <w:i w:val="0"/>
          <w:snapToGrid/>
          <w:color w:val="000000"/>
          <w:sz w:val="32"/>
          <w:szCs w:val="32"/>
          <w:shd w:val="clear" w:fill="auto"/>
          <w:lang w:val="en-US" w:eastAsia="zh-CN" w:bidi="ar"/>
        </w:rPr>
        <w:t>以及</w:t>
      </w:r>
      <w:r>
        <w:rPr>
          <w:rFonts w:hint="default" w:ascii="Times New Roman" w:hAnsi="Times New Roman" w:eastAsia="仿宋_GB2312" w:cs="Nimbus Roman"/>
          <w:b w:val="0"/>
          <w:i w:val="0"/>
          <w:snapToGrid/>
          <w:color w:val="000000"/>
          <w:sz w:val="32"/>
          <w:szCs w:val="32"/>
          <w:shd w:val="clear" w:fill="auto"/>
          <w:lang w:val="en-US" w:eastAsia="zh-CN" w:bidi="ar"/>
        </w:rPr>
        <w:t>“常规药敏定性试验”等</w:t>
      </w:r>
      <w:r>
        <w:rPr>
          <w:rFonts w:hint="eastAsia" w:ascii="Times New Roman" w:hAnsi="Times New Roman" w:eastAsia="仿宋_GB2312" w:cs="Nimbus Roman"/>
          <w:b w:val="0"/>
          <w:i w:val="0"/>
          <w:snapToGrid/>
          <w:color w:val="000000"/>
          <w:sz w:val="32"/>
          <w:szCs w:val="32"/>
          <w:shd w:val="clear" w:fill="auto"/>
          <w:lang w:val="en-US" w:eastAsia="zh-CN" w:bidi="ar"/>
        </w:rPr>
        <w:t>30</w:t>
      </w:r>
      <w:r>
        <w:rPr>
          <w:rFonts w:hint="default" w:ascii="Times New Roman" w:hAnsi="Times New Roman" w:eastAsia="仿宋_GB2312" w:cs="Nimbus Roman"/>
          <w:b w:val="0"/>
          <w:i w:val="0"/>
          <w:snapToGrid/>
          <w:color w:val="000000"/>
          <w:sz w:val="32"/>
          <w:szCs w:val="32"/>
          <w:shd w:val="clear" w:fill="auto"/>
          <w:lang w:val="en-US" w:eastAsia="zh-CN" w:bidi="ar"/>
        </w:rPr>
        <w:t>项</w:t>
      </w:r>
      <w:r>
        <w:rPr>
          <w:rFonts w:hint="eastAsia" w:ascii="Times New Roman" w:hAnsi="Times New Roman" w:eastAsia="仿宋_GB2312" w:cs="Nimbus Roman"/>
          <w:b w:val="0"/>
          <w:i w:val="0"/>
          <w:snapToGrid/>
          <w:color w:val="000000"/>
          <w:sz w:val="32"/>
          <w:szCs w:val="32"/>
          <w:shd w:val="clear" w:fill="auto"/>
          <w:lang w:val="en-US" w:eastAsia="zh-CN" w:bidi="ar"/>
        </w:rPr>
        <w:t>医疗服务价格项目</w:t>
      </w:r>
      <w:r>
        <w:rPr>
          <w:rFonts w:hint="default" w:ascii="Times New Roman" w:hAnsi="Times New Roman" w:eastAsia="仿宋_GB2312" w:cs="Times New Roman"/>
          <w:sz w:val="32"/>
          <w:szCs w:val="32"/>
        </w:rPr>
        <w:t>三级公立医疗机构</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eastAsia" w:ascii="Times New Roman" w:hAnsi="Times New Roman" w:eastAsia="仿宋_GB2312" w:cs="Times New Roman"/>
          <w:color w:val="000000"/>
          <w:kern w:val="2"/>
          <w:sz w:val="32"/>
          <w:szCs w:val="32"/>
          <w:shd w:val="clear" w:color="auto" w:fill="FFFFFF"/>
          <w:lang w:val="en-US" w:eastAsia="zh-CN" w:bidi="ar-SA"/>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Nimbus Roman"/>
          <w:color w:val="000000" w:themeColor="text1"/>
          <w:sz w:val="32"/>
          <w:szCs w:val="32"/>
          <w:lang w:val="en-US" w:eastAsia="zh-CN"/>
          <w14:textFill>
            <w14:solidFill>
              <w14:schemeClr w14:val="tx1"/>
            </w14:solidFill>
          </w14:textFill>
        </w:rPr>
      </w:pPr>
      <w:r>
        <w:rPr>
          <w:rFonts w:hint="default" w:ascii="Times New Roman" w:hAnsi="Times New Roman" w:eastAsia="楷体_GB2312" w:cs="Times New Roman"/>
          <w:color w:val="auto"/>
          <w:kern w:val="0"/>
          <w:sz w:val="32"/>
          <w:szCs w:val="32"/>
          <w:lang w:eastAsia="zh-CN"/>
        </w:rPr>
        <w:t>（</w:t>
      </w:r>
      <w:r>
        <w:rPr>
          <w:rFonts w:hint="eastAsia" w:ascii="Times New Roman" w:hAnsi="Times New Roman" w:eastAsia="楷体_GB2312" w:cs="Times New Roman"/>
          <w:color w:val="auto"/>
          <w:kern w:val="0"/>
          <w:sz w:val="32"/>
          <w:szCs w:val="32"/>
          <w:lang w:val="en-US" w:eastAsia="zh-CN"/>
        </w:rPr>
        <w:t>二</w:t>
      </w:r>
      <w:r>
        <w:rPr>
          <w:rFonts w:hint="default" w:ascii="Times New Roman" w:hAnsi="Times New Roman" w:eastAsia="楷体_GB2312" w:cs="Times New Roman"/>
          <w:color w:val="auto"/>
          <w:kern w:val="0"/>
          <w:sz w:val="32"/>
          <w:szCs w:val="32"/>
          <w:lang w:eastAsia="zh-CN"/>
        </w:rPr>
        <w:t>）各级别医疗机构间医疗服务价格级差。</w:t>
      </w:r>
      <w:r>
        <w:rPr>
          <w:rFonts w:hint="default" w:ascii="Times New Roman" w:hAnsi="Times New Roman" w:eastAsia="仿宋_GB2312" w:cs="Times New Roman"/>
          <w:color w:val="auto"/>
          <w:kern w:val="0"/>
          <w:sz w:val="32"/>
          <w:szCs w:val="32"/>
          <w:lang w:val="en-US" w:eastAsia="zh-CN"/>
        </w:rPr>
        <w:t>根据汕府办文[2007]2-079号及</w:t>
      </w:r>
      <w:r>
        <w:rPr>
          <w:rFonts w:hint="default" w:ascii="Times New Roman" w:hAnsi="Times New Roman" w:eastAsia="仿宋_GB2312" w:cs="Times New Roman"/>
          <w:color w:val="auto"/>
          <w:kern w:val="0"/>
          <w:sz w:val="32"/>
          <w:szCs w:val="32"/>
          <w:lang w:eastAsia="zh-CN"/>
        </w:rPr>
        <w:t>《关于推进医疗服务价格改革的实施意见》（粤发改价格〔2017〕21号）等</w:t>
      </w:r>
      <w:r>
        <w:rPr>
          <w:rFonts w:hint="default" w:ascii="Times New Roman" w:hAnsi="Times New Roman" w:eastAsia="仿宋_GB2312" w:cs="Times New Roman"/>
          <w:color w:val="auto"/>
          <w:kern w:val="0"/>
          <w:sz w:val="32"/>
          <w:szCs w:val="32"/>
          <w:lang w:val="en-US" w:eastAsia="zh-CN"/>
        </w:rPr>
        <w:t>文件，我市</w:t>
      </w:r>
      <w:r>
        <w:rPr>
          <w:rFonts w:hint="default" w:ascii="Times New Roman" w:hAnsi="Times New Roman" w:eastAsia="仿宋_GB2312" w:cs="Times New Roman"/>
          <w:color w:val="auto"/>
          <w:kern w:val="0"/>
          <w:sz w:val="32"/>
          <w:szCs w:val="32"/>
          <w:lang w:eastAsia="zh-CN"/>
        </w:rPr>
        <w:t>各级医疗机构间医疗服务价格</w:t>
      </w:r>
      <w:r>
        <w:rPr>
          <w:rFonts w:hint="default" w:ascii="Times New Roman" w:hAnsi="Times New Roman" w:eastAsia="仿宋_GB2312" w:cs="Times New Roman"/>
          <w:color w:val="auto"/>
          <w:kern w:val="0"/>
          <w:sz w:val="32"/>
          <w:szCs w:val="32"/>
          <w:lang w:val="en-US" w:eastAsia="zh-CN"/>
        </w:rPr>
        <w:t>按照10%的标准拉开差距。</w:t>
      </w:r>
    </w:p>
    <w:sectPr>
      <w:footerReference r:id="rId3" w:type="default"/>
      <w:pgSz w:w="11906" w:h="16838"/>
      <w:pgMar w:top="1701" w:right="1587" w:bottom="1417" w:left="1587" w:header="851" w:footer="992" w:gutter="0"/>
      <w:pgNumType w:fmt="decimal"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AD9BA"/>
    <w:multiLevelType w:val="singleLevel"/>
    <w:tmpl w:val="674AD9B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1E14AAA"/>
    <w:rsid w:val="03824AAC"/>
    <w:rsid w:val="05761F50"/>
    <w:rsid w:val="06DA3EF0"/>
    <w:rsid w:val="07C33C44"/>
    <w:rsid w:val="08D21D09"/>
    <w:rsid w:val="097E75E6"/>
    <w:rsid w:val="09D450BF"/>
    <w:rsid w:val="0A1307D7"/>
    <w:rsid w:val="0A480097"/>
    <w:rsid w:val="0E4A7C89"/>
    <w:rsid w:val="0FBB1E6E"/>
    <w:rsid w:val="11114515"/>
    <w:rsid w:val="1182036D"/>
    <w:rsid w:val="11C71F12"/>
    <w:rsid w:val="11D3426A"/>
    <w:rsid w:val="12054B42"/>
    <w:rsid w:val="15CA08B6"/>
    <w:rsid w:val="16575D9C"/>
    <w:rsid w:val="17272996"/>
    <w:rsid w:val="1BA87379"/>
    <w:rsid w:val="1BBD5B28"/>
    <w:rsid w:val="1BC32AA9"/>
    <w:rsid w:val="1C7F79C9"/>
    <w:rsid w:val="1CFF70D1"/>
    <w:rsid w:val="1FEEA1F9"/>
    <w:rsid w:val="1FEF3AB2"/>
    <w:rsid w:val="20AB2C7D"/>
    <w:rsid w:val="21192AAA"/>
    <w:rsid w:val="217C0ED7"/>
    <w:rsid w:val="234D351C"/>
    <w:rsid w:val="277B360C"/>
    <w:rsid w:val="27AA1FE9"/>
    <w:rsid w:val="28925D46"/>
    <w:rsid w:val="289E0724"/>
    <w:rsid w:val="28FF44AC"/>
    <w:rsid w:val="2B0319AF"/>
    <w:rsid w:val="2BEF7A55"/>
    <w:rsid w:val="2BFF7F4F"/>
    <w:rsid w:val="2C4C029D"/>
    <w:rsid w:val="2F7782CD"/>
    <w:rsid w:val="2FBE3C72"/>
    <w:rsid w:val="2FDB8853"/>
    <w:rsid w:val="2FE39C71"/>
    <w:rsid w:val="310A20F6"/>
    <w:rsid w:val="3232438D"/>
    <w:rsid w:val="33912E83"/>
    <w:rsid w:val="35144DB9"/>
    <w:rsid w:val="35A84C1D"/>
    <w:rsid w:val="363B14E0"/>
    <w:rsid w:val="37740704"/>
    <w:rsid w:val="37D452D1"/>
    <w:rsid w:val="39457F60"/>
    <w:rsid w:val="39470B2A"/>
    <w:rsid w:val="39783F40"/>
    <w:rsid w:val="39DC6C22"/>
    <w:rsid w:val="3A324001"/>
    <w:rsid w:val="3ADFDA6A"/>
    <w:rsid w:val="3C156351"/>
    <w:rsid w:val="3CDF1EEC"/>
    <w:rsid w:val="3CEF5B74"/>
    <w:rsid w:val="3D3D4EC9"/>
    <w:rsid w:val="3DA3BB69"/>
    <w:rsid w:val="3E90085F"/>
    <w:rsid w:val="3EB848D4"/>
    <w:rsid w:val="3F963D8F"/>
    <w:rsid w:val="3FDB8F39"/>
    <w:rsid w:val="3FE45593"/>
    <w:rsid w:val="40A01E33"/>
    <w:rsid w:val="40D573E7"/>
    <w:rsid w:val="4136427F"/>
    <w:rsid w:val="417B090B"/>
    <w:rsid w:val="41D36F45"/>
    <w:rsid w:val="421E3C2A"/>
    <w:rsid w:val="44003D81"/>
    <w:rsid w:val="46945EF5"/>
    <w:rsid w:val="47837708"/>
    <w:rsid w:val="4B1F0EF2"/>
    <w:rsid w:val="4BDFCA88"/>
    <w:rsid w:val="4E0538DC"/>
    <w:rsid w:val="5087164D"/>
    <w:rsid w:val="50D63AF7"/>
    <w:rsid w:val="51C3461C"/>
    <w:rsid w:val="524A3FB4"/>
    <w:rsid w:val="537E38FB"/>
    <w:rsid w:val="54534E5F"/>
    <w:rsid w:val="5663FDC4"/>
    <w:rsid w:val="56712CB1"/>
    <w:rsid w:val="57B9097D"/>
    <w:rsid w:val="58153E42"/>
    <w:rsid w:val="58BF0736"/>
    <w:rsid w:val="5A0F4FFE"/>
    <w:rsid w:val="5D347AD0"/>
    <w:rsid w:val="5DBE5856"/>
    <w:rsid w:val="5DCD9999"/>
    <w:rsid w:val="5DD66C3E"/>
    <w:rsid w:val="5DF27D94"/>
    <w:rsid w:val="5E06539E"/>
    <w:rsid w:val="5F2E11C1"/>
    <w:rsid w:val="5FF701CC"/>
    <w:rsid w:val="5FFF38CA"/>
    <w:rsid w:val="601D24C2"/>
    <w:rsid w:val="60296E55"/>
    <w:rsid w:val="63B975BD"/>
    <w:rsid w:val="67C0731D"/>
    <w:rsid w:val="67FF3FF0"/>
    <w:rsid w:val="69BEF020"/>
    <w:rsid w:val="69F60AE9"/>
    <w:rsid w:val="6B77C008"/>
    <w:rsid w:val="6BFEE0F0"/>
    <w:rsid w:val="6C2B319D"/>
    <w:rsid w:val="6CBFEDE3"/>
    <w:rsid w:val="6CFCEA0F"/>
    <w:rsid w:val="6F7B9B6B"/>
    <w:rsid w:val="6FCFF403"/>
    <w:rsid w:val="6FDF2C46"/>
    <w:rsid w:val="6FFC191E"/>
    <w:rsid w:val="70147D36"/>
    <w:rsid w:val="71FF22F7"/>
    <w:rsid w:val="72BFC6BF"/>
    <w:rsid w:val="72DE698F"/>
    <w:rsid w:val="735F75D1"/>
    <w:rsid w:val="739F2FCD"/>
    <w:rsid w:val="74274E78"/>
    <w:rsid w:val="74350BED"/>
    <w:rsid w:val="74EF03DF"/>
    <w:rsid w:val="757AFDA2"/>
    <w:rsid w:val="76214BD7"/>
    <w:rsid w:val="76790A7B"/>
    <w:rsid w:val="767F607C"/>
    <w:rsid w:val="769493BF"/>
    <w:rsid w:val="76ADE600"/>
    <w:rsid w:val="7713500B"/>
    <w:rsid w:val="77A60D1A"/>
    <w:rsid w:val="7902148D"/>
    <w:rsid w:val="7925600D"/>
    <w:rsid w:val="79B7D700"/>
    <w:rsid w:val="7A3E7DCF"/>
    <w:rsid w:val="7A965476"/>
    <w:rsid w:val="7B4EA43E"/>
    <w:rsid w:val="7B9276F9"/>
    <w:rsid w:val="7BFDFEBB"/>
    <w:rsid w:val="7BFE6220"/>
    <w:rsid w:val="7BFECA70"/>
    <w:rsid w:val="7BFFE282"/>
    <w:rsid w:val="7CC13E60"/>
    <w:rsid w:val="7CEB0AC5"/>
    <w:rsid w:val="7D5D0E2B"/>
    <w:rsid w:val="7D65D63E"/>
    <w:rsid w:val="7D6D4BEA"/>
    <w:rsid w:val="7E33A012"/>
    <w:rsid w:val="7E5D4D48"/>
    <w:rsid w:val="7E7FC47E"/>
    <w:rsid w:val="7EDB5E87"/>
    <w:rsid w:val="7EEF5A65"/>
    <w:rsid w:val="7F3D6956"/>
    <w:rsid w:val="7F3F227A"/>
    <w:rsid w:val="7F5FA603"/>
    <w:rsid w:val="7FD964A1"/>
    <w:rsid w:val="7FDDA412"/>
    <w:rsid w:val="7FDDECBD"/>
    <w:rsid w:val="7FEF5E64"/>
    <w:rsid w:val="7FFBD79D"/>
    <w:rsid w:val="7FFF0C37"/>
    <w:rsid w:val="9A5FCFF7"/>
    <w:rsid w:val="AEF242B6"/>
    <w:rsid w:val="B3FD8E97"/>
    <w:rsid w:val="B43F2C4F"/>
    <w:rsid w:val="B5FF2B61"/>
    <w:rsid w:val="BA37D40D"/>
    <w:rsid w:val="BB77F5AF"/>
    <w:rsid w:val="BBFF542D"/>
    <w:rsid w:val="BCB200FF"/>
    <w:rsid w:val="BF7F7491"/>
    <w:rsid w:val="BFDD2FB3"/>
    <w:rsid w:val="BFEFF2E6"/>
    <w:rsid w:val="BFF6A651"/>
    <w:rsid w:val="CFBA4FA0"/>
    <w:rsid w:val="D5FEB252"/>
    <w:rsid w:val="D74D3761"/>
    <w:rsid w:val="DD5BF2C9"/>
    <w:rsid w:val="DDF7E498"/>
    <w:rsid w:val="DDFE3B85"/>
    <w:rsid w:val="DEFF153A"/>
    <w:rsid w:val="DF9AE382"/>
    <w:rsid w:val="DFA3DEC3"/>
    <w:rsid w:val="DFD76C04"/>
    <w:rsid w:val="DFDB8958"/>
    <w:rsid w:val="DFFB1D92"/>
    <w:rsid w:val="E37FA25D"/>
    <w:rsid w:val="E3BE5657"/>
    <w:rsid w:val="E7FEFCA6"/>
    <w:rsid w:val="E9A94260"/>
    <w:rsid w:val="ED4CEE34"/>
    <w:rsid w:val="EF0F7CEB"/>
    <w:rsid w:val="F377CD8D"/>
    <w:rsid w:val="F378D4B5"/>
    <w:rsid w:val="F3FE534D"/>
    <w:rsid w:val="F4F74566"/>
    <w:rsid w:val="F4FEC093"/>
    <w:rsid w:val="F564839F"/>
    <w:rsid w:val="F76DB244"/>
    <w:rsid w:val="F7FD79F2"/>
    <w:rsid w:val="F7FEB75E"/>
    <w:rsid w:val="FBFF8FB6"/>
    <w:rsid w:val="FCFE0BC6"/>
    <w:rsid w:val="FDFEE767"/>
    <w:rsid w:val="FDFFC11E"/>
    <w:rsid w:val="FEEF9279"/>
    <w:rsid w:val="FF3DF7C1"/>
    <w:rsid w:val="FF7E0E19"/>
    <w:rsid w:val="FFA71897"/>
    <w:rsid w:val="FFAE0A70"/>
    <w:rsid w:val="FFD3E1F1"/>
    <w:rsid w:val="FFDD5F59"/>
    <w:rsid w:val="FFF94EDA"/>
    <w:rsid w:val="FFFE58BA"/>
    <w:rsid w:val="FFFF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Char Char Char Char1 Char Char Char"/>
    <w:basedOn w:val="1"/>
    <w:qFormat/>
    <w:uiPriority w:val="0"/>
    <w:rPr>
      <w:rFonts w:ascii="Times New Roman" w:hAnsi="Times New Roman" w:eastAsia="宋体" w:cs="Times New Roman"/>
      <w:szCs w:val="24"/>
    </w:rPr>
  </w:style>
  <w:style w:type="paragraph" w:customStyle="1" w:styleId="8">
    <w:name w:val="List Paragraph"/>
    <w:basedOn w:val="1"/>
    <w:qFormat/>
    <w:uiPriority w:val="34"/>
    <w:pPr>
      <w:ind w:firstLine="420" w:firstLineChars="200"/>
    </w:pPr>
  </w:style>
  <w:style w:type="paragraph" w:customStyle="1" w:styleId="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5</TotalTime>
  <ScaleCrop>false</ScaleCrop>
  <LinksUpToDate>false</LinksUpToDate>
  <CharactersWithSpaces>2795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2022-11-25T01:22:00Z</dcterms:created>
  <dc:creator>He Bingjie</dc:creator>
  <cp:lastModifiedBy>lenovo</cp:lastModifiedBy>
  <cp:lastPrinted>2024-12-03T09:11:42Z</cp:lastPrinted>
  <dcterms:modified xsi:type="dcterms:W3CDTF">2024-12-03T09:11:44Z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ribbonExt">
    <vt:lpwstr>{"WPSExtOfficeTab":{"OnGetEnabled":false,"OnGetVisible":false}}</vt:lpwstr>
  </property>
  <property fmtid="{D5CDD505-2E9C-101B-9397-08002B2CF9AE}" pid="4" name="ICV">
    <vt:lpwstr>655C644113E8C1FDD1E95666D4D9F12B</vt:lpwstr>
  </property>
  <property fmtid="{D5CDD505-2E9C-101B-9397-08002B2CF9AE}" pid="5" name="showFlag">
    <vt:bool>true</vt:bool>
  </property>
  <property fmtid="{D5CDD505-2E9C-101B-9397-08002B2CF9AE}" pid="6" name="userName">
    <vt:lpwstr>陈小玲</vt:lpwstr>
  </property>
</Properties>
</file>