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DCEC">
      <w:pPr>
        <w:pStyle w:val="2"/>
        <w:widowControl w:val="0"/>
        <w:wordWrap/>
        <w:adjustRightInd/>
        <w:snapToGrid/>
        <w:spacing w:line="578" w:lineRule="exact"/>
        <w:ind w:left="0" w:leftChars="0" w:right="0" w:firstLine="0" w:firstLineChars="0"/>
        <w:jc w:val="center"/>
        <w:textAlignment w:val="auto"/>
        <w:outlineLvl w:val="0"/>
        <w:rPr>
          <w:rFonts w:hint="eastAsia" w:ascii="方正小标宋简体" w:hAnsi="黑体" w:eastAsia="方正小标宋简体" w:cs="黑体"/>
          <w:b w:val="0"/>
          <w:bCs/>
          <w:sz w:val="44"/>
          <w:szCs w:val="44"/>
          <w:lang w:eastAsia="zh-CN"/>
        </w:rPr>
      </w:pPr>
      <w:r>
        <w:rPr>
          <w:rFonts w:hint="eastAsia" w:ascii="方正小标宋简体" w:hAnsi="黑体" w:eastAsia="方正小标宋简体" w:cs="黑体"/>
          <w:b w:val="0"/>
          <w:bCs/>
          <w:sz w:val="44"/>
          <w:szCs w:val="44"/>
          <w:lang w:eastAsia="zh-CN"/>
        </w:rPr>
        <w:t>《北京市药品监督管理轻微违法行为容错纠错清单》起草说明</w:t>
      </w:r>
    </w:p>
    <w:p w14:paraId="537E704B">
      <w:pPr>
        <w:keepNext w:val="0"/>
        <w:keepLines w:val="0"/>
        <w:pageBreakBefore w:val="0"/>
        <w:widowControl w:val="0"/>
        <w:kinsoku/>
        <w:wordWrap/>
        <w:overflowPunct/>
        <w:topLinePunct w:val="0"/>
        <w:autoSpaceDE/>
        <w:autoSpaceDN/>
        <w:bidi w:val="0"/>
        <w:adjustRightInd/>
        <w:snapToGrid/>
        <w:spacing w:line="558" w:lineRule="exact"/>
        <w:textAlignment w:val="auto"/>
        <w:rPr>
          <w:rFonts w:ascii="黑体" w:hAnsi="黑体" w:eastAsia="黑体" w:cs="仿宋"/>
          <w:sz w:val="32"/>
          <w:szCs w:val="32"/>
        </w:rPr>
      </w:pPr>
      <w:bookmarkStart w:id="0" w:name="OLE_LINK1"/>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一、</w:t>
      </w:r>
      <w:r>
        <w:rPr>
          <w:rFonts w:ascii="Times New Roman" w:hAnsi="Times New Roman" w:eastAsia="黑体"/>
          <w:sz w:val="32"/>
          <w:szCs w:val="32"/>
        </w:rPr>
        <w:t>起草的背景和必要性</w:t>
      </w:r>
    </w:p>
    <w:p w14:paraId="1529C6B8">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lang w:val="en-US" w:eastAsia="zh-CN"/>
        </w:rPr>
        <w:t>为持续落实《法治政府建设实施纲要（2021-2025年）》，</w:t>
      </w:r>
      <w:r>
        <w:rPr>
          <w:rFonts w:hint="eastAsia" w:ascii="仿宋_GB2312" w:hAnsi="仿宋" w:eastAsia="仿宋_GB2312"/>
          <w:sz w:val="32"/>
          <w:szCs w:val="32"/>
          <w:lang w:eastAsia="zh-CN"/>
        </w:rPr>
        <w:t>进一步加大营商环境改革力度，持续打造市场化法治化国际化营商环境，着力培育和激发市场主体活力，落实包容审慎监管，</w:t>
      </w:r>
      <w:r>
        <w:rPr>
          <w:rFonts w:hint="eastAsia" w:ascii="仿宋_GB2312" w:hAnsi="仿宋" w:eastAsia="仿宋_GB2312"/>
          <w:sz w:val="32"/>
          <w:szCs w:val="32"/>
          <w:lang w:val="en-US" w:eastAsia="zh-CN"/>
        </w:rPr>
        <w:t>北京市药品监督管理局</w:t>
      </w:r>
      <w:r>
        <w:rPr>
          <w:rFonts w:hint="eastAsia" w:ascii="仿宋_GB2312" w:hAnsi="仿宋" w:eastAsia="仿宋_GB2312"/>
          <w:sz w:val="32"/>
          <w:szCs w:val="32"/>
          <w:lang w:eastAsia="zh-CN"/>
        </w:rPr>
        <w:t>起草了</w:t>
      </w:r>
      <w:r>
        <w:rPr>
          <w:rFonts w:hint="eastAsia" w:ascii="仿宋_GB2312" w:hAnsi="仿宋_GB2312" w:eastAsia="仿宋_GB2312" w:cs="仿宋_GB2312"/>
          <w:sz w:val="32"/>
          <w:szCs w:val="32"/>
          <w:lang w:val="en-US" w:eastAsia="zh-CN"/>
        </w:rPr>
        <w:t>《北京市药品监督管理轻微违法行为容错纠错清单》（以下简称《清单》），对违法行为轻微并及时改正，没有造成危害后果的，不予行政处罚；对初次违法且危害后果轻微并及时改正的，可以不予行政处罚；对有证据足以证明没有主观过错的，不予行政处罚，惠及更多市场主体</w:t>
      </w:r>
      <w:r>
        <w:rPr>
          <w:rFonts w:hint="eastAsia" w:ascii="仿宋_GB2312" w:hAnsi="仿宋" w:eastAsia="仿宋_GB2312"/>
          <w:sz w:val="32"/>
          <w:szCs w:val="32"/>
          <w:lang w:eastAsia="zh-CN"/>
        </w:rPr>
        <w:t>。</w:t>
      </w:r>
    </w:p>
    <w:p w14:paraId="1176E7FE">
      <w:pPr>
        <w:keepNext w:val="0"/>
        <w:keepLines w:val="0"/>
        <w:pageBreakBefore w:val="0"/>
        <w:widowControl w:val="0"/>
        <w:kinsoku/>
        <w:wordWrap/>
        <w:overflowPunct/>
        <w:topLinePunct w:val="0"/>
        <w:autoSpaceDE/>
        <w:autoSpaceDN/>
        <w:bidi w:val="0"/>
        <w:adjustRightInd/>
        <w:snapToGrid/>
        <w:spacing w:line="558" w:lineRule="exact"/>
        <w:ind w:firstLine="640" w:firstLineChars="200"/>
        <w:contextualSpacing/>
        <w:textAlignment w:val="auto"/>
        <w:rPr>
          <w:rFonts w:eastAsia="黑体"/>
          <w:sz w:val="32"/>
          <w:szCs w:val="32"/>
        </w:rPr>
      </w:pPr>
      <w:r>
        <w:rPr>
          <w:rFonts w:eastAsia="黑体"/>
          <w:sz w:val="32"/>
          <w:szCs w:val="32"/>
        </w:rPr>
        <w:t>二、制定依据</w:t>
      </w:r>
    </w:p>
    <w:p w14:paraId="3E6DA1A7">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_GB2312" w:eastAsia="仿宋_GB2312" w:cs="仿宋_GB2312"/>
          <w:sz w:val="32"/>
          <w:szCs w:val="32"/>
          <w:lang w:val="en-US" w:eastAsia="zh-CN"/>
        </w:rPr>
        <w:t>根据《中华人民共和国行政处罚法》</w:t>
      </w:r>
      <w:r>
        <w:rPr>
          <w:rFonts w:hint="eastAsia" w:ascii="仿宋_GB2312" w:hAnsi="仿宋" w:eastAsia="仿宋_GB2312" w:cs="宋体"/>
          <w:kern w:val="0"/>
          <w:sz w:val="32"/>
          <w:szCs w:val="32"/>
          <w:lang w:val="en-US" w:eastAsia="zh-CN"/>
        </w:rPr>
        <w:t>《市场监督管理行政处罚程序规定》</w:t>
      </w:r>
      <w:r>
        <w:rPr>
          <w:rFonts w:hint="eastAsia" w:ascii="仿宋_GB2312" w:hAnsi="仿宋_GB2312" w:eastAsia="仿宋_GB2312" w:cs="仿宋_GB2312"/>
          <w:sz w:val="32"/>
          <w:szCs w:val="32"/>
          <w:lang w:val="en-US" w:eastAsia="zh-CN"/>
        </w:rPr>
        <w:t>《北京市优化营商环境条例》</w:t>
      </w:r>
      <w:r>
        <w:rPr>
          <w:rFonts w:ascii="仿宋_GB2312" w:hAnsi="仿宋" w:eastAsia="仿宋_GB2312"/>
          <w:color w:val="000000"/>
          <w:sz w:val="32"/>
          <w:szCs w:val="32"/>
        </w:rPr>
        <w:t>等</w:t>
      </w:r>
      <w:r>
        <w:rPr>
          <w:rFonts w:hint="eastAsia" w:ascii="仿宋_GB2312" w:hAnsi="仿宋" w:eastAsia="仿宋_GB2312"/>
          <w:color w:val="000000"/>
          <w:sz w:val="32"/>
          <w:szCs w:val="32"/>
        </w:rPr>
        <w:t>规定</w:t>
      </w:r>
      <w:r>
        <w:rPr>
          <w:rFonts w:hint="eastAsia" w:ascii="仿宋_GB2312" w:hAnsi="仿宋_GB2312" w:eastAsia="仿宋_GB2312" w:cs="仿宋_GB2312"/>
          <w:sz w:val="32"/>
          <w:szCs w:val="32"/>
          <w:lang w:val="en-US" w:eastAsia="zh-CN"/>
        </w:rPr>
        <w:t>，依据《关于进一步规范行政裁量权基准制定和管理工作的实施意见》（京依法行政办发〔2023〕4号）“推广轻微违法免罚和初次违法慎罚制度，按有关要求编制轻微违法和初次违法不予行政处罚事项清单”和《国家药监局关于印发药品监督管理行政处罚裁量适用规则的通知》的有关工作要求，</w:t>
      </w:r>
      <w:r>
        <w:rPr>
          <w:rFonts w:ascii="仿宋_GB2312" w:hAnsi="仿宋" w:eastAsia="仿宋_GB2312"/>
          <w:color w:val="000000"/>
          <w:sz w:val="32"/>
          <w:szCs w:val="32"/>
        </w:rPr>
        <w:t>结合</w:t>
      </w:r>
      <w:r>
        <w:rPr>
          <w:rFonts w:hint="eastAsia" w:ascii="仿宋_GB2312" w:hAnsi="仿宋" w:eastAsia="仿宋_GB2312"/>
          <w:color w:val="000000"/>
          <w:sz w:val="32"/>
          <w:szCs w:val="32"/>
          <w:lang w:val="en-US" w:eastAsia="zh-CN"/>
        </w:rPr>
        <w:t>我市药品</w:t>
      </w:r>
      <w:r>
        <w:rPr>
          <w:rFonts w:hint="eastAsia" w:ascii="仿宋_GB2312" w:hAnsi="仿宋" w:eastAsia="仿宋_GB2312"/>
          <w:color w:val="000000"/>
          <w:sz w:val="32"/>
          <w:szCs w:val="32"/>
          <w:lang w:eastAsia="zh-CN"/>
        </w:rPr>
        <w:t>监管领域行政执法实践</w:t>
      </w:r>
      <w:r>
        <w:rPr>
          <w:rFonts w:ascii="仿宋_GB2312" w:hAnsi="仿宋" w:eastAsia="仿宋_GB2312"/>
          <w:color w:val="000000"/>
          <w:sz w:val="32"/>
          <w:szCs w:val="32"/>
        </w:rPr>
        <w:t>，</w:t>
      </w:r>
      <w:r>
        <w:rPr>
          <w:rFonts w:hint="eastAsia" w:ascii="仿宋_GB2312" w:hAnsi="仿宋" w:eastAsia="仿宋_GB2312"/>
          <w:color w:val="000000"/>
          <w:sz w:val="32"/>
          <w:szCs w:val="32"/>
          <w:lang w:eastAsia="zh-CN"/>
        </w:rPr>
        <w:t>起草了《</w:t>
      </w:r>
      <w:r>
        <w:rPr>
          <w:rFonts w:hint="eastAsia" w:ascii="仿宋_GB2312" w:hAnsi="仿宋" w:eastAsia="仿宋_GB2312"/>
          <w:color w:val="000000"/>
          <w:sz w:val="32"/>
          <w:szCs w:val="32"/>
        </w:rPr>
        <w:t>清单</w:t>
      </w:r>
      <w:r>
        <w:rPr>
          <w:rFonts w:hint="eastAsia" w:ascii="仿宋_GB2312" w:hAnsi="仿宋" w:eastAsia="仿宋_GB2312"/>
          <w:color w:val="000000"/>
          <w:sz w:val="32"/>
          <w:szCs w:val="32"/>
          <w:lang w:eastAsia="zh-CN"/>
        </w:rPr>
        <w:t>》。</w:t>
      </w:r>
    </w:p>
    <w:p w14:paraId="71EFA338">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eastAsia="黑体"/>
          <w:sz w:val="32"/>
          <w:szCs w:val="32"/>
        </w:rPr>
      </w:pPr>
      <w:r>
        <w:rPr>
          <w:rFonts w:eastAsia="黑体"/>
          <w:sz w:val="32"/>
          <w:szCs w:val="32"/>
        </w:rPr>
        <w:t>三、起草过程</w:t>
      </w:r>
    </w:p>
    <w:p w14:paraId="70EC3D30">
      <w:pPr>
        <w:keepNext w:val="0"/>
        <w:keepLines w:val="0"/>
        <w:pageBreakBefore w:val="0"/>
        <w:widowControl/>
        <w:kinsoku/>
        <w:wordWrap/>
        <w:overflowPunct/>
        <w:topLinePunct w:val="0"/>
        <w:autoSpaceDE/>
        <w:autoSpaceDN/>
        <w:bidi w:val="0"/>
        <w:adjustRightInd/>
        <w:snapToGrid/>
        <w:spacing w:after="0" w:line="540" w:lineRule="exact"/>
        <w:ind w:firstLine="640" w:firstLineChars="200"/>
        <w:jc w:val="both"/>
        <w:textAlignment w:val="baseline"/>
        <w:rPr>
          <w:rFonts w:hint="eastAsia" w:ascii="仿宋_GB2312" w:hAnsi="仿宋" w:eastAsia="仿宋_GB2312"/>
          <w:sz w:val="32"/>
          <w:szCs w:val="32"/>
          <w:lang w:eastAsia="zh-CN"/>
        </w:rPr>
      </w:pPr>
      <w:r>
        <w:rPr>
          <w:rFonts w:hint="eastAsia" w:ascii="仿宋_GB2312" w:hAnsi="仿宋" w:eastAsia="仿宋_GB2312"/>
          <w:sz w:val="32"/>
          <w:szCs w:val="32"/>
          <w:lang w:eastAsia="zh-CN"/>
        </w:rPr>
        <w:t>充分研究</w:t>
      </w:r>
      <w:r>
        <w:rPr>
          <w:rFonts w:hint="eastAsia" w:ascii="仿宋_GB2312" w:hAnsi="仿宋" w:eastAsia="仿宋_GB2312"/>
          <w:sz w:val="32"/>
          <w:szCs w:val="32"/>
          <w:lang w:val="en-US" w:eastAsia="zh-CN"/>
        </w:rPr>
        <w:t>药品</w:t>
      </w:r>
      <w:r>
        <w:rPr>
          <w:rFonts w:hint="eastAsia" w:ascii="仿宋_GB2312" w:hAnsi="仿宋" w:eastAsia="仿宋_GB2312"/>
          <w:sz w:val="32"/>
          <w:szCs w:val="32"/>
          <w:lang w:eastAsia="zh-CN"/>
        </w:rPr>
        <w:t>监管领域不予行政处罚案件执法实践及特点，</w:t>
      </w:r>
      <w:r>
        <w:rPr>
          <w:rFonts w:hint="eastAsia" w:ascii="仿宋_GB2312" w:hAnsi="仿宋" w:eastAsia="仿宋_GB2312"/>
          <w:sz w:val="32"/>
          <w:szCs w:val="32"/>
          <w:lang w:val="en-US" w:eastAsia="zh-CN"/>
        </w:rPr>
        <w:t>明确了基本原则、适用条件及判定标准，规定了适用程序和适用规则。在参考其他省份药监系统和我市市场监管局轻微违法行为容错纠错清单建立情况的基础上，对</w:t>
      </w:r>
      <w:r>
        <w:rPr>
          <w:rFonts w:hint="eastAsia" w:ascii="仿宋_GB2312" w:hAnsi="仿宋" w:eastAsia="仿宋_GB2312"/>
          <w:sz w:val="32"/>
          <w:szCs w:val="32"/>
          <w:lang w:eastAsia="zh-CN"/>
        </w:rPr>
        <w:t>《清单》进行修改完善，形成目前的征求意见稿。</w:t>
      </w:r>
    </w:p>
    <w:p w14:paraId="23BBE5EA">
      <w:pPr>
        <w:keepNext w:val="0"/>
        <w:keepLines w:val="0"/>
        <w:pageBreakBefore w:val="0"/>
        <w:widowControl w:val="0"/>
        <w:kinsoku/>
        <w:wordWrap/>
        <w:overflowPunct/>
        <w:topLinePunct w:val="0"/>
        <w:autoSpaceDE/>
        <w:autoSpaceDN/>
        <w:bidi w:val="0"/>
        <w:adjustRightInd/>
        <w:snapToGrid/>
        <w:spacing w:line="558" w:lineRule="exact"/>
        <w:ind w:left="640"/>
        <w:textAlignment w:val="auto"/>
        <w:rPr>
          <w:rFonts w:eastAsia="黑体"/>
          <w:w w:val="95"/>
          <w:sz w:val="32"/>
          <w:szCs w:val="32"/>
        </w:rPr>
      </w:pPr>
      <w:r>
        <w:rPr>
          <w:rFonts w:eastAsia="黑体"/>
          <w:sz w:val="32"/>
          <w:szCs w:val="32"/>
        </w:rPr>
        <w:t>四、主要内容</w:t>
      </w:r>
    </w:p>
    <w:bookmarkEnd w:id="0"/>
    <w:p w14:paraId="4C3AC564">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olor w:val="000000"/>
          <w:sz w:val="32"/>
          <w:szCs w:val="32"/>
          <w:lang w:val="en-US" w:eastAsia="zh-CN"/>
        </w:rPr>
        <w:t>《清单》共计提出了32项，涵盖药品、医疗器械、化妆品领域，其中“违法行为轻微，及时改正并未造成危害后果的，不予行政处罚”16项，“初次违法且危害后果轻微并及时改正的，可以不予行政处罚”10项</w:t>
      </w:r>
      <w:bookmarkStart w:id="1" w:name="_Hlk172647192"/>
      <w:r>
        <w:rPr>
          <w:rFonts w:hint="eastAsia" w:ascii="仿宋_GB2312" w:hAnsi="仿宋" w:eastAsia="仿宋_GB2312"/>
          <w:color w:val="000000"/>
          <w:sz w:val="32"/>
          <w:szCs w:val="32"/>
          <w:lang w:val="en-US" w:eastAsia="zh-CN"/>
        </w:rPr>
        <w:t>，“有证据足以证明没有主观过错的，不予行政处罚”</w:t>
      </w:r>
      <w:bookmarkEnd w:id="1"/>
      <w:r>
        <w:rPr>
          <w:rFonts w:hint="eastAsia" w:ascii="仿宋_GB2312" w:hAnsi="仿宋" w:eastAsia="仿宋_GB2312"/>
          <w:color w:val="000000"/>
          <w:sz w:val="32"/>
          <w:szCs w:val="32"/>
          <w:lang w:val="en-US" w:eastAsia="zh-CN"/>
        </w:rPr>
        <w:t>6项。</w:t>
      </w:r>
      <w:r>
        <w:rPr>
          <w:rFonts w:hint="eastAsia" w:ascii="仿宋_GB2312" w:hAnsi="仿宋_GB2312" w:eastAsia="仿宋_GB2312" w:cs="仿宋_GB2312"/>
          <w:sz w:val="32"/>
          <w:szCs w:val="32"/>
          <w:lang w:val="en-US" w:eastAsia="zh-CN"/>
        </w:rPr>
        <w:t>《清单》明确了轻微违法行为容错纠错</w:t>
      </w:r>
      <w:bookmarkStart w:id="2" w:name="_GoBack"/>
      <w:bookmarkEnd w:id="2"/>
      <w:r>
        <w:rPr>
          <w:rFonts w:hint="eastAsia" w:ascii="仿宋_GB2312" w:hAnsi="仿宋_GB2312" w:eastAsia="仿宋_GB2312" w:cs="仿宋_GB2312"/>
          <w:sz w:val="32"/>
          <w:szCs w:val="32"/>
          <w:lang w:val="en-US" w:eastAsia="zh-CN"/>
        </w:rPr>
        <w:t>清单事项适用的条件、实施依据、管理措施和行使层级，便于办案单位准确适用。</w:t>
      </w:r>
    </w:p>
    <w:p w14:paraId="44C5FAE0">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eastAsia" w:ascii="仿宋_GB2312" w:hAnsi="仿宋" w:eastAsia="仿宋_GB2312"/>
          <w:color w:val="000000"/>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DD00">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EB0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10EB08A">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727E">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ZTIxMDMzOWI2YTZiMGEyZDY1MTM0ZDI3YTU3NzgifQ=="/>
  </w:docVars>
  <w:rsids>
    <w:rsidRoot w:val="008C7248"/>
    <w:rsid w:val="0003519A"/>
    <w:rsid w:val="0004096C"/>
    <w:rsid w:val="00057091"/>
    <w:rsid w:val="00071DCF"/>
    <w:rsid w:val="00094CCE"/>
    <w:rsid w:val="000A6650"/>
    <w:rsid w:val="000B6BC4"/>
    <w:rsid w:val="000D2724"/>
    <w:rsid w:val="000E6487"/>
    <w:rsid w:val="00105312"/>
    <w:rsid w:val="00105F02"/>
    <w:rsid w:val="00126053"/>
    <w:rsid w:val="00154C41"/>
    <w:rsid w:val="001663EE"/>
    <w:rsid w:val="00167D2C"/>
    <w:rsid w:val="00194F6B"/>
    <w:rsid w:val="001A04C7"/>
    <w:rsid w:val="001A369D"/>
    <w:rsid w:val="001A3F2C"/>
    <w:rsid w:val="001B6EE0"/>
    <w:rsid w:val="001E3221"/>
    <w:rsid w:val="001F1DD3"/>
    <w:rsid w:val="00216291"/>
    <w:rsid w:val="0023190E"/>
    <w:rsid w:val="0024042F"/>
    <w:rsid w:val="00266569"/>
    <w:rsid w:val="00272B7D"/>
    <w:rsid w:val="00276B40"/>
    <w:rsid w:val="00282617"/>
    <w:rsid w:val="00297794"/>
    <w:rsid w:val="002A16C8"/>
    <w:rsid w:val="002B212D"/>
    <w:rsid w:val="002B4605"/>
    <w:rsid w:val="002C475A"/>
    <w:rsid w:val="002E0F7E"/>
    <w:rsid w:val="00305BC6"/>
    <w:rsid w:val="00307A74"/>
    <w:rsid w:val="003104E8"/>
    <w:rsid w:val="003162F6"/>
    <w:rsid w:val="00330A0B"/>
    <w:rsid w:val="00344896"/>
    <w:rsid w:val="0035607B"/>
    <w:rsid w:val="00367D80"/>
    <w:rsid w:val="00381EAD"/>
    <w:rsid w:val="0039751B"/>
    <w:rsid w:val="003A40AB"/>
    <w:rsid w:val="003A63AC"/>
    <w:rsid w:val="003D20C7"/>
    <w:rsid w:val="003D7832"/>
    <w:rsid w:val="003E1A0A"/>
    <w:rsid w:val="003E2B5C"/>
    <w:rsid w:val="003E62EB"/>
    <w:rsid w:val="00406116"/>
    <w:rsid w:val="00422656"/>
    <w:rsid w:val="00425F50"/>
    <w:rsid w:val="00433412"/>
    <w:rsid w:val="0043504E"/>
    <w:rsid w:val="00447484"/>
    <w:rsid w:val="004B66DC"/>
    <w:rsid w:val="004D0DD9"/>
    <w:rsid w:val="004E6F84"/>
    <w:rsid w:val="004E7A88"/>
    <w:rsid w:val="0051643B"/>
    <w:rsid w:val="0052106C"/>
    <w:rsid w:val="0052242A"/>
    <w:rsid w:val="005235C4"/>
    <w:rsid w:val="00534C66"/>
    <w:rsid w:val="005366DA"/>
    <w:rsid w:val="00547CF8"/>
    <w:rsid w:val="00572297"/>
    <w:rsid w:val="00573183"/>
    <w:rsid w:val="0058154B"/>
    <w:rsid w:val="005A38B0"/>
    <w:rsid w:val="005B0B2F"/>
    <w:rsid w:val="005D6C88"/>
    <w:rsid w:val="00611B9B"/>
    <w:rsid w:val="006573F3"/>
    <w:rsid w:val="0066004B"/>
    <w:rsid w:val="006618C2"/>
    <w:rsid w:val="006633EA"/>
    <w:rsid w:val="006706E2"/>
    <w:rsid w:val="006839E2"/>
    <w:rsid w:val="0068746F"/>
    <w:rsid w:val="00691001"/>
    <w:rsid w:val="00697A4F"/>
    <w:rsid w:val="006A4637"/>
    <w:rsid w:val="006E1972"/>
    <w:rsid w:val="006E2BC6"/>
    <w:rsid w:val="006F3568"/>
    <w:rsid w:val="006F75DC"/>
    <w:rsid w:val="00710716"/>
    <w:rsid w:val="00716F17"/>
    <w:rsid w:val="00727D76"/>
    <w:rsid w:val="007305C7"/>
    <w:rsid w:val="00731BF9"/>
    <w:rsid w:val="00733B79"/>
    <w:rsid w:val="007356A2"/>
    <w:rsid w:val="00751496"/>
    <w:rsid w:val="007772F0"/>
    <w:rsid w:val="00787635"/>
    <w:rsid w:val="007C1B13"/>
    <w:rsid w:val="007F4F48"/>
    <w:rsid w:val="008122B4"/>
    <w:rsid w:val="0081336A"/>
    <w:rsid w:val="0087701D"/>
    <w:rsid w:val="00881767"/>
    <w:rsid w:val="008C7248"/>
    <w:rsid w:val="008E1AAC"/>
    <w:rsid w:val="008F3B45"/>
    <w:rsid w:val="008F5407"/>
    <w:rsid w:val="0091550A"/>
    <w:rsid w:val="009249F1"/>
    <w:rsid w:val="009275F3"/>
    <w:rsid w:val="009555AB"/>
    <w:rsid w:val="009610EE"/>
    <w:rsid w:val="009647B6"/>
    <w:rsid w:val="00971D9E"/>
    <w:rsid w:val="009749DC"/>
    <w:rsid w:val="00982DD4"/>
    <w:rsid w:val="00984DA4"/>
    <w:rsid w:val="00985721"/>
    <w:rsid w:val="009865B6"/>
    <w:rsid w:val="00990D28"/>
    <w:rsid w:val="00992582"/>
    <w:rsid w:val="009A6D83"/>
    <w:rsid w:val="009B57D3"/>
    <w:rsid w:val="009B741A"/>
    <w:rsid w:val="009C2D49"/>
    <w:rsid w:val="009C6B83"/>
    <w:rsid w:val="009D1B59"/>
    <w:rsid w:val="009D3B55"/>
    <w:rsid w:val="009E3461"/>
    <w:rsid w:val="009E44F1"/>
    <w:rsid w:val="009E7F2F"/>
    <w:rsid w:val="00A13EEE"/>
    <w:rsid w:val="00A14796"/>
    <w:rsid w:val="00A206DA"/>
    <w:rsid w:val="00A37AEE"/>
    <w:rsid w:val="00A47A35"/>
    <w:rsid w:val="00A73DFB"/>
    <w:rsid w:val="00A81DC0"/>
    <w:rsid w:val="00A8582F"/>
    <w:rsid w:val="00A8763A"/>
    <w:rsid w:val="00A90B7A"/>
    <w:rsid w:val="00AA2848"/>
    <w:rsid w:val="00AA287E"/>
    <w:rsid w:val="00AB24F8"/>
    <w:rsid w:val="00AB7036"/>
    <w:rsid w:val="00AD03BC"/>
    <w:rsid w:val="00AD7DCC"/>
    <w:rsid w:val="00AE73EC"/>
    <w:rsid w:val="00AF2283"/>
    <w:rsid w:val="00AF32BD"/>
    <w:rsid w:val="00AF75D2"/>
    <w:rsid w:val="00B0451C"/>
    <w:rsid w:val="00B12296"/>
    <w:rsid w:val="00B15D39"/>
    <w:rsid w:val="00B2033A"/>
    <w:rsid w:val="00B27D9B"/>
    <w:rsid w:val="00B540C2"/>
    <w:rsid w:val="00B75A17"/>
    <w:rsid w:val="00BA61CC"/>
    <w:rsid w:val="00BC3F3F"/>
    <w:rsid w:val="00BC41F3"/>
    <w:rsid w:val="00BC5715"/>
    <w:rsid w:val="00BD26BF"/>
    <w:rsid w:val="00BD28F3"/>
    <w:rsid w:val="00BF6B1D"/>
    <w:rsid w:val="00BF7505"/>
    <w:rsid w:val="00C05730"/>
    <w:rsid w:val="00C16A5E"/>
    <w:rsid w:val="00C22DBC"/>
    <w:rsid w:val="00C2304E"/>
    <w:rsid w:val="00C24586"/>
    <w:rsid w:val="00C57D4A"/>
    <w:rsid w:val="00C6627F"/>
    <w:rsid w:val="00C70D87"/>
    <w:rsid w:val="00C8745D"/>
    <w:rsid w:val="00C90DD4"/>
    <w:rsid w:val="00CA1F4F"/>
    <w:rsid w:val="00CA2A92"/>
    <w:rsid w:val="00CB0B43"/>
    <w:rsid w:val="00D01BA9"/>
    <w:rsid w:val="00D16689"/>
    <w:rsid w:val="00D21E76"/>
    <w:rsid w:val="00D32218"/>
    <w:rsid w:val="00D45119"/>
    <w:rsid w:val="00D63A18"/>
    <w:rsid w:val="00D663BD"/>
    <w:rsid w:val="00DB6076"/>
    <w:rsid w:val="00DC0B71"/>
    <w:rsid w:val="00DC5652"/>
    <w:rsid w:val="00DE6A52"/>
    <w:rsid w:val="00DF7C90"/>
    <w:rsid w:val="00E01DEC"/>
    <w:rsid w:val="00E13A60"/>
    <w:rsid w:val="00E15D3C"/>
    <w:rsid w:val="00E214CB"/>
    <w:rsid w:val="00E2304C"/>
    <w:rsid w:val="00E36462"/>
    <w:rsid w:val="00E41A90"/>
    <w:rsid w:val="00E4210C"/>
    <w:rsid w:val="00E52D88"/>
    <w:rsid w:val="00E654DB"/>
    <w:rsid w:val="00E7775E"/>
    <w:rsid w:val="00E93204"/>
    <w:rsid w:val="00E9747E"/>
    <w:rsid w:val="00E979BD"/>
    <w:rsid w:val="00EB301F"/>
    <w:rsid w:val="00EB7662"/>
    <w:rsid w:val="00EC67FD"/>
    <w:rsid w:val="00ED2013"/>
    <w:rsid w:val="00EE3520"/>
    <w:rsid w:val="00F30391"/>
    <w:rsid w:val="00F31E2A"/>
    <w:rsid w:val="00F4198B"/>
    <w:rsid w:val="00F61A42"/>
    <w:rsid w:val="00F72B96"/>
    <w:rsid w:val="00F83CDC"/>
    <w:rsid w:val="00F8611C"/>
    <w:rsid w:val="00F87048"/>
    <w:rsid w:val="00F9596D"/>
    <w:rsid w:val="00FA2E08"/>
    <w:rsid w:val="00FA3FAA"/>
    <w:rsid w:val="00FC74A7"/>
    <w:rsid w:val="00FD53A1"/>
    <w:rsid w:val="00FE5574"/>
    <w:rsid w:val="00FF503A"/>
    <w:rsid w:val="00FF6108"/>
    <w:rsid w:val="0129527A"/>
    <w:rsid w:val="03FA3060"/>
    <w:rsid w:val="058E3EAC"/>
    <w:rsid w:val="077D5433"/>
    <w:rsid w:val="07860178"/>
    <w:rsid w:val="081F7F65"/>
    <w:rsid w:val="08424764"/>
    <w:rsid w:val="09362637"/>
    <w:rsid w:val="0A1B3564"/>
    <w:rsid w:val="0C4F588A"/>
    <w:rsid w:val="0CC615C3"/>
    <w:rsid w:val="0E8A6FAD"/>
    <w:rsid w:val="0FA820BD"/>
    <w:rsid w:val="0FC629C5"/>
    <w:rsid w:val="120174E4"/>
    <w:rsid w:val="134B5687"/>
    <w:rsid w:val="13980DEA"/>
    <w:rsid w:val="151B3E54"/>
    <w:rsid w:val="164E1D16"/>
    <w:rsid w:val="16D16AAF"/>
    <w:rsid w:val="185B5042"/>
    <w:rsid w:val="1A9C5B76"/>
    <w:rsid w:val="1B8B2885"/>
    <w:rsid w:val="1C5C5B03"/>
    <w:rsid w:val="22E54463"/>
    <w:rsid w:val="23C16B35"/>
    <w:rsid w:val="24BF7470"/>
    <w:rsid w:val="253B527C"/>
    <w:rsid w:val="282166C5"/>
    <w:rsid w:val="28885E11"/>
    <w:rsid w:val="288E7D26"/>
    <w:rsid w:val="2BDD4D0A"/>
    <w:rsid w:val="2D865F48"/>
    <w:rsid w:val="2DF71A1E"/>
    <w:rsid w:val="2ECD0961"/>
    <w:rsid w:val="30D1450B"/>
    <w:rsid w:val="3484187A"/>
    <w:rsid w:val="35F0600B"/>
    <w:rsid w:val="366339D8"/>
    <w:rsid w:val="3A627DC5"/>
    <w:rsid w:val="3B045869"/>
    <w:rsid w:val="3B1654FE"/>
    <w:rsid w:val="3B4227DF"/>
    <w:rsid w:val="3B6A38BD"/>
    <w:rsid w:val="3BC44376"/>
    <w:rsid w:val="3BD31274"/>
    <w:rsid w:val="40F92D40"/>
    <w:rsid w:val="41311CE5"/>
    <w:rsid w:val="474B6403"/>
    <w:rsid w:val="49E24CBC"/>
    <w:rsid w:val="4A1E5767"/>
    <w:rsid w:val="4AC40AD3"/>
    <w:rsid w:val="4C6B08FA"/>
    <w:rsid w:val="4DB11999"/>
    <w:rsid w:val="51D932D8"/>
    <w:rsid w:val="51F439AC"/>
    <w:rsid w:val="52383399"/>
    <w:rsid w:val="528666B1"/>
    <w:rsid w:val="52BE515A"/>
    <w:rsid w:val="53EE2BF6"/>
    <w:rsid w:val="579C3300"/>
    <w:rsid w:val="57B12A6A"/>
    <w:rsid w:val="586C5199"/>
    <w:rsid w:val="587F2CF1"/>
    <w:rsid w:val="5949476A"/>
    <w:rsid w:val="5C494AA9"/>
    <w:rsid w:val="5C675762"/>
    <w:rsid w:val="5CFB1DCB"/>
    <w:rsid w:val="5D957FBF"/>
    <w:rsid w:val="5F8A69D7"/>
    <w:rsid w:val="604B56D0"/>
    <w:rsid w:val="60AA3E2B"/>
    <w:rsid w:val="61B30204"/>
    <w:rsid w:val="63501466"/>
    <w:rsid w:val="68794D8B"/>
    <w:rsid w:val="68F9A195"/>
    <w:rsid w:val="6F2F210F"/>
    <w:rsid w:val="70E26B2F"/>
    <w:rsid w:val="70F829D5"/>
    <w:rsid w:val="71BA456B"/>
    <w:rsid w:val="721B570D"/>
    <w:rsid w:val="7387178B"/>
    <w:rsid w:val="73961F56"/>
    <w:rsid w:val="7639543A"/>
    <w:rsid w:val="79E73EE3"/>
    <w:rsid w:val="7B67772B"/>
    <w:rsid w:val="7C687172"/>
    <w:rsid w:val="7D140329"/>
    <w:rsid w:val="7D9E3026"/>
    <w:rsid w:val="7F5B8EAA"/>
    <w:rsid w:val="DECF4F41"/>
    <w:rsid w:val="FADA59CE"/>
    <w:rsid w:val="FFF7D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0"/>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8">
    <w:name w:val="Strong"/>
    <w:basedOn w:val="7"/>
    <w:qFormat/>
    <w:uiPriority w:val="0"/>
    <w:rPr>
      <w:b/>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722</Words>
  <Characters>735</Characters>
  <Lines>7</Lines>
  <Paragraphs>2</Paragraphs>
  <TotalTime>1</TotalTime>
  <ScaleCrop>false</ScaleCrop>
  <LinksUpToDate>false</LinksUpToDate>
  <CharactersWithSpaces>739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2020-12-09T00:37:00Z</dcterms:created>
  <dc:creator>yulangbai</dc:creator>
  <cp:lastModifiedBy>于</cp:lastModifiedBy>
  <cp:lastPrinted>2021-11-22T19:00:00Z</cp:lastPrinted>
  <dcterms:modified xsi:type="dcterms:W3CDTF">2024-09-11T04:08:37Z</dcterms:modified>
  <dc:title>北京市市场监督管理局裁量基准（修订部分）起草说明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AC63E4ED8C3743F4A3977EDC9E42F195_13</vt:lpwstr>
  </property>
</Properties>
</file>