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F3A9A">
      <w:pPr>
        <w:widowControl/>
        <w:jc w:val="center"/>
        <w:rPr>
          <w:rFonts w:hint="eastAsia" w:ascii="方正小标宋简体" w:hAnsi="方正小标宋简体" w:eastAsia="方正小标宋简体" w:cs="方正小标宋简体"/>
          <w:b w:val="0"/>
          <w:bCs w:val="0"/>
          <w:color w:val="auto"/>
          <w:kern w:val="0"/>
          <w:sz w:val="44"/>
          <w:szCs w:val="44"/>
          <w:highlight w:val="none"/>
          <w:u w:val="none"/>
          <w:lang w:eastAsia="zh-CN"/>
          <w14:ligatures w14:val="none"/>
        </w:rPr>
      </w:pPr>
      <w:r>
        <w:rPr>
          <w:rFonts w:hint="eastAsia" w:ascii="方正小标宋简体" w:hAnsi="方正小标宋简体" w:eastAsia="方正小标宋简体" w:cs="方正小标宋简体"/>
          <w:b w:val="0"/>
          <w:bCs w:val="0"/>
          <w:color w:val="auto"/>
          <w:kern w:val="0"/>
          <w:sz w:val="44"/>
          <w:szCs w:val="44"/>
          <w:highlight w:val="none"/>
          <w:u w:val="none"/>
          <w14:ligatures w14:val="none"/>
        </w:rPr>
        <w:t>北京市药品</w:t>
      </w:r>
      <w:r>
        <w:rPr>
          <w:rFonts w:hint="eastAsia" w:ascii="方正小标宋简体" w:hAnsi="方正小标宋简体" w:eastAsia="方正小标宋简体" w:cs="方正小标宋简体"/>
          <w:b w:val="0"/>
          <w:bCs w:val="0"/>
          <w:color w:val="auto"/>
          <w:kern w:val="0"/>
          <w:sz w:val="44"/>
          <w:szCs w:val="44"/>
          <w:highlight w:val="none"/>
          <w:u w:val="none"/>
          <w:lang w:val="en-US" w:eastAsia="zh-CN"/>
          <w14:ligatures w14:val="none"/>
        </w:rPr>
        <w:t>监督管理</w:t>
      </w:r>
      <w:r>
        <w:rPr>
          <w:rFonts w:hint="eastAsia" w:ascii="方正小标宋简体" w:hAnsi="方正小标宋简体" w:eastAsia="方正小标宋简体" w:cs="方正小标宋简体"/>
          <w:b w:val="0"/>
          <w:bCs w:val="0"/>
          <w:color w:val="auto"/>
          <w:kern w:val="0"/>
          <w:sz w:val="44"/>
          <w:szCs w:val="44"/>
          <w:highlight w:val="none"/>
          <w:u w:val="none"/>
          <w14:ligatures w14:val="none"/>
        </w:rPr>
        <w:t>轻微违法行为</w:t>
      </w:r>
      <w:r>
        <w:rPr>
          <w:rFonts w:hint="eastAsia" w:ascii="方正小标宋简体" w:hAnsi="方正小标宋简体" w:eastAsia="方正小标宋简体" w:cs="方正小标宋简体"/>
          <w:b w:val="0"/>
          <w:bCs w:val="0"/>
          <w:color w:val="auto"/>
          <w:kern w:val="0"/>
          <w:sz w:val="44"/>
          <w:szCs w:val="44"/>
          <w:highlight w:val="none"/>
          <w:u w:val="none"/>
          <w:lang w:val="en-US" w:eastAsia="zh-CN"/>
          <w14:ligatures w14:val="none"/>
        </w:rPr>
        <w:t>容错纠错</w:t>
      </w:r>
      <w:r>
        <w:rPr>
          <w:rFonts w:hint="eastAsia" w:ascii="方正小标宋简体" w:hAnsi="方正小标宋简体" w:eastAsia="方正小标宋简体" w:cs="方正小标宋简体"/>
          <w:b w:val="0"/>
          <w:bCs w:val="0"/>
          <w:color w:val="auto"/>
          <w:kern w:val="0"/>
          <w:sz w:val="44"/>
          <w:szCs w:val="44"/>
          <w:highlight w:val="none"/>
          <w:u w:val="none"/>
          <w14:ligatures w14:val="none"/>
        </w:rPr>
        <w:t>清单</w:t>
      </w:r>
      <w:r>
        <w:rPr>
          <w:rFonts w:hint="eastAsia" w:ascii="方正小标宋简体" w:hAnsi="方正小标宋简体" w:eastAsia="方正小标宋简体" w:cs="方正小标宋简体"/>
          <w:b w:val="0"/>
          <w:bCs w:val="0"/>
          <w:color w:val="auto"/>
          <w:kern w:val="0"/>
          <w:sz w:val="44"/>
          <w:szCs w:val="44"/>
          <w:highlight w:val="none"/>
          <w:u w:val="none"/>
          <w:lang w:eastAsia="zh-CN"/>
          <w14:ligatures w14:val="none"/>
        </w:rPr>
        <w:t>（</w:t>
      </w:r>
      <w:r>
        <w:rPr>
          <w:rFonts w:hint="eastAsia" w:ascii="方正小标宋简体" w:hAnsi="方正小标宋简体" w:eastAsia="方正小标宋简体" w:cs="方正小标宋简体"/>
          <w:b w:val="0"/>
          <w:bCs w:val="0"/>
          <w:color w:val="auto"/>
          <w:kern w:val="0"/>
          <w:sz w:val="44"/>
          <w:szCs w:val="44"/>
          <w:highlight w:val="none"/>
          <w:u w:val="none"/>
          <w:lang w:val="en-US" w:eastAsia="zh-CN"/>
          <w14:ligatures w14:val="none"/>
        </w:rPr>
        <w:t>征求意见稿</w:t>
      </w:r>
      <w:r>
        <w:rPr>
          <w:rFonts w:hint="eastAsia" w:ascii="方正小标宋简体" w:hAnsi="方正小标宋简体" w:eastAsia="方正小标宋简体" w:cs="方正小标宋简体"/>
          <w:b w:val="0"/>
          <w:bCs w:val="0"/>
          <w:color w:val="auto"/>
          <w:kern w:val="0"/>
          <w:sz w:val="44"/>
          <w:szCs w:val="44"/>
          <w:highlight w:val="none"/>
          <w:u w:val="none"/>
          <w:lang w:eastAsia="zh-CN"/>
          <w14:ligatures w14:val="none"/>
        </w:rPr>
        <w:t>）</w:t>
      </w:r>
    </w:p>
    <w:p w14:paraId="6497616F">
      <w:pPr>
        <w:widowControl/>
        <w:jc w:val="both"/>
        <w:rPr>
          <w:rFonts w:ascii="微软雅黑" w:hAnsi="微软雅黑" w:eastAsia="微软雅黑" w:cs="宋体"/>
          <w:b w:val="0"/>
          <w:bCs w:val="0"/>
          <w:color w:val="auto"/>
          <w:kern w:val="0"/>
          <w:sz w:val="32"/>
          <w:szCs w:val="32"/>
          <w:highlight w:val="none"/>
          <w:u w:val="none"/>
          <w14:ligatures w14:val="none"/>
        </w:rPr>
      </w:pPr>
      <w:r>
        <w:rPr>
          <w:rFonts w:hint="eastAsia" w:ascii="黑体" w:hAnsi="黑体" w:eastAsia="黑体"/>
          <w:b w:val="0"/>
          <w:bCs w:val="0"/>
          <w:color w:val="auto"/>
          <w:sz w:val="32"/>
          <w:szCs w:val="32"/>
          <w:highlight w:val="none"/>
          <w:u w:val="none"/>
        </w:rPr>
        <w:t>一、存在下列情形，违法行为轻微，及时改正并未造成危害后果的，</w:t>
      </w:r>
      <w:r>
        <w:rPr>
          <w:rFonts w:hint="eastAsia" w:ascii="黑体" w:hAnsi="黑体" w:eastAsia="黑体"/>
          <w:b w:val="0"/>
          <w:bCs w:val="0"/>
          <w:color w:val="auto"/>
          <w:sz w:val="32"/>
          <w:szCs w:val="32"/>
          <w:highlight w:val="none"/>
          <w:u w:val="none"/>
          <w:lang w:val="en-US" w:eastAsia="zh-CN"/>
        </w:rPr>
        <w:t>不予</w:t>
      </w:r>
      <w:r>
        <w:rPr>
          <w:rFonts w:hint="eastAsia" w:ascii="黑体" w:hAnsi="黑体" w:eastAsia="黑体"/>
          <w:b w:val="0"/>
          <w:bCs w:val="0"/>
          <w:color w:val="auto"/>
          <w:sz w:val="32"/>
          <w:szCs w:val="32"/>
          <w:highlight w:val="none"/>
          <w:u w:val="none"/>
        </w:rPr>
        <w:t>行政处罚。</w:t>
      </w:r>
    </w:p>
    <w:tbl>
      <w:tblPr>
        <w:tblStyle w:val="5"/>
        <w:tblpPr w:leftFromText="180" w:rightFromText="180" w:vertAnchor="text" w:tblpXSpec="center" w:tblpY="1"/>
        <w:tblOverlap w:val="never"/>
        <w:tblW w:w="14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4"/>
        <w:gridCol w:w="2410"/>
        <w:gridCol w:w="4111"/>
        <w:gridCol w:w="4677"/>
        <w:gridCol w:w="1418"/>
        <w:gridCol w:w="1276"/>
      </w:tblGrid>
      <w:tr w14:paraId="3867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14" w:type="dxa"/>
            <w:shd w:val="clear" w:color="auto" w:fill="auto"/>
            <w:tcMar>
              <w:top w:w="0" w:type="dxa"/>
              <w:left w:w="105" w:type="dxa"/>
              <w:bottom w:w="0" w:type="dxa"/>
              <w:right w:w="105" w:type="dxa"/>
            </w:tcMar>
            <w:vAlign w:val="center"/>
          </w:tcPr>
          <w:p w14:paraId="403EC21F">
            <w:pPr>
              <w:widowControl/>
              <w:spacing w:after="225" w:line="285" w:lineRule="atLeast"/>
              <w:jc w:val="center"/>
              <w:textAlignment w:val="center"/>
              <w:rPr>
                <w:rFonts w:ascii="宋体" w:hAnsi="宋体" w:eastAsia="宋体" w:cs="宋体"/>
                <w:color w:val="auto"/>
                <w:kern w:val="0"/>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14:ligatures w14:val="none"/>
              </w:rPr>
              <w:t>序号</w:t>
            </w:r>
          </w:p>
        </w:tc>
        <w:tc>
          <w:tcPr>
            <w:tcW w:w="2410" w:type="dxa"/>
            <w:shd w:val="clear" w:color="auto" w:fill="auto"/>
            <w:tcMar>
              <w:top w:w="0" w:type="dxa"/>
              <w:left w:w="105" w:type="dxa"/>
              <w:bottom w:w="0" w:type="dxa"/>
              <w:right w:w="105" w:type="dxa"/>
            </w:tcMar>
            <w:vAlign w:val="center"/>
          </w:tcPr>
          <w:p w14:paraId="16348D88">
            <w:pPr>
              <w:widowControl/>
              <w:spacing w:after="225" w:line="285" w:lineRule="atLeast"/>
              <w:jc w:val="center"/>
              <w:textAlignment w:val="center"/>
              <w:rPr>
                <w:rFonts w:ascii="宋体" w:hAnsi="宋体" w:eastAsia="宋体" w:cs="宋体"/>
                <w:color w:val="auto"/>
                <w:kern w:val="0"/>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14:ligatures w14:val="none"/>
              </w:rPr>
              <w:t>违法行为</w:t>
            </w:r>
          </w:p>
        </w:tc>
        <w:tc>
          <w:tcPr>
            <w:tcW w:w="4111" w:type="dxa"/>
            <w:shd w:val="clear" w:color="auto" w:fill="auto"/>
            <w:tcMar>
              <w:top w:w="0" w:type="dxa"/>
              <w:left w:w="105" w:type="dxa"/>
              <w:bottom w:w="0" w:type="dxa"/>
              <w:right w:w="105" w:type="dxa"/>
            </w:tcMar>
            <w:vAlign w:val="center"/>
          </w:tcPr>
          <w:p w14:paraId="2735004C">
            <w:pPr>
              <w:widowControl/>
              <w:spacing w:after="225" w:line="285" w:lineRule="atLeast"/>
              <w:jc w:val="center"/>
              <w:textAlignment w:val="center"/>
              <w:rPr>
                <w:rFonts w:ascii="宋体" w:hAnsi="宋体" w:eastAsia="宋体" w:cs="宋体"/>
                <w:color w:val="auto"/>
                <w:kern w:val="0"/>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lang w:val="en-US" w:eastAsia="zh-CN"/>
                <w14:ligatures w14:val="none"/>
              </w:rPr>
              <w:t>不予</w:t>
            </w:r>
            <w:r>
              <w:rPr>
                <w:rFonts w:hint="eastAsia" w:ascii="仿宋_GB2312" w:hAnsi="宋体" w:eastAsia="仿宋_GB2312" w:cs="宋体"/>
                <w:b/>
                <w:bCs/>
                <w:color w:val="auto"/>
                <w:kern w:val="0"/>
                <w:sz w:val="24"/>
                <w:szCs w:val="24"/>
                <w:highlight w:val="none"/>
                <w:u w:val="none"/>
                <w14:ligatures w14:val="none"/>
              </w:rPr>
              <w:t>处罚应同时符合以下条件</w:t>
            </w:r>
          </w:p>
        </w:tc>
        <w:tc>
          <w:tcPr>
            <w:tcW w:w="4677" w:type="dxa"/>
            <w:shd w:val="clear" w:color="auto" w:fill="auto"/>
            <w:tcMar>
              <w:top w:w="0" w:type="dxa"/>
              <w:left w:w="105" w:type="dxa"/>
              <w:bottom w:w="0" w:type="dxa"/>
              <w:right w:w="105" w:type="dxa"/>
            </w:tcMar>
            <w:vAlign w:val="center"/>
          </w:tcPr>
          <w:p w14:paraId="0FA52029">
            <w:pPr>
              <w:widowControl/>
              <w:spacing w:after="225" w:line="285" w:lineRule="atLeast"/>
              <w:jc w:val="center"/>
              <w:textAlignment w:val="center"/>
              <w:rPr>
                <w:rFonts w:ascii="宋体" w:hAnsi="宋体" w:eastAsia="宋体" w:cs="宋体"/>
                <w:color w:val="auto"/>
                <w:kern w:val="0"/>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14:ligatures w14:val="none"/>
              </w:rPr>
              <w:t>实施依据</w:t>
            </w:r>
          </w:p>
        </w:tc>
        <w:tc>
          <w:tcPr>
            <w:tcW w:w="1418" w:type="dxa"/>
            <w:vAlign w:val="center"/>
          </w:tcPr>
          <w:p w14:paraId="0D61B118">
            <w:pPr>
              <w:widowControl/>
              <w:spacing w:after="225" w:line="285" w:lineRule="atLeast"/>
              <w:jc w:val="center"/>
              <w:textAlignment w:val="center"/>
              <w:rPr>
                <w:rFonts w:ascii="仿宋_GB2312" w:hAnsi="宋体" w:eastAsia="仿宋_GB2312" w:cs="宋体"/>
                <w:b/>
                <w:bCs/>
                <w:color w:val="auto"/>
                <w:kern w:val="0"/>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14:ligatures w14:val="none"/>
              </w:rPr>
              <w:t>管理措施</w:t>
            </w:r>
          </w:p>
        </w:tc>
        <w:tc>
          <w:tcPr>
            <w:tcW w:w="1276" w:type="dxa"/>
            <w:shd w:val="clear" w:color="auto" w:fill="auto"/>
            <w:tcMar>
              <w:top w:w="0" w:type="dxa"/>
              <w:left w:w="105" w:type="dxa"/>
              <w:bottom w:w="0" w:type="dxa"/>
              <w:right w:w="105" w:type="dxa"/>
            </w:tcMar>
            <w:vAlign w:val="center"/>
          </w:tcPr>
          <w:p w14:paraId="69E88596">
            <w:pPr>
              <w:widowControl/>
              <w:spacing w:after="225" w:line="285" w:lineRule="atLeast"/>
              <w:jc w:val="center"/>
              <w:textAlignment w:val="center"/>
              <w:rPr>
                <w:rFonts w:ascii="宋体" w:hAnsi="宋体" w:eastAsia="宋体" w:cs="宋体"/>
                <w:color w:val="auto"/>
                <w:kern w:val="0"/>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14:ligatures w14:val="none"/>
              </w:rPr>
              <w:t>行使层级</w:t>
            </w:r>
          </w:p>
        </w:tc>
      </w:tr>
      <w:tr w14:paraId="61AE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4" w:type="dxa"/>
            <w:shd w:val="clear" w:color="auto" w:fill="auto"/>
            <w:tcMar>
              <w:top w:w="0" w:type="dxa"/>
              <w:left w:w="105" w:type="dxa"/>
              <w:bottom w:w="0" w:type="dxa"/>
              <w:right w:w="105" w:type="dxa"/>
            </w:tcMar>
            <w:vAlign w:val="center"/>
          </w:tcPr>
          <w:p w14:paraId="44D096E9">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1</w:t>
            </w:r>
          </w:p>
        </w:tc>
        <w:tc>
          <w:tcPr>
            <w:tcW w:w="2410" w:type="dxa"/>
            <w:shd w:val="clear" w:color="auto" w:fill="auto"/>
            <w:tcMar>
              <w:top w:w="0" w:type="dxa"/>
              <w:left w:w="105" w:type="dxa"/>
              <w:bottom w:w="0" w:type="dxa"/>
              <w:right w:w="105" w:type="dxa"/>
            </w:tcMar>
            <w:vAlign w:val="center"/>
          </w:tcPr>
          <w:p w14:paraId="7019CAB1">
            <w:pPr>
              <w:widowControl/>
              <w:jc w:val="center"/>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药品上市许可持有人未按照规定提交年度报告</w:t>
            </w:r>
          </w:p>
        </w:tc>
        <w:tc>
          <w:tcPr>
            <w:tcW w:w="4111" w:type="dxa"/>
            <w:shd w:val="clear" w:color="auto" w:fill="auto"/>
            <w:tcMar>
              <w:top w:w="0" w:type="dxa"/>
              <w:left w:w="105" w:type="dxa"/>
              <w:bottom w:w="0" w:type="dxa"/>
              <w:right w:w="105" w:type="dxa"/>
            </w:tcMar>
            <w:vAlign w:val="center"/>
          </w:tcPr>
          <w:p w14:paraId="753E8B42">
            <w:pPr>
              <w:widowControl/>
              <w:numPr>
                <w:ilvl w:val="0"/>
                <w:numId w:val="1"/>
              </w:numPr>
              <w:jc w:val="left"/>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59A3711D">
            <w:pPr>
              <w:widowControl/>
              <w:jc w:val="left"/>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2.未造成危害后果。</w:t>
            </w:r>
          </w:p>
        </w:tc>
        <w:tc>
          <w:tcPr>
            <w:tcW w:w="4677" w:type="dxa"/>
            <w:shd w:val="clear" w:color="auto" w:fill="auto"/>
            <w:tcMar>
              <w:top w:w="0" w:type="dxa"/>
              <w:left w:w="105" w:type="dxa"/>
              <w:bottom w:w="0" w:type="dxa"/>
              <w:right w:w="105" w:type="dxa"/>
            </w:tcMar>
            <w:vAlign w:val="center"/>
          </w:tcPr>
          <w:p w14:paraId="7D3F9761">
            <w:pPr>
              <w:widowControl/>
              <w:wordWrap w:val="0"/>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《中华人民共和国药品管理法》第一百二十七条第四项：违反本法规定，有下列行为之一的，责令限期改正，给予警告；逾期不改正的，处十万元以上五十万元以下的罚款：（四）未按照规定提交年度报告；</w:t>
            </w:r>
          </w:p>
        </w:tc>
        <w:tc>
          <w:tcPr>
            <w:tcW w:w="1418" w:type="dxa"/>
            <w:vAlign w:val="center"/>
          </w:tcPr>
          <w:p w14:paraId="744FFBF9">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7DD683B9">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市级</w:t>
            </w:r>
          </w:p>
        </w:tc>
      </w:tr>
      <w:tr w14:paraId="65CE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4" w:type="dxa"/>
            <w:shd w:val="clear" w:color="auto" w:fill="auto"/>
            <w:tcMar>
              <w:top w:w="0" w:type="dxa"/>
              <w:left w:w="105" w:type="dxa"/>
              <w:bottom w:w="0" w:type="dxa"/>
              <w:right w:w="105" w:type="dxa"/>
            </w:tcMar>
            <w:vAlign w:val="center"/>
          </w:tcPr>
          <w:p w14:paraId="144212F4">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2</w:t>
            </w:r>
          </w:p>
        </w:tc>
        <w:tc>
          <w:tcPr>
            <w:tcW w:w="2410" w:type="dxa"/>
            <w:shd w:val="clear" w:color="auto" w:fill="auto"/>
            <w:tcMar>
              <w:top w:w="0" w:type="dxa"/>
              <w:left w:w="105" w:type="dxa"/>
              <w:bottom w:w="0" w:type="dxa"/>
              <w:right w:w="105" w:type="dxa"/>
            </w:tcMar>
            <w:vAlign w:val="center"/>
          </w:tcPr>
          <w:p w14:paraId="048170AE">
            <w:pPr>
              <w:widowControl/>
              <w:jc w:val="center"/>
              <w:rPr>
                <w:rFonts w:hint="default" w:ascii="宋体" w:hAnsi="宋体" w:eastAsia="宋体" w:cs="宋体"/>
                <w:color w:val="auto"/>
                <w:kern w:val="0"/>
                <w:sz w:val="24"/>
                <w:szCs w:val="24"/>
                <w:highlight w:val="none"/>
                <w:u w:val="none"/>
                <w:lang w:val="en-US" w:eastAsia="zh-CN"/>
                <w14:ligatures w14:val="none"/>
              </w:rPr>
            </w:pPr>
            <w:r>
              <w:rPr>
                <w:rFonts w:ascii="宋体" w:hAnsi="宋体" w:eastAsia="宋体" w:cs="宋体"/>
                <w:color w:val="auto"/>
                <w:kern w:val="0"/>
                <w:sz w:val="24"/>
                <w:szCs w:val="24"/>
                <w:highlight w:val="none"/>
                <w:u w:val="none"/>
                <w14:ligatures w14:val="none"/>
              </w:rPr>
              <w:t>进口已获得药品注册证书的药品，未按照规定向允许药品进口的口岸所在地药品监督管理部门备案</w:t>
            </w:r>
            <w:r>
              <w:rPr>
                <w:rFonts w:hint="eastAsia" w:ascii="宋体" w:hAnsi="宋体" w:eastAsia="宋体" w:cs="宋体"/>
                <w:color w:val="auto"/>
                <w:kern w:val="0"/>
                <w:sz w:val="24"/>
                <w:szCs w:val="24"/>
                <w:highlight w:val="none"/>
                <w:u w:val="none"/>
                <w:lang w:eastAsia="zh-CN"/>
                <w14:ligatures w14:val="none"/>
              </w:rPr>
              <w:t>（</w:t>
            </w:r>
            <w:r>
              <w:rPr>
                <w:rFonts w:hint="eastAsia" w:ascii="宋体" w:hAnsi="宋体" w:eastAsia="宋体" w:cs="宋体"/>
                <w:color w:val="auto"/>
                <w:kern w:val="0"/>
                <w:sz w:val="24"/>
                <w:szCs w:val="24"/>
                <w:highlight w:val="none"/>
                <w:u w:val="none"/>
                <w:lang w:val="en-US" w:eastAsia="zh-CN"/>
                <w14:ligatures w14:val="none"/>
              </w:rPr>
              <w:t>保留</w:t>
            </w:r>
            <w:r>
              <w:rPr>
                <w:rFonts w:hint="eastAsia" w:ascii="宋体" w:hAnsi="宋体" w:eastAsia="宋体" w:cs="宋体"/>
                <w:color w:val="auto"/>
                <w:kern w:val="0"/>
                <w:sz w:val="24"/>
                <w:szCs w:val="24"/>
                <w:highlight w:val="none"/>
                <w:u w:val="none"/>
                <w:lang w:eastAsia="zh-CN"/>
                <w14:ligatures w14:val="none"/>
              </w:rPr>
              <w:t>）</w:t>
            </w:r>
          </w:p>
        </w:tc>
        <w:tc>
          <w:tcPr>
            <w:tcW w:w="4111" w:type="dxa"/>
            <w:shd w:val="clear" w:color="auto" w:fill="auto"/>
            <w:tcMar>
              <w:top w:w="0" w:type="dxa"/>
              <w:left w:w="105" w:type="dxa"/>
              <w:bottom w:w="0" w:type="dxa"/>
              <w:right w:w="105" w:type="dxa"/>
            </w:tcMar>
            <w:vAlign w:val="center"/>
          </w:tcPr>
          <w:p w14:paraId="6C7AA060">
            <w:pPr>
              <w:widowControl/>
              <w:jc w:val="left"/>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1.自行改正，或在行政机关责令改正的期限内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790FBA6D">
            <w:pPr>
              <w:widowControl/>
              <w:jc w:val="left"/>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2.未造成危害后果。</w:t>
            </w:r>
          </w:p>
        </w:tc>
        <w:tc>
          <w:tcPr>
            <w:tcW w:w="4677" w:type="dxa"/>
            <w:shd w:val="clear" w:color="auto" w:fill="auto"/>
            <w:tcMar>
              <w:top w:w="0" w:type="dxa"/>
              <w:left w:w="105" w:type="dxa"/>
              <w:bottom w:w="0" w:type="dxa"/>
              <w:right w:w="105" w:type="dxa"/>
            </w:tcMar>
            <w:vAlign w:val="center"/>
          </w:tcPr>
          <w:p w14:paraId="14F5567E">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中华人民共和国药品管理法》第一百三十二条：进口已获得药品注册证书的药品，未按照规定向允许药品进口的口岸所在地药品监督管理部门备案的，责令限期改正，给予警告；逾期不改正的，吊销药品注册证书。</w:t>
            </w:r>
          </w:p>
        </w:tc>
        <w:tc>
          <w:tcPr>
            <w:tcW w:w="1418" w:type="dxa"/>
            <w:vAlign w:val="center"/>
          </w:tcPr>
          <w:p w14:paraId="7884347D">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5EC12168">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p>
        </w:tc>
      </w:tr>
      <w:tr w14:paraId="2DD8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814" w:type="dxa"/>
            <w:shd w:val="clear" w:color="auto" w:fill="auto"/>
            <w:tcMar>
              <w:top w:w="0" w:type="dxa"/>
              <w:left w:w="105" w:type="dxa"/>
              <w:bottom w:w="0" w:type="dxa"/>
              <w:right w:w="105" w:type="dxa"/>
            </w:tcMar>
            <w:vAlign w:val="center"/>
          </w:tcPr>
          <w:p w14:paraId="1E38B9E4">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3</w:t>
            </w:r>
          </w:p>
        </w:tc>
        <w:tc>
          <w:tcPr>
            <w:tcW w:w="2410" w:type="dxa"/>
            <w:shd w:val="clear" w:color="auto" w:fill="auto"/>
            <w:tcMar>
              <w:top w:w="0" w:type="dxa"/>
              <w:left w:w="105" w:type="dxa"/>
              <w:bottom w:w="0" w:type="dxa"/>
              <w:right w:w="105" w:type="dxa"/>
            </w:tcMar>
            <w:vAlign w:val="center"/>
          </w:tcPr>
          <w:p w14:paraId="07B58FC7">
            <w:pPr>
              <w:widowControl/>
              <w:jc w:val="center"/>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14:ligatures w14:val="none"/>
              </w:rPr>
              <w:t>药品上市许可持有人、药品批发企业销售药品时，未按规定向购药单位提供材料，违反药品经营质量管理规范</w:t>
            </w:r>
          </w:p>
        </w:tc>
        <w:tc>
          <w:tcPr>
            <w:tcW w:w="4111" w:type="dxa"/>
            <w:shd w:val="clear" w:color="auto" w:fill="auto"/>
            <w:tcMar>
              <w:top w:w="0" w:type="dxa"/>
              <w:left w:w="105" w:type="dxa"/>
              <w:bottom w:w="0" w:type="dxa"/>
              <w:right w:w="105" w:type="dxa"/>
            </w:tcMar>
            <w:vAlign w:val="center"/>
          </w:tcPr>
          <w:p w14:paraId="60520AAC">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245E28C6">
            <w:pPr>
              <w:widowControl/>
              <w:jc w:val="left"/>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14:ligatures w14:val="none"/>
              </w:rPr>
              <w:t>2</w:t>
            </w:r>
            <w:r>
              <w:rPr>
                <w:rFonts w:ascii="宋体" w:hAnsi="宋体" w:eastAsia="宋体" w:cs="宋体"/>
                <w:color w:val="auto"/>
                <w:kern w:val="0"/>
                <w:sz w:val="24"/>
                <w:szCs w:val="24"/>
                <w:highlight w:val="none"/>
                <w:u w:val="none"/>
                <w14:ligatures w14:val="none"/>
              </w:rPr>
              <w:t>.未造成危害后果</w:t>
            </w:r>
            <w:r>
              <w:rPr>
                <w:rFonts w:hint="eastAsia" w:ascii="宋体" w:hAnsi="宋体" w:eastAsia="宋体" w:cs="宋体"/>
                <w:color w:val="auto"/>
                <w:kern w:val="0"/>
                <w:sz w:val="24"/>
                <w:szCs w:val="24"/>
                <w:highlight w:val="none"/>
                <w:u w:val="none"/>
                <w:lang w:eastAsia="zh-CN"/>
                <w14:ligatures w14:val="none"/>
              </w:rPr>
              <w:t>；</w:t>
            </w:r>
          </w:p>
          <w:p w14:paraId="48A03194">
            <w:pPr>
              <w:widowControl/>
              <w:jc w:val="left"/>
              <w:rPr>
                <w:rFonts w:hint="default"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3.已提供药品</w:t>
            </w:r>
            <w:r>
              <w:rPr>
                <w:rFonts w:hint="eastAsia" w:ascii="宋体" w:hAnsi="宋体" w:eastAsia="宋体" w:cs="宋体"/>
                <w:color w:val="auto"/>
                <w:kern w:val="0"/>
                <w:sz w:val="24"/>
                <w:szCs w:val="24"/>
                <w:highlight w:val="none"/>
                <w:u w:val="none"/>
                <w:lang w:eastAsia="zh-CN"/>
                <w14:ligatures w14:val="none"/>
              </w:rPr>
              <w:t>销售凭证。</w:t>
            </w:r>
          </w:p>
        </w:tc>
        <w:tc>
          <w:tcPr>
            <w:tcW w:w="4677" w:type="dxa"/>
            <w:shd w:val="clear" w:color="auto" w:fill="auto"/>
            <w:tcMar>
              <w:top w:w="0" w:type="dxa"/>
              <w:left w:w="105" w:type="dxa"/>
              <w:bottom w:w="0" w:type="dxa"/>
              <w:right w:w="105" w:type="dxa"/>
            </w:tcMar>
            <w:vAlign w:val="center"/>
          </w:tcPr>
          <w:p w14:paraId="086E626B">
            <w:pPr>
              <w:widowControl/>
              <w:wordWrap w:val="0"/>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药品经营和使用质量监督管理办法》第七十一条：药品上市许可持有人、药品经营企业未按本办法第三十八条、第三十九条、第四十条、第四十二条第三款规定履行购销查验义务或者开具销售凭证，违反药品经营质量管理规范的，药品监督管理部门按照《药品管理法》第一百二十六条给予处罚。</w:t>
            </w:r>
          </w:p>
        </w:tc>
        <w:tc>
          <w:tcPr>
            <w:tcW w:w="1418" w:type="dxa"/>
            <w:vAlign w:val="center"/>
          </w:tcPr>
          <w:p w14:paraId="603FBA95">
            <w:pPr>
              <w:widowControl/>
              <w:spacing w:after="225" w:line="285" w:lineRule="atLeast"/>
              <w:jc w:val="center"/>
              <w:textAlignment w:val="center"/>
              <w:rPr>
                <w:rFonts w:ascii="仿宋_GB2312" w:hAnsi="宋体" w:eastAsia="仿宋_GB2312"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598A1D3A">
            <w:pPr>
              <w:widowControl/>
              <w:spacing w:after="225" w:line="285" w:lineRule="atLeast"/>
              <w:jc w:val="center"/>
              <w:textAlignment w:val="center"/>
              <w:rPr>
                <w:rFonts w:hint="eastAsia" w:ascii="仿宋_GB2312" w:hAnsi="宋体" w:eastAsia="仿宋_GB2312"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p>
        </w:tc>
      </w:tr>
      <w:tr w14:paraId="3C38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7" w:hRule="atLeast"/>
          <w:jc w:val="center"/>
        </w:trPr>
        <w:tc>
          <w:tcPr>
            <w:tcW w:w="814" w:type="dxa"/>
            <w:shd w:val="clear" w:color="auto" w:fill="auto"/>
            <w:tcMar>
              <w:top w:w="0" w:type="dxa"/>
              <w:left w:w="105" w:type="dxa"/>
              <w:bottom w:w="0" w:type="dxa"/>
              <w:right w:w="105" w:type="dxa"/>
            </w:tcMar>
            <w:vAlign w:val="center"/>
          </w:tcPr>
          <w:p w14:paraId="5A572ED8">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4</w:t>
            </w:r>
          </w:p>
        </w:tc>
        <w:tc>
          <w:tcPr>
            <w:tcW w:w="2410" w:type="dxa"/>
            <w:shd w:val="clear" w:color="auto" w:fill="auto"/>
            <w:tcMar>
              <w:top w:w="0" w:type="dxa"/>
              <w:left w:w="105" w:type="dxa"/>
              <w:bottom w:w="0" w:type="dxa"/>
              <w:right w:w="105" w:type="dxa"/>
            </w:tcMar>
            <w:vAlign w:val="center"/>
          </w:tcPr>
          <w:p w14:paraId="62C03243">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药品零售企业销售药品时，未开具标明药品通用名称、药品上市许可持有人（中药饮片标明生产企业、产地）、产品批号、剂型、规格、销售数量、销售价格、销售日期、销售企业名称等内容的凭证，违反药品经营质量管理规范</w:t>
            </w:r>
          </w:p>
        </w:tc>
        <w:tc>
          <w:tcPr>
            <w:tcW w:w="4111" w:type="dxa"/>
            <w:shd w:val="clear" w:color="auto" w:fill="auto"/>
            <w:tcMar>
              <w:top w:w="0" w:type="dxa"/>
              <w:left w:w="105" w:type="dxa"/>
              <w:bottom w:w="0" w:type="dxa"/>
              <w:right w:w="105" w:type="dxa"/>
            </w:tcMar>
            <w:vAlign w:val="center"/>
          </w:tcPr>
          <w:p w14:paraId="303258D0">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1E63A89A">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w:t>
            </w:r>
            <w:r>
              <w:rPr>
                <w:rFonts w:ascii="宋体" w:hAnsi="宋体" w:eastAsia="宋体" w:cs="宋体"/>
                <w:color w:val="auto"/>
                <w:kern w:val="0"/>
                <w:sz w:val="24"/>
                <w:szCs w:val="24"/>
                <w:highlight w:val="none"/>
                <w:u w:val="none"/>
                <w14:ligatures w14:val="none"/>
              </w:rPr>
              <w:t>.未造成危害后果。</w:t>
            </w:r>
          </w:p>
        </w:tc>
        <w:tc>
          <w:tcPr>
            <w:tcW w:w="4677" w:type="dxa"/>
            <w:shd w:val="clear" w:color="auto" w:fill="auto"/>
            <w:tcMar>
              <w:top w:w="0" w:type="dxa"/>
              <w:left w:w="105" w:type="dxa"/>
              <w:bottom w:w="0" w:type="dxa"/>
              <w:right w:w="105" w:type="dxa"/>
            </w:tcMar>
            <w:vAlign w:val="center"/>
          </w:tcPr>
          <w:p w14:paraId="615A7B9E">
            <w:pPr>
              <w:widowControl/>
              <w:wordWrap w:val="0"/>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药品经营和使用质量监督管理办法》第七十一条：药品上市许可持有人、药品经营企业未按本办法第三十八条、第三十九条、第四十条、第四十二条第三款规定履行购销查验义务或者开具销售凭证，违反药品经营质量管理规范的，药品监督管理部门按照《药品管理法》第一百二十六条给予处罚。</w:t>
            </w:r>
          </w:p>
        </w:tc>
        <w:tc>
          <w:tcPr>
            <w:tcW w:w="1418" w:type="dxa"/>
            <w:vAlign w:val="center"/>
          </w:tcPr>
          <w:p w14:paraId="355D7D36">
            <w:pPr>
              <w:widowControl/>
              <w:spacing w:after="225" w:line="285" w:lineRule="atLeast"/>
              <w:jc w:val="center"/>
              <w:textAlignment w:val="center"/>
              <w:rPr>
                <w:rFonts w:ascii="仿宋_GB2312" w:hAnsi="宋体" w:eastAsia="仿宋_GB2312"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02FF851A">
            <w:pPr>
              <w:widowControl/>
              <w:spacing w:after="225" w:line="285" w:lineRule="atLeast"/>
              <w:jc w:val="center"/>
              <w:textAlignment w:val="center"/>
              <w:rPr>
                <w:rFonts w:ascii="仿宋_GB2312" w:hAnsi="宋体" w:eastAsia="仿宋_GB2312" w:cs="宋体"/>
                <w:color w:val="auto"/>
                <w:kern w:val="0"/>
                <w:sz w:val="24"/>
                <w:szCs w:val="24"/>
                <w:highlight w:val="none"/>
                <w:u w:val="none"/>
                <w14:ligatures w14:val="none"/>
              </w:rPr>
            </w:pPr>
            <w:r>
              <w:rPr>
                <w:rFonts w:ascii="宋体" w:hAnsi="宋体" w:eastAsia="宋体" w:cs="宋体"/>
                <w:color w:val="auto"/>
                <w:sz w:val="24"/>
                <w:szCs w:val="24"/>
                <w:highlight w:val="none"/>
                <w:u w:val="none"/>
                <w14:ligatures w14:val="none"/>
              </w:rPr>
              <w:t>区级</w:t>
            </w:r>
          </w:p>
        </w:tc>
      </w:tr>
      <w:tr w14:paraId="620E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jc w:val="center"/>
        </w:trPr>
        <w:tc>
          <w:tcPr>
            <w:tcW w:w="814" w:type="dxa"/>
            <w:shd w:val="clear" w:color="auto" w:fill="auto"/>
            <w:tcMar>
              <w:top w:w="0" w:type="dxa"/>
              <w:left w:w="105" w:type="dxa"/>
              <w:bottom w:w="0" w:type="dxa"/>
              <w:right w:w="105" w:type="dxa"/>
            </w:tcMar>
            <w:vAlign w:val="center"/>
          </w:tcPr>
          <w:p w14:paraId="65C2D54F">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5</w:t>
            </w:r>
          </w:p>
        </w:tc>
        <w:tc>
          <w:tcPr>
            <w:tcW w:w="2410" w:type="dxa"/>
            <w:shd w:val="clear" w:color="auto" w:fill="auto"/>
            <w:tcMar>
              <w:top w:w="0" w:type="dxa"/>
              <w:left w:w="105" w:type="dxa"/>
              <w:bottom w:w="0" w:type="dxa"/>
              <w:right w:w="105" w:type="dxa"/>
            </w:tcMar>
            <w:vAlign w:val="center"/>
          </w:tcPr>
          <w:p w14:paraId="24866BD9">
            <w:pPr>
              <w:widowControl/>
              <w:jc w:val="center"/>
              <w:rPr>
                <w:rFonts w:ascii="仿宋_GB2312" w:hAnsi="宋体" w:eastAsia="仿宋_GB2312"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经营、使用无合格证明文件的第一类医疗器械</w:t>
            </w:r>
          </w:p>
        </w:tc>
        <w:tc>
          <w:tcPr>
            <w:tcW w:w="4111" w:type="dxa"/>
            <w:shd w:val="clear" w:color="auto" w:fill="auto"/>
            <w:tcMar>
              <w:top w:w="0" w:type="dxa"/>
              <w:left w:w="105" w:type="dxa"/>
              <w:bottom w:w="0" w:type="dxa"/>
              <w:right w:w="105" w:type="dxa"/>
            </w:tcMar>
            <w:vAlign w:val="center"/>
          </w:tcPr>
          <w:p w14:paraId="4584446E">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1.非防疫和应急用医疗器械；</w:t>
            </w:r>
          </w:p>
          <w:p w14:paraId="540A2112">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w:t>
            </w:r>
            <w:r>
              <w:rPr>
                <w:rFonts w:ascii="宋体" w:hAnsi="宋体" w:eastAsia="宋体" w:cs="宋体"/>
                <w:color w:val="auto"/>
                <w:kern w:val="0"/>
                <w:sz w:val="24"/>
                <w:szCs w:val="24"/>
                <w:highlight w:val="none"/>
                <w:u w:val="none"/>
                <w14:ligatures w14:val="none"/>
              </w:rPr>
              <w:t>自行改正</w:t>
            </w:r>
            <w:r>
              <w:rPr>
                <w:rFonts w:hint="eastAsia" w:ascii="宋体" w:hAnsi="宋体" w:eastAsia="宋体" w:cs="宋体"/>
                <w:color w:val="auto"/>
                <w:kern w:val="0"/>
                <w:sz w:val="24"/>
                <w:szCs w:val="24"/>
                <w:highlight w:val="none"/>
                <w:u w:val="none"/>
                <w:lang w:eastAsia="zh-CN"/>
                <w14:ligatures w14:val="none"/>
              </w:rPr>
              <w:t>（</w:t>
            </w:r>
            <w:r>
              <w:rPr>
                <w:rFonts w:hint="eastAsia" w:ascii="宋体" w:hAnsi="宋体" w:eastAsia="宋体" w:cs="宋体"/>
                <w:color w:val="auto"/>
                <w:kern w:val="0"/>
                <w:sz w:val="24"/>
                <w:szCs w:val="24"/>
                <w:highlight w:val="none"/>
                <w:u w:val="none"/>
                <w:lang w:val="en-US" w:eastAsia="zh-CN"/>
                <w14:ligatures w14:val="none"/>
              </w:rPr>
              <w:t>停止经营使用</w:t>
            </w:r>
            <w:r>
              <w:rPr>
                <w:rFonts w:hint="eastAsia" w:ascii="宋体" w:hAnsi="宋体" w:eastAsia="宋体" w:cs="宋体"/>
                <w:color w:val="auto"/>
                <w:kern w:val="0"/>
                <w:sz w:val="24"/>
                <w:szCs w:val="24"/>
                <w:highlight w:val="none"/>
                <w:u w:val="none"/>
                <w:lang w:eastAsia="zh-CN"/>
                <w14:ligatures w14:val="none"/>
              </w:rPr>
              <w:t>）</w:t>
            </w:r>
            <w:r>
              <w:rPr>
                <w:rFonts w:hint="eastAsia" w:ascii="宋体" w:hAnsi="宋体" w:eastAsia="宋体" w:cs="宋体"/>
                <w:color w:val="auto"/>
                <w:kern w:val="0"/>
                <w:sz w:val="24"/>
                <w:szCs w:val="24"/>
                <w:highlight w:val="none"/>
                <w:u w:val="none"/>
                <w14:ligatures w14:val="none"/>
              </w:rPr>
              <w:t>，</w:t>
            </w:r>
            <w:r>
              <w:rPr>
                <w:rFonts w:ascii="宋体" w:hAnsi="宋体" w:eastAsia="宋体" w:cs="宋体"/>
                <w:color w:val="auto"/>
                <w:kern w:val="0"/>
                <w:sz w:val="24"/>
                <w:szCs w:val="24"/>
                <w:highlight w:val="none"/>
                <w:u w:val="none"/>
                <w14:ligatures w14:val="none"/>
              </w:rPr>
              <w:t>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hint="eastAsia" w:ascii="宋体" w:hAnsi="宋体" w:eastAsia="宋体" w:cs="宋体"/>
                <w:color w:val="auto"/>
                <w:kern w:val="0"/>
                <w:sz w:val="24"/>
                <w:szCs w:val="24"/>
                <w:highlight w:val="none"/>
                <w:u w:val="none"/>
                <w14:ligatures w14:val="none"/>
              </w:rPr>
              <w:t>；</w:t>
            </w:r>
          </w:p>
          <w:p w14:paraId="18F9560D">
            <w:pPr>
              <w:widowControl/>
              <w:jc w:val="left"/>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14:ligatures w14:val="none"/>
              </w:rPr>
              <w:t>3</w:t>
            </w:r>
            <w:r>
              <w:rPr>
                <w:rFonts w:ascii="宋体" w:hAnsi="宋体" w:eastAsia="宋体" w:cs="宋体"/>
                <w:color w:val="auto"/>
                <w:kern w:val="0"/>
                <w:sz w:val="24"/>
                <w:szCs w:val="24"/>
                <w:highlight w:val="none"/>
                <w:u w:val="none"/>
                <w14:ligatures w14:val="none"/>
              </w:rPr>
              <w:t>.未造成危害后果</w:t>
            </w:r>
            <w:r>
              <w:rPr>
                <w:rFonts w:hint="eastAsia" w:ascii="宋体" w:hAnsi="宋体" w:eastAsia="宋体" w:cs="宋体"/>
                <w:color w:val="auto"/>
                <w:kern w:val="0"/>
                <w:sz w:val="24"/>
                <w:szCs w:val="24"/>
                <w:highlight w:val="none"/>
                <w:u w:val="none"/>
                <w:lang w:eastAsia="zh-CN"/>
                <w14:ligatures w14:val="none"/>
              </w:rPr>
              <w:t>；</w:t>
            </w:r>
          </w:p>
          <w:p w14:paraId="512815FC">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4.自行销毁或在监督管理部门的监督下销毁。</w:t>
            </w:r>
          </w:p>
          <w:p w14:paraId="05B8EB0C">
            <w:pPr>
              <w:widowControl/>
              <w:jc w:val="left"/>
              <w:rPr>
                <w:rFonts w:ascii="宋体" w:hAnsi="宋体" w:eastAsia="宋体" w:cs="宋体"/>
                <w:color w:val="auto"/>
                <w:kern w:val="0"/>
                <w:sz w:val="24"/>
                <w:szCs w:val="24"/>
                <w:highlight w:val="none"/>
                <w:u w:val="none"/>
                <w14:ligatures w14:val="none"/>
              </w:rPr>
            </w:pPr>
          </w:p>
          <w:p w14:paraId="02733FAB">
            <w:pPr>
              <w:widowControl/>
              <w:jc w:val="left"/>
              <w:rPr>
                <w:rFonts w:hint="eastAsia" w:ascii="宋体" w:hAnsi="宋体" w:eastAsia="宋体" w:cs="宋体"/>
                <w:color w:val="auto"/>
                <w:kern w:val="0"/>
                <w:sz w:val="24"/>
                <w:szCs w:val="24"/>
                <w:highlight w:val="none"/>
                <w:u w:val="none"/>
                <w:lang w:val="en-US" w:eastAsia="zh-CN"/>
                <w14:ligatures w14:val="none"/>
              </w:rPr>
            </w:pPr>
          </w:p>
        </w:tc>
        <w:tc>
          <w:tcPr>
            <w:tcW w:w="4677" w:type="dxa"/>
            <w:shd w:val="clear" w:color="auto" w:fill="auto"/>
            <w:tcMar>
              <w:top w:w="0" w:type="dxa"/>
              <w:left w:w="105" w:type="dxa"/>
              <w:bottom w:w="0" w:type="dxa"/>
              <w:right w:w="105" w:type="dxa"/>
            </w:tcMar>
            <w:vAlign w:val="center"/>
          </w:tcPr>
          <w:p w14:paraId="579CC52C">
            <w:pPr>
              <w:widowControl/>
              <w:wordWrap w:val="0"/>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医疗器械监督管理条例》第八十六条第三项：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三）经营、使用无合格证明文件、过期、失效、淘汰的医疗器械，或者使用未依法注册的医疗器械；</w:t>
            </w:r>
          </w:p>
        </w:tc>
        <w:tc>
          <w:tcPr>
            <w:tcW w:w="1418" w:type="dxa"/>
            <w:vAlign w:val="center"/>
          </w:tcPr>
          <w:p w14:paraId="267C0170">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151EB44D">
            <w:pPr>
              <w:widowControl/>
              <w:jc w:val="center"/>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区级</w:t>
            </w:r>
          </w:p>
        </w:tc>
      </w:tr>
      <w:tr w14:paraId="3632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4" w:type="dxa"/>
            <w:shd w:val="clear" w:color="auto" w:fill="auto"/>
            <w:tcMar>
              <w:top w:w="0" w:type="dxa"/>
              <w:left w:w="105" w:type="dxa"/>
              <w:bottom w:w="0" w:type="dxa"/>
              <w:right w:w="105" w:type="dxa"/>
            </w:tcMar>
            <w:vAlign w:val="center"/>
          </w:tcPr>
          <w:p w14:paraId="0059AAEC">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6</w:t>
            </w:r>
          </w:p>
        </w:tc>
        <w:tc>
          <w:tcPr>
            <w:tcW w:w="2410" w:type="dxa"/>
            <w:shd w:val="clear" w:color="auto" w:fill="auto"/>
            <w:tcMar>
              <w:top w:w="0" w:type="dxa"/>
              <w:left w:w="105" w:type="dxa"/>
              <w:bottom w:w="0" w:type="dxa"/>
              <w:right w:w="105" w:type="dxa"/>
            </w:tcMar>
            <w:vAlign w:val="center"/>
          </w:tcPr>
          <w:p w14:paraId="2889FF95">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医疗器械注册人、备案人、受托生产企业未按照要求提交质量管理体系自查报告</w:t>
            </w:r>
          </w:p>
        </w:tc>
        <w:tc>
          <w:tcPr>
            <w:tcW w:w="4111" w:type="dxa"/>
            <w:shd w:val="clear" w:color="auto" w:fill="auto"/>
            <w:tcMar>
              <w:top w:w="0" w:type="dxa"/>
              <w:left w:w="105" w:type="dxa"/>
              <w:bottom w:w="0" w:type="dxa"/>
              <w:right w:w="105" w:type="dxa"/>
            </w:tcMar>
            <w:vAlign w:val="center"/>
          </w:tcPr>
          <w:p w14:paraId="1F6E8B38">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45909981">
            <w:pPr>
              <w:widowControl/>
              <w:jc w:val="left"/>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lang w:val="en-US" w:eastAsia="zh-CN"/>
                <w14:ligatures w14:val="none"/>
              </w:rPr>
              <w:t>2</w:t>
            </w:r>
            <w:r>
              <w:rPr>
                <w:rFonts w:ascii="宋体" w:hAnsi="宋体" w:eastAsia="宋体" w:cs="宋体"/>
                <w:color w:val="auto"/>
                <w:kern w:val="0"/>
                <w:sz w:val="24"/>
                <w:szCs w:val="24"/>
                <w:highlight w:val="none"/>
                <w:u w:val="none"/>
                <w14:ligatures w14:val="none"/>
              </w:rPr>
              <w:t>.未造成危害后果</w:t>
            </w:r>
            <w:r>
              <w:rPr>
                <w:rFonts w:hint="eastAsia" w:ascii="宋体" w:hAnsi="宋体" w:eastAsia="宋体" w:cs="宋体"/>
                <w:color w:val="auto"/>
                <w:kern w:val="0"/>
                <w:sz w:val="24"/>
                <w:szCs w:val="24"/>
                <w:highlight w:val="none"/>
                <w:u w:val="none"/>
                <w:lang w:eastAsia="zh-CN"/>
                <w14:ligatures w14:val="none"/>
              </w:rPr>
              <w:t>；</w:t>
            </w:r>
          </w:p>
          <w:p w14:paraId="229D6D78">
            <w:pPr>
              <w:widowControl/>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3.初次违法。</w:t>
            </w:r>
          </w:p>
        </w:tc>
        <w:tc>
          <w:tcPr>
            <w:tcW w:w="4677" w:type="dxa"/>
            <w:shd w:val="clear" w:color="auto" w:fill="auto"/>
            <w:tcMar>
              <w:top w:w="0" w:type="dxa"/>
              <w:left w:w="105" w:type="dxa"/>
              <w:bottom w:w="0" w:type="dxa"/>
              <w:right w:w="105" w:type="dxa"/>
            </w:tcMar>
            <w:vAlign w:val="center"/>
          </w:tcPr>
          <w:p w14:paraId="4608DBBD">
            <w:pPr>
              <w:widowControl/>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医疗器械监督管理条例》第八十九条第一项：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一）未按照要求提交质量管理体系自查报告；</w:t>
            </w:r>
          </w:p>
        </w:tc>
        <w:tc>
          <w:tcPr>
            <w:tcW w:w="1418" w:type="dxa"/>
            <w:vAlign w:val="center"/>
          </w:tcPr>
          <w:p w14:paraId="6B6F930F">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603ABDA0">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r>
              <w:rPr>
                <w:rFonts w:ascii="宋体" w:hAnsi="宋体" w:eastAsia="宋体" w:cs="宋体"/>
                <w:color w:val="auto"/>
                <w:kern w:val="0"/>
                <w:sz w:val="24"/>
                <w:szCs w:val="24"/>
                <w:highlight w:val="none"/>
                <w:u w:val="none"/>
                <w14:ligatures w14:val="none"/>
              </w:rPr>
              <w:t>,区级</w:t>
            </w:r>
          </w:p>
        </w:tc>
      </w:tr>
      <w:tr w14:paraId="6891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4" w:type="dxa"/>
            <w:shd w:val="clear" w:color="auto" w:fill="auto"/>
            <w:tcMar>
              <w:top w:w="0" w:type="dxa"/>
              <w:left w:w="105" w:type="dxa"/>
              <w:bottom w:w="0" w:type="dxa"/>
              <w:right w:w="105" w:type="dxa"/>
            </w:tcMar>
            <w:vAlign w:val="center"/>
          </w:tcPr>
          <w:p w14:paraId="2B2C4E1B">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7</w:t>
            </w:r>
          </w:p>
        </w:tc>
        <w:tc>
          <w:tcPr>
            <w:tcW w:w="2410" w:type="dxa"/>
            <w:shd w:val="clear" w:color="auto" w:fill="auto"/>
            <w:tcMar>
              <w:top w:w="0" w:type="dxa"/>
              <w:left w:w="105" w:type="dxa"/>
              <w:bottom w:w="0" w:type="dxa"/>
              <w:right w:w="105" w:type="dxa"/>
            </w:tcMar>
            <w:vAlign w:val="center"/>
          </w:tcPr>
          <w:p w14:paraId="1150D3B5">
            <w:pPr>
              <w:widowControl/>
              <w:jc w:val="center"/>
              <w:rPr>
                <w:rFonts w:hint="eastAsia" w:ascii="宋体" w:hAnsi="宋体" w:eastAsia="宋体" w:cs="宋体"/>
                <w:color w:val="auto"/>
                <w:kern w:val="0"/>
                <w:sz w:val="24"/>
                <w:szCs w:val="24"/>
                <w:highlight w:val="none"/>
                <w:u w:val="none"/>
                <w:lang w:eastAsia="zh-CN"/>
                <w14:ligatures w14:val="none"/>
              </w:rPr>
            </w:pPr>
            <w:r>
              <w:rPr>
                <w:rFonts w:ascii="宋体" w:hAnsi="宋体" w:eastAsia="宋体" w:cs="宋体"/>
                <w:color w:val="auto"/>
                <w:kern w:val="0"/>
                <w:sz w:val="24"/>
                <w:szCs w:val="24"/>
                <w:highlight w:val="none"/>
                <w:u w:val="none"/>
                <w14:ligatures w14:val="none"/>
              </w:rPr>
              <w:t>医疗器械经营企业、使用单位</w:t>
            </w:r>
            <w:r>
              <w:rPr>
                <w:rFonts w:hint="eastAsia" w:ascii="宋体" w:hAnsi="宋体" w:eastAsia="宋体" w:cs="宋体"/>
                <w:color w:val="auto"/>
                <w:kern w:val="0"/>
                <w:sz w:val="24"/>
                <w:szCs w:val="24"/>
                <w:highlight w:val="none"/>
                <w:u w:val="none"/>
                <w14:ligatures w14:val="none"/>
              </w:rPr>
              <w:t>未依照规定建立并执行医疗器械进货查验记录制度</w:t>
            </w:r>
          </w:p>
        </w:tc>
        <w:tc>
          <w:tcPr>
            <w:tcW w:w="4111" w:type="dxa"/>
            <w:shd w:val="clear" w:color="auto" w:fill="auto"/>
            <w:tcMar>
              <w:top w:w="0" w:type="dxa"/>
              <w:left w:w="105" w:type="dxa"/>
              <w:bottom w:w="0" w:type="dxa"/>
              <w:right w:w="105" w:type="dxa"/>
            </w:tcMar>
            <w:vAlign w:val="center"/>
          </w:tcPr>
          <w:p w14:paraId="06F4742C">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1FEDBAC9">
            <w:pPr>
              <w:widowControl/>
              <w:jc w:val="left"/>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lang w:val="en-US" w:eastAsia="zh-CN"/>
                <w14:ligatures w14:val="none"/>
              </w:rPr>
              <w:t>2</w:t>
            </w:r>
            <w:r>
              <w:rPr>
                <w:rFonts w:ascii="宋体" w:hAnsi="宋体" w:eastAsia="宋体" w:cs="宋体"/>
                <w:color w:val="auto"/>
                <w:kern w:val="0"/>
                <w:sz w:val="24"/>
                <w:szCs w:val="24"/>
                <w:highlight w:val="none"/>
                <w:u w:val="none"/>
                <w14:ligatures w14:val="none"/>
              </w:rPr>
              <w:t>.未造成危害后果</w:t>
            </w:r>
            <w:r>
              <w:rPr>
                <w:rFonts w:hint="eastAsia" w:ascii="宋体" w:hAnsi="宋体" w:eastAsia="宋体" w:cs="宋体"/>
                <w:color w:val="auto"/>
                <w:kern w:val="0"/>
                <w:sz w:val="24"/>
                <w:szCs w:val="24"/>
                <w:highlight w:val="none"/>
                <w:u w:val="none"/>
                <w:lang w:eastAsia="zh-CN"/>
                <w14:ligatures w14:val="none"/>
              </w:rPr>
              <w:t>；</w:t>
            </w:r>
          </w:p>
          <w:p w14:paraId="5EB09665">
            <w:pPr>
              <w:widowControl/>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3.产品来源合法，购进记录不齐全但不影响追溯；</w:t>
            </w:r>
          </w:p>
          <w:p w14:paraId="075C0545">
            <w:pPr>
              <w:widowControl/>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4.已建立</w:t>
            </w:r>
            <w:r>
              <w:rPr>
                <w:rFonts w:hint="eastAsia" w:ascii="宋体" w:hAnsi="宋体" w:eastAsia="宋体" w:cs="宋体"/>
                <w:color w:val="auto"/>
                <w:kern w:val="0"/>
                <w:sz w:val="24"/>
                <w:szCs w:val="24"/>
                <w:highlight w:val="none"/>
                <w:u w:val="none"/>
                <w14:ligatures w14:val="none"/>
              </w:rPr>
              <w:t>医疗器械进货查验记录制度</w:t>
            </w:r>
            <w:r>
              <w:rPr>
                <w:rFonts w:hint="eastAsia" w:ascii="宋体" w:hAnsi="宋体" w:eastAsia="宋体" w:cs="宋体"/>
                <w:color w:val="auto"/>
                <w:kern w:val="0"/>
                <w:sz w:val="24"/>
                <w:szCs w:val="24"/>
                <w:highlight w:val="none"/>
                <w:u w:val="none"/>
                <w:lang w:eastAsia="zh-CN"/>
                <w14:ligatures w14:val="none"/>
              </w:rPr>
              <w:t>。</w:t>
            </w:r>
          </w:p>
        </w:tc>
        <w:tc>
          <w:tcPr>
            <w:tcW w:w="4677" w:type="dxa"/>
            <w:shd w:val="clear" w:color="auto" w:fill="auto"/>
            <w:tcMar>
              <w:top w:w="0" w:type="dxa"/>
              <w:left w:w="105" w:type="dxa"/>
              <w:bottom w:w="0" w:type="dxa"/>
              <w:right w:w="105" w:type="dxa"/>
            </w:tcMar>
            <w:vAlign w:val="center"/>
          </w:tcPr>
          <w:p w14:paraId="38CE5D6E">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医疗器械监督管理条例》第八十九条第三项：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三）医疗器械经营企业、使用单位未依照本条例规定建立并执行医疗器械进货查验记录制度；</w:t>
            </w:r>
          </w:p>
        </w:tc>
        <w:tc>
          <w:tcPr>
            <w:tcW w:w="1418" w:type="dxa"/>
            <w:vAlign w:val="center"/>
          </w:tcPr>
          <w:p w14:paraId="5CEF3DBE">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2F2901C8">
            <w:pPr>
              <w:widowControl/>
              <w:jc w:val="center"/>
              <w:rPr>
                <w:rFonts w:ascii="宋体" w:hAnsi="宋体" w:eastAsia="宋体" w:cs="宋体"/>
                <w:color w:val="auto"/>
                <w:kern w:val="0"/>
                <w:sz w:val="24"/>
                <w:szCs w:val="24"/>
                <w:highlight w:val="none"/>
                <w:u w:val="none"/>
                <w14:ligatures w14:val="none"/>
              </w:rPr>
            </w:pPr>
            <w:r>
              <w:rPr>
                <w:rFonts w:ascii="宋体" w:hAnsi="宋体" w:eastAsia="宋体" w:cs="宋体"/>
                <w:color w:val="auto"/>
                <w:sz w:val="24"/>
                <w:szCs w:val="24"/>
                <w:highlight w:val="none"/>
                <w:u w:val="none"/>
                <w14:ligatures w14:val="none"/>
              </w:rPr>
              <w:t>区级</w:t>
            </w:r>
          </w:p>
        </w:tc>
      </w:tr>
      <w:tr w14:paraId="0F02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4" w:type="dxa"/>
            <w:shd w:val="clear" w:color="auto" w:fill="auto"/>
            <w:tcMar>
              <w:top w:w="0" w:type="dxa"/>
              <w:left w:w="105" w:type="dxa"/>
              <w:bottom w:w="0" w:type="dxa"/>
              <w:right w:w="105" w:type="dxa"/>
            </w:tcMar>
            <w:vAlign w:val="center"/>
          </w:tcPr>
          <w:p w14:paraId="4BAC573C">
            <w:pPr>
              <w:widowControl/>
              <w:spacing w:after="225" w:line="285" w:lineRule="atLeast"/>
              <w:jc w:val="center"/>
              <w:textAlignment w:val="center"/>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lang w:val="en-US" w:eastAsia="zh-CN"/>
                <w14:ligatures w14:val="none"/>
              </w:rPr>
              <w:t>8</w:t>
            </w:r>
          </w:p>
        </w:tc>
        <w:tc>
          <w:tcPr>
            <w:tcW w:w="2410" w:type="dxa"/>
            <w:shd w:val="clear" w:color="auto" w:fill="auto"/>
            <w:tcMar>
              <w:top w:w="0" w:type="dxa"/>
              <w:left w:w="105" w:type="dxa"/>
              <w:bottom w:w="0" w:type="dxa"/>
              <w:right w:w="105" w:type="dxa"/>
            </w:tcMar>
            <w:vAlign w:val="center"/>
          </w:tcPr>
          <w:p w14:paraId="7980929C">
            <w:pPr>
              <w:widowControl/>
              <w:jc w:val="center"/>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14:ligatures w14:val="none"/>
              </w:rPr>
              <w:t>医疗器械注册人、备案人、经营企业从事医疗器械网络销售未按照规定告知负责药品监督管理的部门</w:t>
            </w:r>
          </w:p>
        </w:tc>
        <w:tc>
          <w:tcPr>
            <w:tcW w:w="4111" w:type="dxa"/>
            <w:shd w:val="clear" w:color="auto" w:fill="auto"/>
            <w:tcMar>
              <w:top w:w="0" w:type="dxa"/>
              <w:left w:w="105" w:type="dxa"/>
              <w:bottom w:w="0" w:type="dxa"/>
              <w:right w:w="105" w:type="dxa"/>
            </w:tcMar>
            <w:vAlign w:val="center"/>
          </w:tcPr>
          <w:p w14:paraId="5AE4218E">
            <w:pPr>
              <w:widowControl/>
              <w:jc w:val="left"/>
              <w:rPr>
                <w:rFonts w:ascii="宋体" w:hAnsi="宋体" w:eastAsia="宋体" w:cs="宋体"/>
                <w:color w:val="auto"/>
                <w:kern w:val="0"/>
                <w:sz w:val="24"/>
                <w:szCs w:val="24"/>
                <w:highlight w:val="none"/>
                <w:u w:val="none"/>
                <w14:ligatures w14:val="none"/>
              </w:rPr>
            </w:pPr>
          </w:p>
          <w:p w14:paraId="5626BB7F">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1</w:t>
            </w:r>
            <w:r>
              <w:rPr>
                <w:rFonts w:hint="eastAsia" w:ascii="宋体" w:hAnsi="宋体" w:eastAsia="宋体" w:cs="宋体"/>
                <w:color w:val="auto"/>
                <w:kern w:val="0"/>
                <w:sz w:val="24"/>
                <w:szCs w:val="24"/>
                <w:highlight w:val="none"/>
                <w:u w:val="none"/>
                <w14:ligatures w14:val="none"/>
              </w:rPr>
              <w:t>.</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27130F6E">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2</w:t>
            </w:r>
            <w:r>
              <w:rPr>
                <w:rFonts w:ascii="宋体" w:hAnsi="宋体" w:eastAsia="宋体" w:cs="宋体"/>
                <w:color w:val="auto"/>
                <w:kern w:val="0"/>
                <w:sz w:val="24"/>
                <w:szCs w:val="24"/>
                <w:highlight w:val="none"/>
                <w:u w:val="none"/>
                <w14:ligatures w14:val="none"/>
              </w:rPr>
              <w:t>.未造成危害后果。</w:t>
            </w:r>
          </w:p>
        </w:tc>
        <w:tc>
          <w:tcPr>
            <w:tcW w:w="4677" w:type="dxa"/>
            <w:shd w:val="clear" w:color="auto" w:fill="auto"/>
            <w:tcMar>
              <w:top w:w="0" w:type="dxa"/>
              <w:left w:w="105" w:type="dxa"/>
              <w:bottom w:w="0" w:type="dxa"/>
              <w:right w:w="105" w:type="dxa"/>
            </w:tcMar>
            <w:vAlign w:val="center"/>
          </w:tcPr>
          <w:p w14:paraId="10FE690C">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医疗器械监督管理条例》第八十九条第八项：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八）医疗器械注册人、备案人、经营企业从事医疗器械网络销售未按照规定告知负责药品监督管理的部门；</w:t>
            </w:r>
          </w:p>
        </w:tc>
        <w:tc>
          <w:tcPr>
            <w:tcW w:w="1418" w:type="dxa"/>
            <w:vAlign w:val="center"/>
          </w:tcPr>
          <w:p w14:paraId="0C304006">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0FEEA2DE">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r>
              <w:rPr>
                <w:rFonts w:ascii="宋体" w:hAnsi="宋体" w:eastAsia="宋体" w:cs="宋体"/>
                <w:color w:val="auto"/>
                <w:kern w:val="0"/>
                <w:sz w:val="24"/>
                <w:szCs w:val="24"/>
                <w:highlight w:val="none"/>
                <w:u w:val="none"/>
                <w14:ligatures w14:val="none"/>
              </w:rPr>
              <w:t>,区级</w:t>
            </w:r>
          </w:p>
        </w:tc>
      </w:tr>
      <w:tr w14:paraId="0496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814" w:type="dxa"/>
            <w:shd w:val="clear" w:color="auto" w:fill="auto"/>
            <w:tcMar>
              <w:top w:w="0" w:type="dxa"/>
              <w:left w:w="105" w:type="dxa"/>
              <w:bottom w:w="0" w:type="dxa"/>
              <w:right w:w="105" w:type="dxa"/>
            </w:tcMar>
            <w:vAlign w:val="center"/>
          </w:tcPr>
          <w:p w14:paraId="24838B8B">
            <w:pPr>
              <w:widowControl/>
              <w:jc w:val="center"/>
              <w:rPr>
                <w:rFonts w:hint="default"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9</w:t>
            </w:r>
          </w:p>
        </w:tc>
        <w:tc>
          <w:tcPr>
            <w:tcW w:w="2410" w:type="dxa"/>
            <w:shd w:val="clear" w:color="auto" w:fill="auto"/>
            <w:tcMar>
              <w:top w:w="0" w:type="dxa"/>
              <w:left w:w="105" w:type="dxa"/>
              <w:bottom w:w="0" w:type="dxa"/>
              <w:right w:w="105" w:type="dxa"/>
            </w:tcMar>
            <w:vAlign w:val="center"/>
          </w:tcPr>
          <w:p w14:paraId="16F13A12">
            <w:pPr>
              <w:widowControl/>
              <w:jc w:val="left"/>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14:ligatures w14:val="none"/>
              </w:rPr>
              <w:t>持有人、经营企业、使用单位按照要求报告、调查、评价、处置医疗器械不良事件</w:t>
            </w:r>
          </w:p>
        </w:tc>
        <w:tc>
          <w:tcPr>
            <w:tcW w:w="4111" w:type="dxa"/>
            <w:shd w:val="clear" w:color="auto" w:fill="auto"/>
            <w:tcMar>
              <w:top w:w="0" w:type="dxa"/>
              <w:left w:w="105" w:type="dxa"/>
              <w:bottom w:w="0" w:type="dxa"/>
              <w:right w:w="105" w:type="dxa"/>
            </w:tcMar>
            <w:vAlign w:val="center"/>
          </w:tcPr>
          <w:p w14:paraId="7DCC49A8">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1.违法行为轻微；</w:t>
            </w:r>
          </w:p>
          <w:p w14:paraId="6FC6AC58">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560E45DE">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3</w:t>
            </w:r>
            <w:r>
              <w:rPr>
                <w:rFonts w:ascii="宋体" w:hAnsi="宋体" w:eastAsia="宋体" w:cs="宋体"/>
                <w:color w:val="auto"/>
                <w:kern w:val="0"/>
                <w:sz w:val="24"/>
                <w:szCs w:val="24"/>
                <w:highlight w:val="none"/>
                <w:u w:val="none"/>
                <w14:ligatures w14:val="none"/>
              </w:rPr>
              <w:t>.未造成危害后果。</w:t>
            </w:r>
          </w:p>
        </w:tc>
        <w:tc>
          <w:tcPr>
            <w:tcW w:w="4677" w:type="dxa"/>
            <w:shd w:val="clear" w:color="auto" w:fill="auto"/>
            <w:tcMar>
              <w:top w:w="0" w:type="dxa"/>
              <w:left w:w="105" w:type="dxa"/>
              <w:bottom w:w="0" w:type="dxa"/>
              <w:right w:w="105" w:type="dxa"/>
            </w:tcMar>
            <w:vAlign w:val="center"/>
          </w:tcPr>
          <w:p w14:paraId="373BADC3">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《医疗器械不良事件监测和再评价管理办法》第七十五条：持有人、经营企业、使用单位按照要求报告、调查、评价、处置医疗器械不良事件，违法行为轻微并及时纠正，没有造成危害后果的，不予处罚。</w:t>
            </w:r>
          </w:p>
        </w:tc>
        <w:tc>
          <w:tcPr>
            <w:tcW w:w="1418" w:type="dxa"/>
            <w:vAlign w:val="center"/>
          </w:tcPr>
          <w:p w14:paraId="679D5290">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2C6D08E8">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r>
              <w:rPr>
                <w:rFonts w:ascii="宋体" w:hAnsi="宋体" w:eastAsia="宋体" w:cs="宋体"/>
                <w:color w:val="auto"/>
                <w:kern w:val="0"/>
                <w:sz w:val="24"/>
                <w:szCs w:val="24"/>
                <w:highlight w:val="none"/>
                <w:u w:val="none"/>
                <w14:ligatures w14:val="none"/>
              </w:rPr>
              <w:t>,区级</w:t>
            </w:r>
          </w:p>
        </w:tc>
      </w:tr>
      <w:tr w14:paraId="6856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5" w:hRule="atLeast"/>
          <w:jc w:val="center"/>
        </w:trPr>
        <w:tc>
          <w:tcPr>
            <w:tcW w:w="814" w:type="dxa"/>
            <w:shd w:val="clear" w:color="auto" w:fill="auto"/>
            <w:tcMar>
              <w:top w:w="0" w:type="dxa"/>
              <w:left w:w="105" w:type="dxa"/>
              <w:bottom w:w="0" w:type="dxa"/>
              <w:right w:w="105" w:type="dxa"/>
            </w:tcMar>
            <w:vAlign w:val="center"/>
          </w:tcPr>
          <w:p w14:paraId="15F07997">
            <w:pPr>
              <w:widowControl/>
              <w:jc w:val="center"/>
              <w:rPr>
                <w:rFonts w:hint="default"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10</w:t>
            </w:r>
          </w:p>
        </w:tc>
        <w:tc>
          <w:tcPr>
            <w:tcW w:w="2410" w:type="dxa"/>
            <w:shd w:val="clear" w:color="auto" w:fill="auto"/>
            <w:tcMar>
              <w:top w:w="0" w:type="dxa"/>
              <w:left w:w="105" w:type="dxa"/>
              <w:bottom w:w="0" w:type="dxa"/>
              <w:right w:w="105" w:type="dxa"/>
            </w:tcMar>
            <w:vAlign w:val="center"/>
          </w:tcPr>
          <w:p w14:paraId="388F7488">
            <w:pPr>
              <w:widowControl/>
              <w:jc w:val="left"/>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14:ligatures w14:val="none"/>
              </w:rPr>
              <w:t>医疗器械生产企业因违反法律、法规、规章规定造成上市医疗器械存在缺陷</w:t>
            </w:r>
          </w:p>
        </w:tc>
        <w:tc>
          <w:tcPr>
            <w:tcW w:w="4111" w:type="dxa"/>
            <w:shd w:val="clear" w:color="auto" w:fill="auto"/>
            <w:tcMar>
              <w:top w:w="0" w:type="dxa"/>
              <w:left w:w="105" w:type="dxa"/>
              <w:bottom w:w="0" w:type="dxa"/>
              <w:right w:w="105" w:type="dxa"/>
            </w:tcMar>
            <w:vAlign w:val="center"/>
          </w:tcPr>
          <w:p w14:paraId="3DEFC089">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1.违法行为轻微；</w:t>
            </w:r>
          </w:p>
          <w:p w14:paraId="722E3A56">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0F677FD0">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3</w:t>
            </w:r>
            <w:r>
              <w:rPr>
                <w:rFonts w:ascii="宋体" w:hAnsi="宋体" w:eastAsia="宋体" w:cs="宋体"/>
                <w:color w:val="auto"/>
                <w:kern w:val="0"/>
                <w:sz w:val="24"/>
                <w:szCs w:val="24"/>
                <w:highlight w:val="none"/>
                <w:u w:val="none"/>
                <w14:ligatures w14:val="none"/>
              </w:rPr>
              <w:t>.未造成危害后果。</w:t>
            </w:r>
          </w:p>
        </w:tc>
        <w:tc>
          <w:tcPr>
            <w:tcW w:w="4677" w:type="dxa"/>
            <w:shd w:val="clear" w:color="auto" w:fill="auto"/>
            <w:tcMar>
              <w:top w:w="0" w:type="dxa"/>
              <w:left w:w="105" w:type="dxa"/>
              <w:bottom w:w="0" w:type="dxa"/>
              <w:right w:w="105" w:type="dxa"/>
            </w:tcMar>
            <w:vAlign w:val="center"/>
          </w:tcPr>
          <w:p w14:paraId="1C53FBD1">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《医疗器械召回管理办法》第二十八条：医疗器械生产企业因违反法律、法规、规章规定造成上市医疗器械存在缺陷，违法行为轻微并及时纠正，没有造成危害后果的，不予处罚。</w:t>
            </w:r>
          </w:p>
        </w:tc>
        <w:tc>
          <w:tcPr>
            <w:tcW w:w="1418" w:type="dxa"/>
            <w:vAlign w:val="center"/>
          </w:tcPr>
          <w:p w14:paraId="063E6575">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4A16CA00">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r>
              <w:rPr>
                <w:rFonts w:ascii="宋体" w:hAnsi="宋体" w:eastAsia="宋体" w:cs="宋体"/>
                <w:color w:val="auto"/>
                <w:kern w:val="0"/>
                <w:sz w:val="24"/>
                <w:szCs w:val="24"/>
                <w:highlight w:val="none"/>
                <w:u w:val="none"/>
                <w14:ligatures w14:val="none"/>
              </w:rPr>
              <w:t>,区级</w:t>
            </w:r>
          </w:p>
        </w:tc>
      </w:tr>
      <w:tr w14:paraId="784AC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5" w:hRule="atLeast"/>
          <w:jc w:val="center"/>
        </w:trPr>
        <w:tc>
          <w:tcPr>
            <w:tcW w:w="814" w:type="dxa"/>
            <w:shd w:val="clear" w:color="auto" w:fill="auto"/>
            <w:tcMar>
              <w:top w:w="0" w:type="dxa"/>
              <w:left w:w="105" w:type="dxa"/>
              <w:bottom w:w="0" w:type="dxa"/>
              <w:right w:w="105" w:type="dxa"/>
            </w:tcMar>
            <w:vAlign w:val="center"/>
          </w:tcPr>
          <w:p w14:paraId="2DD87CD7">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11</w:t>
            </w:r>
          </w:p>
        </w:tc>
        <w:tc>
          <w:tcPr>
            <w:tcW w:w="2410" w:type="dxa"/>
            <w:shd w:val="clear" w:color="auto" w:fill="auto"/>
            <w:tcMar>
              <w:top w:w="0" w:type="dxa"/>
              <w:left w:w="105" w:type="dxa"/>
              <w:bottom w:w="0" w:type="dxa"/>
              <w:right w:w="105" w:type="dxa"/>
            </w:tcMar>
            <w:vAlign w:val="center"/>
          </w:tcPr>
          <w:p w14:paraId="477134D8">
            <w:pPr>
              <w:widowControl/>
              <w:spacing w:after="225" w:line="285" w:lineRule="atLeast"/>
              <w:jc w:val="left"/>
              <w:textAlignment w:val="center"/>
              <w:rPr>
                <w:rFonts w:ascii="仿宋_GB2312" w:hAnsi="宋体" w:eastAsia="仿宋_GB2312" w:cs="宋体"/>
                <w:color w:val="auto"/>
                <w:kern w:val="0"/>
                <w:sz w:val="24"/>
                <w:szCs w:val="24"/>
                <w:highlight w:val="none"/>
                <w:u w:val="none"/>
                <w14:ligatures w14:val="none"/>
              </w:rPr>
            </w:pPr>
            <w:r>
              <w:rPr>
                <w:rFonts w:ascii="宋体" w:hAnsi="宋体" w:eastAsia="宋体" w:cs="宋体"/>
                <w:color w:val="auto"/>
                <w:sz w:val="24"/>
                <w:szCs w:val="24"/>
                <w:highlight w:val="none"/>
                <w:u w:val="none"/>
              </w:rPr>
              <w:t>化妆品注册人、备案人未按照规定公布化妆品功效宣称所依据的文献资料、研究数据或者产品功效评价资料的摘要</w:t>
            </w:r>
          </w:p>
        </w:tc>
        <w:tc>
          <w:tcPr>
            <w:tcW w:w="4111" w:type="dxa"/>
            <w:shd w:val="clear" w:color="auto" w:fill="auto"/>
            <w:tcMar>
              <w:top w:w="0" w:type="dxa"/>
              <w:left w:w="105" w:type="dxa"/>
              <w:bottom w:w="0" w:type="dxa"/>
              <w:right w:w="105" w:type="dxa"/>
            </w:tcMar>
            <w:vAlign w:val="center"/>
          </w:tcPr>
          <w:p w14:paraId="7F7CFBBD">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1.</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150D3FEA">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2</w:t>
            </w:r>
            <w:r>
              <w:rPr>
                <w:rFonts w:ascii="宋体" w:hAnsi="宋体" w:eastAsia="宋体" w:cs="宋体"/>
                <w:color w:val="auto"/>
                <w:kern w:val="0"/>
                <w:sz w:val="24"/>
                <w:szCs w:val="24"/>
                <w:highlight w:val="none"/>
                <w:u w:val="none"/>
                <w14:ligatures w14:val="none"/>
              </w:rPr>
              <w:t>.未造成危害后果。</w:t>
            </w:r>
          </w:p>
        </w:tc>
        <w:tc>
          <w:tcPr>
            <w:tcW w:w="4677" w:type="dxa"/>
            <w:shd w:val="clear" w:color="auto" w:fill="auto"/>
            <w:tcMar>
              <w:top w:w="0" w:type="dxa"/>
              <w:left w:w="105" w:type="dxa"/>
              <w:bottom w:w="0" w:type="dxa"/>
              <w:right w:w="105" w:type="dxa"/>
            </w:tcMar>
            <w:vAlign w:val="center"/>
          </w:tcPr>
          <w:p w14:paraId="70D327FE">
            <w:pPr>
              <w:widowControl/>
              <w:jc w:val="left"/>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《化妆品监督管理条例》第</w:t>
            </w:r>
            <w:r>
              <w:rPr>
                <w:rFonts w:hint="eastAsia" w:ascii="宋体" w:hAnsi="宋体" w:eastAsia="宋体" w:cs="宋体"/>
                <w:color w:val="auto"/>
                <w:kern w:val="0"/>
                <w:sz w:val="24"/>
                <w:szCs w:val="24"/>
                <w:highlight w:val="none"/>
                <w:u w:val="none"/>
                <w14:ligatures w14:val="none"/>
              </w:rPr>
              <w:t>六</w:t>
            </w:r>
            <w:r>
              <w:rPr>
                <w:rFonts w:ascii="宋体" w:hAnsi="宋体" w:eastAsia="宋体" w:cs="宋体"/>
                <w:color w:val="auto"/>
                <w:kern w:val="0"/>
                <w:sz w:val="24"/>
                <w:szCs w:val="24"/>
                <w:highlight w:val="none"/>
                <w:u w:val="none"/>
                <w14:ligatures w14:val="none"/>
              </w:rPr>
              <w:t>十二条</w:t>
            </w:r>
            <w:r>
              <w:rPr>
                <w:rFonts w:hint="eastAsia" w:ascii="宋体" w:hAnsi="宋体" w:eastAsia="宋体" w:cs="宋体"/>
                <w:color w:val="auto"/>
                <w:kern w:val="0"/>
                <w:sz w:val="24"/>
                <w:szCs w:val="24"/>
                <w:highlight w:val="none"/>
                <w:u w:val="none"/>
                <w14:ligatures w14:val="none"/>
              </w:rPr>
              <w:t>第一款第一项：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一）未依照本条例规定公布化妆品功效宣称依据的摘要；</w:t>
            </w:r>
          </w:p>
        </w:tc>
        <w:tc>
          <w:tcPr>
            <w:tcW w:w="1418" w:type="dxa"/>
            <w:vAlign w:val="center"/>
          </w:tcPr>
          <w:p w14:paraId="36722AE2">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62F22C6C">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r>
              <w:rPr>
                <w:rFonts w:ascii="宋体" w:hAnsi="宋体" w:eastAsia="宋体" w:cs="宋体"/>
                <w:color w:val="auto"/>
                <w:kern w:val="0"/>
                <w:sz w:val="24"/>
                <w:szCs w:val="24"/>
                <w:highlight w:val="none"/>
                <w:u w:val="none"/>
                <w14:ligatures w14:val="none"/>
              </w:rPr>
              <w:t>,区级</w:t>
            </w:r>
          </w:p>
        </w:tc>
      </w:tr>
      <w:tr w14:paraId="5EF7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8" w:hRule="atLeast"/>
          <w:jc w:val="center"/>
        </w:trPr>
        <w:tc>
          <w:tcPr>
            <w:tcW w:w="814" w:type="dxa"/>
            <w:shd w:val="clear" w:color="auto" w:fill="auto"/>
            <w:tcMar>
              <w:top w:w="0" w:type="dxa"/>
              <w:left w:w="105" w:type="dxa"/>
              <w:bottom w:w="0" w:type="dxa"/>
              <w:right w:w="105" w:type="dxa"/>
            </w:tcMar>
            <w:vAlign w:val="center"/>
          </w:tcPr>
          <w:p w14:paraId="1D21E521">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12</w:t>
            </w:r>
          </w:p>
        </w:tc>
        <w:tc>
          <w:tcPr>
            <w:tcW w:w="2410" w:type="dxa"/>
            <w:shd w:val="clear" w:color="auto" w:fill="auto"/>
            <w:tcMar>
              <w:top w:w="0" w:type="dxa"/>
              <w:left w:w="105" w:type="dxa"/>
              <w:bottom w:w="0" w:type="dxa"/>
              <w:right w:w="105" w:type="dxa"/>
            </w:tcMar>
            <w:vAlign w:val="center"/>
          </w:tcPr>
          <w:p w14:paraId="62DF4162">
            <w:pPr>
              <w:widowControl/>
              <w:spacing w:after="225" w:line="285" w:lineRule="atLeast"/>
              <w:jc w:val="left"/>
              <w:textAlignment w:val="center"/>
              <w:rPr>
                <w:rFonts w:ascii="宋体" w:hAnsi="宋体" w:eastAsia="宋体" w:cs="宋体"/>
                <w:color w:val="auto"/>
                <w:sz w:val="24"/>
                <w:szCs w:val="24"/>
                <w:highlight w:val="none"/>
                <w:u w:val="none"/>
              </w:rPr>
            </w:pPr>
            <w:r>
              <w:rPr>
                <w:rFonts w:ascii="宋体" w:hAnsi="宋体" w:eastAsia="宋体" w:cs="宋体"/>
                <w:color w:val="auto"/>
                <w:sz w:val="24"/>
                <w:szCs w:val="24"/>
                <w:highlight w:val="none"/>
                <w:u w:val="none"/>
              </w:rPr>
              <w:t>化妆品经营者未按照要求建立并执行进货查验记录制度</w:t>
            </w:r>
          </w:p>
        </w:tc>
        <w:tc>
          <w:tcPr>
            <w:tcW w:w="4111" w:type="dxa"/>
            <w:shd w:val="clear" w:color="auto" w:fill="auto"/>
            <w:tcMar>
              <w:top w:w="0" w:type="dxa"/>
              <w:left w:w="105" w:type="dxa"/>
              <w:bottom w:w="0" w:type="dxa"/>
              <w:right w:w="105" w:type="dxa"/>
            </w:tcMar>
            <w:vAlign w:val="center"/>
          </w:tcPr>
          <w:p w14:paraId="33C37BCB">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1</w:t>
            </w:r>
            <w:r>
              <w:rPr>
                <w:rFonts w:hint="eastAsia" w:ascii="宋体" w:hAnsi="宋体" w:eastAsia="宋体" w:cs="宋体"/>
                <w:color w:val="auto"/>
                <w:kern w:val="0"/>
                <w:sz w:val="24"/>
                <w:szCs w:val="24"/>
                <w:highlight w:val="none"/>
                <w:u w:val="none"/>
                <w14:ligatures w14:val="none"/>
              </w:rPr>
              <w:t>.</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21B452AA">
            <w:pPr>
              <w:widowControl/>
              <w:spacing w:line="480" w:lineRule="auto"/>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2</w:t>
            </w:r>
            <w:r>
              <w:rPr>
                <w:rFonts w:ascii="宋体" w:hAnsi="宋体" w:eastAsia="宋体" w:cs="宋体"/>
                <w:color w:val="auto"/>
                <w:kern w:val="0"/>
                <w:sz w:val="24"/>
                <w:szCs w:val="24"/>
                <w:highlight w:val="none"/>
                <w:u w:val="none"/>
                <w14:ligatures w14:val="none"/>
              </w:rPr>
              <w:t>.未造成危害后果。</w:t>
            </w:r>
          </w:p>
          <w:p w14:paraId="2FA25EB0">
            <w:pPr>
              <w:widowControl/>
              <w:jc w:val="left"/>
              <w:rPr>
                <w:rFonts w:hint="default" w:ascii="宋体" w:hAnsi="宋体" w:eastAsia="宋体" w:cs="宋体"/>
                <w:color w:val="auto"/>
                <w:kern w:val="0"/>
                <w:sz w:val="24"/>
                <w:szCs w:val="24"/>
                <w:highlight w:val="none"/>
                <w:u w:val="none"/>
                <w:lang w:val="en-US" w:eastAsia="zh-CN"/>
                <w14:ligatures w14:val="none"/>
              </w:rPr>
            </w:pPr>
          </w:p>
        </w:tc>
        <w:tc>
          <w:tcPr>
            <w:tcW w:w="4677" w:type="dxa"/>
            <w:shd w:val="clear" w:color="auto" w:fill="auto"/>
            <w:tcMar>
              <w:top w:w="0" w:type="dxa"/>
              <w:left w:w="105" w:type="dxa"/>
              <w:bottom w:w="0" w:type="dxa"/>
              <w:right w:w="105" w:type="dxa"/>
            </w:tcMar>
            <w:vAlign w:val="center"/>
          </w:tcPr>
          <w:p w14:paraId="55213FD0">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w:t>
            </w:r>
            <w:r>
              <w:rPr>
                <w:rFonts w:ascii="宋体" w:hAnsi="宋体" w:eastAsia="宋体" w:cs="宋体"/>
                <w:color w:val="auto"/>
                <w:kern w:val="0"/>
                <w:sz w:val="24"/>
                <w:szCs w:val="24"/>
                <w:highlight w:val="none"/>
                <w:u w:val="none"/>
                <w14:ligatures w14:val="none"/>
              </w:rPr>
              <w:t>化妆品监督管理条例》第</w:t>
            </w:r>
            <w:r>
              <w:rPr>
                <w:rFonts w:hint="eastAsia" w:ascii="宋体" w:hAnsi="宋体" w:eastAsia="宋体" w:cs="宋体"/>
                <w:color w:val="auto"/>
                <w:kern w:val="0"/>
                <w:sz w:val="24"/>
                <w:szCs w:val="24"/>
                <w:highlight w:val="none"/>
                <w:u w:val="none"/>
                <w14:ligatures w14:val="none"/>
              </w:rPr>
              <w:t>六</w:t>
            </w:r>
            <w:r>
              <w:rPr>
                <w:rFonts w:ascii="宋体" w:hAnsi="宋体" w:eastAsia="宋体" w:cs="宋体"/>
                <w:color w:val="auto"/>
                <w:kern w:val="0"/>
                <w:sz w:val="24"/>
                <w:szCs w:val="24"/>
                <w:highlight w:val="none"/>
                <w:u w:val="none"/>
                <w14:ligatures w14:val="none"/>
              </w:rPr>
              <w:t>十二条</w:t>
            </w:r>
            <w:r>
              <w:rPr>
                <w:rFonts w:hint="eastAsia" w:ascii="宋体" w:hAnsi="宋体" w:eastAsia="宋体" w:cs="宋体"/>
                <w:color w:val="auto"/>
                <w:kern w:val="0"/>
                <w:sz w:val="24"/>
                <w:szCs w:val="24"/>
                <w:highlight w:val="none"/>
                <w:u w:val="none"/>
                <w14:ligatures w14:val="none"/>
              </w:rPr>
              <w:t>第一款第二项：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二）未依照本条例规定建立并执行进货查验记录制度；</w:t>
            </w:r>
          </w:p>
        </w:tc>
        <w:tc>
          <w:tcPr>
            <w:tcW w:w="1418" w:type="dxa"/>
            <w:vAlign w:val="center"/>
          </w:tcPr>
          <w:p w14:paraId="5311DC98">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0FC1461A">
            <w:pPr>
              <w:widowControl/>
              <w:jc w:val="center"/>
              <w:rPr>
                <w:rFonts w:ascii="宋体" w:hAnsi="宋体" w:eastAsia="宋体" w:cs="宋体"/>
                <w:color w:val="auto"/>
                <w:kern w:val="0"/>
                <w:sz w:val="24"/>
                <w:szCs w:val="24"/>
                <w:highlight w:val="none"/>
                <w:u w:val="none"/>
                <w14:ligatures w14:val="none"/>
              </w:rPr>
            </w:pPr>
            <w:r>
              <w:rPr>
                <w:rFonts w:ascii="宋体" w:hAnsi="宋体" w:eastAsia="宋体" w:cs="宋体"/>
                <w:color w:val="auto"/>
                <w:sz w:val="24"/>
                <w:szCs w:val="24"/>
                <w:highlight w:val="none"/>
                <w:u w:val="none"/>
                <w14:ligatures w14:val="none"/>
              </w:rPr>
              <w:t>区级</w:t>
            </w:r>
          </w:p>
        </w:tc>
      </w:tr>
      <w:tr w14:paraId="2A07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5" w:hRule="atLeast"/>
          <w:jc w:val="center"/>
        </w:trPr>
        <w:tc>
          <w:tcPr>
            <w:tcW w:w="814" w:type="dxa"/>
            <w:shd w:val="clear" w:color="auto" w:fill="auto"/>
            <w:tcMar>
              <w:top w:w="0" w:type="dxa"/>
              <w:left w:w="105" w:type="dxa"/>
              <w:bottom w:w="0" w:type="dxa"/>
              <w:right w:w="105" w:type="dxa"/>
            </w:tcMar>
            <w:vAlign w:val="center"/>
          </w:tcPr>
          <w:p w14:paraId="5C166AC7">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13</w:t>
            </w:r>
          </w:p>
        </w:tc>
        <w:tc>
          <w:tcPr>
            <w:tcW w:w="2410" w:type="dxa"/>
            <w:shd w:val="clear" w:color="auto" w:fill="auto"/>
            <w:tcMar>
              <w:top w:w="0" w:type="dxa"/>
              <w:left w:w="105" w:type="dxa"/>
              <w:bottom w:w="0" w:type="dxa"/>
              <w:right w:w="105" w:type="dxa"/>
            </w:tcMar>
            <w:vAlign w:val="center"/>
          </w:tcPr>
          <w:p w14:paraId="21441543">
            <w:pPr>
              <w:widowControl/>
              <w:spacing w:after="225" w:line="285" w:lineRule="atLeast"/>
              <w:jc w:val="left"/>
              <w:textAlignment w:val="center"/>
              <w:rPr>
                <w:rFonts w:ascii="宋体" w:hAnsi="宋体" w:eastAsia="宋体" w:cs="宋体"/>
                <w:color w:val="auto"/>
                <w:sz w:val="24"/>
                <w:szCs w:val="24"/>
                <w:highlight w:val="none"/>
                <w:u w:val="none"/>
              </w:rPr>
            </w:pPr>
            <w:r>
              <w:rPr>
                <w:rFonts w:ascii="宋体" w:hAnsi="宋体" w:eastAsia="宋体" w:cs="宋体"/>
                <w:color w:val="auto"/>
                <w:sz w:val="24"/>
                <w:szCs w:val="24"/>
                <w:highlight w:val="none"/>
                <w:u w:val="none"/>
              </w:rPr>
              <w:t>化妆品注册人、备案人、受托生产企业未定期对化妆品生产质量管理规范的执行情况进行自查</w:t>
            </w:r>
          </w:p>
        </w:tc>
        <w:tc>
          <w:tcPr>
            <w:tcW w:w="4111" w:type="dxa"/>
            <w:shd w:val="clear" w:color="auto" w:fill="auto"/>
            <w:tcMar>
              <w:top w:w="0" w:type="dxa"/>
              <w:left w:w="105" w:type="dxa"/>
              <w:bottom w:w="0" w:type="dxa"/>
              <w:right w:w="105" w:type="dxa"/>
            </w:tcMar>
            <w:vAlign w:val="center"/>
          </w:tcPr>
          <w:p w14:paraId="7F724191">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1</w:t>
            </w:r>
            <w:r>
              <w:rPr>
                <w:rFonts w:hint="eastAsia" w:ascii="宋体" w:hAnsi="宋体" w:eastAsia="宋体" w:cs="宋体"/>
                <w:color w:val="auto"/>
                <w:kern w:val="0"/>
                <w:sz w:val="24"/>
                <w:szCs w:val="24"/>
                <w:highlight w:val="none"/>
                <w:u w:val="none"/>
                <w14:ligatures w14:val="none"/>
              </w:rPr>
              <w:t>.</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1E0058EE">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2</w:t>
            </w:r>
            <w:r>
              <w:rPr>
                <w:rFonts w:ascii="宋体" w:hAnsi="宋体" w:eastAsia="宋体" w:cs="宋体"/>
                <w:color w:val="auto"/>
                <w:kern w:val="0"/>
                <w:sz w:val="24"/>
                <w:szCs w:val="24"/>
                <w:highlight w:val="none"/>
                <w:u w:val="none"/>
                <w14:ligatures w14:val="none"/>
              </w:rPr>
              <w:t>.未造成危害后果。</w:t>
            </w:r>
          </w:p>
        </w:tc>
        <w:tc>
          <w:tcPr>
            <w:tcW w:w="4677" w:type="dxa"/>
            <w:shd w:val="clear" w:color="auto" w:fill="auto"/>
            <w:tcMar>
              <w:top w:w="0" w:type="dxa"/>
              <w:left w:w="105" w:type="dxa"/>
              <w:bottom w:w="0" w:type="dxa"/>
              <w:right w:w="105" w:type="dxa"/>
            </w:tcMar>
            <w:vAlign w:val="center"/>
          </w:tcPr>
          <w:p w14:paraId="017CE278">
            <w:pPr>
              <w:widowControl/>
              <w:jc w:val="left"/>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《化妆品监督管理条例》第</w:t>
            </w:r>
            <w:r>
              <w:rPr>
                <w:rFonts w:hint="eastAsia" w:ascii="宋体" w:hAnsi="宋体" w:eastAsia="宋体" w:cs="宋体"/>
                <w:color w:val="auto"/>
                <w:kern w:val="0"/>
                <w:sz w:val="24"/>
                <w:szCs w:val="24"/>
                <w:highlight w:val="none"/>
                <w:u w:val="none"/>
                <w14:ligatures w14:val="none"/>
              </w:rPr>
              <w:t>六</w:t>
            </w:r>
            <w:r>
              <w:rPr>
                <w:rFonts w:ascii="宋体" w:hAnsi="宋体" w:eastAsia="宋体" w:cs="宋体"/>
                <w:color w:val="auto"/>
                <w:kern w:val="0"/>
                <w:sz w:val="24"/>
                <w:szCs w:val="24"/>
                <w:highlight w:val="none"/>
                <w:u w:val="none"/>
                <w14:ligatures w14:val="none"/>
              </w:rPr>
              <w:t>十二条</w:t>
            </w:r>
            <w:r>
              <w:rPr>
                <w:rFonts w:hint="eastAsia" w:ascii="宋体" w:hAnsi="宋体" w:eastAsia="宋体" w:cs="宋体"/>
                <w:color w:val="auto"/>
                <w:kern w:val="0"/>
                <w:sz w:val="24"/>
                <w:szCs w:val="24"/>
                <w:highlight w:val="none"/>
                <w:u w:val="none"/>
                <w14:ligatures w14:val="none"/>
              </w:rPr>
              <w:t>第一款第三项：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三）未依照本条例规定对化妆品生产质量管理规范的执行情况进行自查；</w:t>
            </w:r>
          </w:p>
        </w:tc>
        <w:tc>
          <w:tcPr>
            <w:tcW w:w="1418" w:type="dxa"/>
            <w:vAlign w:val="center"/>
          </w:tcPr>
          <w:p w14:paraId="3C4AD41C">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2757F014">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r>
              <w:rPr>
                <w:rFonts w:ascii="宋体" w:hAnsi="宋体" w:eastAsia="宋体" w:cs="宋体"/>
                <w:color w:val="auto"/>
                <w:kern w:val="0"/>
                <w:sz w:val="24"/>
                <w:szCs w:val="24"/>
                <w:highlight w:val="none"/>
                <w:u w:val="none"/>
                <w14:ligatures w14:val="none"/>
              </w:rPr>
              <w:t>,区级</w:t>
            </w:r>
          </w:p>
        </w:tc>
      </w:tr>
      <w:tr w14:paraId="698C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5" w:hRule="atLeast"/>
          <w:jc w:val="center"/>
        </w:trPr>
        <w:tc>
          <w:tcPr>
            <w:tcW w:w="814" w:type="dxa"/>
            <w:shd w:val="clear" w:color="auto" w:fill="auto"/>
            <w:tcMar>
              <w:top w:w="0" w:type="dxa"/>
              <w:left w:w="105" w:type="dxa"/>
              <w:bottom w:w="0" w:type="dxa"/>
              <w:right w:w="105" w:type="dxa"/>
            </w:tcMar>
            <w:vAlign w:val="center"/>
          </w:tcPr>
          <w:p w14:paraId="37A23D9F">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14</w:t>
            </w:r>
          </w:p>
        </w:tc>
        <w:tc>
          <w:tcPr>
            <w:tcW w:w="2410" w:type="dxa"/>
            <w:shd w:val="clear" w:color="auto" w:fill="auto"/>
            <w:tcMar>
              <w:top w:w="0" w:type="dxa"/>
              <w:left w:w="105" w:type="dxa"/>
              <w:bottom w:w="0" w:type="dxa"/>
              <w:right w:w="105" w:type="dxa"/>
            </w:tcMar>
            <w:vAlign w:val="center"/>
          </w:tcPr>
          <w:p w14:paraId="200816D1">
            <w:pPr>
              <w:widowControl/>
              <w:spacing w:after="225" w:line="285" w:lineRule="atLeast"/>
              <w:jc w:val="left"/>
              <w:textAlignment w:val="center"/>
              <w:rPr>
                <w:rFonts w:hint="eastAsia" w:ascii="宋体" w:hAnsi="宋体" w:eastAsia="宋体" w:cs="宋体"/>
                <w:color w:val="auto"/>
                <w:sz w:val="24"/>
                <w:szCs w:val="24"/>
                <w:highlight w:val="none"/>
                <w:u w:val="none"/>
                <w:lang w:eastAsia="zh-CN"/>
              </w:rPr>
            </w:pPr>
            <w:r>
              <w:rPr>
                <w:rFonts w:ascii="宋体" w:hAnsi="宋体" w:eastAsia="宋体" w:cs="宋体"/>
                <w:color w:val="auto"/>
                <w:sz w:val="24"/>
                <w:szCs w:val="24"/>
                <w:highlight w:val="none"/>
                <w:u w:val="none"/>
              </w:rPr>
              <w:t>化妆品生产经营者未按照规定贮存、运输化妆品</w:t>
            </w:r>
          </w:p>
        </w:tc>
        <w:tc>
          <w:tcPr>
            <w:tcW w:w="4111" w:type="dxa"/>
            <w:shd w:val="clear" w:color="auto" w:fill="auto"/>
            <w:tcMar>
              <w:top w:w="0" w:type="dxa"/>
              <w:left w:w="105" w:type="dxa"/>
              <w:bottom w:w="0" w:type="dxa"/>
              <w:right w:w="105" w:type="dxa"/>
            </w:tcMar>
            <w:vAlign w:val="center"/>
          </w:tcPr>
          <w:p w14:paraId="3961B9FD">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1</w:t>
            </w:r>
            <w:r>
              <w:rPr>
                <w:rFonts w:hint="eastAsia" w:ascii="宋体" w:hAnsi="宋体" w:eastAsia="宋体" w:cs="宋体"/>
                <w:color w:val="auto"/>
                <w:kern w:val="0"/>
                <w:sz w:val="24"/>
                <w:szCs w:val="24"/>
                <w:highlight w:val="none"/>
                <w:u w:val="none"/>
                <w14:ligatures w14:val="none"/>
              </w:rPr>
              <w:t>.</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3CD3BCDB">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2</w:t>
            </w:r>
            <w:r>
              <w:rPr>
                <w:rFonts w:ascii="宋体" w:hAnsi="宋体" w:eastAsia="宋体" w:cs="宋体"/>
                <w:color w:val="auto"/>
                <w:kern w:val="0"/>
                <w:sz w:val="24"/>
                <w:szCs w:val="24"/>
                <w:highlight w:val="none"/>
                <w:u w:val="none"/>
                <w14:ligatures w14:val="none"/>
              </w:rPr>
              <w:t>.未造成危害后果。</w:t>
            </w:r>
          </w:p>
        </w:tc>
        <w:tc>
          <w:tcPr>
            <w:tcW w:w="4677" w:type="dxa"/>
            <w:shd w:val="clear" w:color="auto" w:fill="auto"/>
            <w:tcMar>
              <w:top w:w="0" w:type="dxa"/>
              <w:left w:w="105" w:type="dxa"/>
              <w:bottom w:w="0" w:type="dxa"/>
              <w:right w:w="105" w:type="dxa"/>
            </w:tcMar>
            <w:vAlign w:val="center"/>
          </w:tcPr>
          <w:p w14:paraId="6514BC0E">
            <w:pPr>
              <w:widowControl/>
              <w:jc w:val="left"/>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《化妆品监督管理条例》第</w:t>
            </w:r>
            <w:r>
              <w:rPr>
                <w:rFonts w:hint="eastAsia" w:ascii="宋体" w:hAnsi="宋体" w:eastAsia="宋体" w:cs="宋体"/>
                <w:color w:val="auto"/>
                <w:kern w:val="0"/>
                <w:sz w:val="24"/>
                <w:szCs w:val="24"/>
                <w:highlight w:val="none"/>
                <w:u w:val="none"/>
                <w14:ligatures w14:val="none"/>
              </w:rPr>
              <w:t>六</w:t>
            </w:r>
            <w:r>
              <w:rPr>
                <w:rFonts w:ascii="宋体" w:hAnsi="宋体" w:eastAsia="宋体" w:cs="宋体"/>
                <w:color w:val="auto"/>
                <w:kern w:val="0"/>
                <w:sz w:val="24"/>
                <w:szCs w:val="24"/>
                <w:highlight w:val="none"/>
                <w:u w:val="none"/>
                <w14:ligatures w14:val="none"/>
              </w:rPr>
              <w:t>十二条</w:t>
            </w:r>
            <w:r>
              <w:rPr>
                <w:rFonts w:hint="eastAsia" w:ascii="宋体" w:hAnsi="宋体" w:eastAsia="宋体" w:cs="宋体"/>
                <w:color w:val="auto"/>
                <w:kern w:val="0"/>
                <w:sz w:val="24"/>
                <w:szCs w:val="24"/>
                <w:highlight w:val="none"/>
                <w:u w:val="none"/>
                <w14:ligatures w14:val="none"/>
              </w:rPr>
              <w:t>第一款第四项：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四）未依照本条例规定贮存、运输化妆品；</w:t>
            </w:r>
          </w:p>
        </w:tc>
        <w:tc>
          <w:tcPr>
            <w:tcW w:w="1418" w:type="dxa"/>
            <w:vAlign w:val="center"/>
          </w:tcPr>
          <w:p w14:paraId="5A3F2F7E">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62164AA5">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市级</w:t>
            </w:r>
            <w:r>
              <w:rPr>
                <w:rFonts w:ascii="宋体" w:hAnsi="宋体" w:eastAsia="宋体" w:cs="宋体"/>
                <w:color w:val="auto"/>
                <w:sz w:val="24"/>
                <w:szCs w:val="24"/>
                <w:highlight w:val="none"/>
                <w:u w:val="none"/>
                <w14:ligatures w14:val="none"/>
              </w:rPr>
              <w:t>,区级</w:t>
            </w:r>
          </w:p>
        </w:tc>
      </w:tr>
      <w:tr w14:paraId="5DF3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5" w:hRule="atLeast"/>
          <w:jc w:val="center"/>
        </w:trPr>
        <w:tc>
          <w:tcPr>
            <w:tcW w:w="814" w:type="dxa"/>
            <w:shd w:val="clear" w:color="auto" w:fill="auto"/>
            <w:tcMar>
              <w:top w:w="0" w:type="dxa"/>
              <w:left w:w="105" w:type="dxa"/>
              <w:bottom w:w="0" w:type="dxa"/>
              <w:right w:w="105" w:type="dxa"/>
            </w:tcMar>
            <w:vAlign w:val="center"/>
          </w:tcPr>
          <w:p w14:paraId="680AB649">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15</w:t>
            </w:r>
          </w:p>
        </w:tc>
        <w:tc>
          <w:tcPr>
            <w:tcW w:w="2410" w:type="dxa"/>
            <w:shd w:val="clear" w:color="auto" w:fill="auto"/>
            <w:tcMar>
              <w:top w:w="0" w:type="dxa"/>
              <w:left w:w="105" w:type="dxa"/>
              <w:bottom w:w="0" w:type="dxa"/>
              <w:right w:w="105" w:type="dxa"/>
            </w:tcMar>
            <w:vAlign w:val="center"/>
          </w:tcPr>
          <w:p w14:paraId="35D2879D">
            <w:pPr>
              <w:widowControl/>
              <w:spacing w:after="225" w:line="285" w:lineRule="atLeast"/>
              <w:jc w:val="left"/>
              <w:textAlignment w:val="center"/>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 xml:space="preserve"> 化妆品注册人、备案人、受托生产企业违反国家化妆品生产质量管理规范检查要点中的一般项目规定</w:t>
            </w:r>
          </w:p>
        </w:tc>
        <w:tc>
          <w:tcPr>
            <w:tcW w:w="4111" w:type="dxa"/>
            <w:shd w:val="clear" w:color="auto" w:fill="auto"/>
            <w:tcMar>
              <w:top w:w="0" w:type="dxa"/>
              <w:left w:w="105" w:type="dxa"/>
              <w:bottom w:w="0" w:type="dxa"/>
              <w:right w:w="105" w:type="dxa"/>
            </w:tcMar>
            <w:vAlign w:val="center"/>
          </w:tcPr>
          <w:p w14:paraId="1535CB80">
            <w:pPr>
              <w:widowControl/>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14:ligatures w14:val="none"/>
              </w:rPr>
              <w:t>1.违法行为轻微；</w:t>
            </w:r>
          </w:p>
          <w:p w14:paraId="1E4C89E9">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196888BB">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3</w:t>
            </w:r>
            <w:r>
              <w:rPr>
                <w:rFonts w:ascii="宋体" w:hAnsi="宋体" w:eastAsia="宋体" w:cs="宋体"/>
                <w:color w:val="auto"/>
                <w:kern w:val="0"/>
                <w:sz w:val="24"/>
                <w:szCs w:val="24"/>
                <w:highlight w:val="none"/>
                <w:u w:val="none"/>
                <w14:ligatures w14:val="none"/>
              </w:rPr>
              <w:t>.未造成危害后果。</w:t>
            </w:r>
          </w:p>
        </w:tc>
        <w:tc>
          <w:tcPr>
            <w:tcW w:w="4677" w:type="dxa"/>
            <w:shd w:val="clear" w:color="auto" w:fill="auto"/>
            <w:tcMar>
              <w:top w:w="0" w:type="dxa"/>
              <w:left w:w="105" w:type="dxa"/>
              <w:bottom w:w="0" w:type="dxa"/>
              <w:right w:w="105" w:type="dxa"/>
            </w:tcMar>
            <w:vAlign w:val="center"/>
          </w:tcPr>
          <w:p w14:paraId="34665563">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化妆品生产经营监督管理办法》第五十九条第二款：监督检查中发现化妆品注册人、备案人、受托生产企业违反国家化妆品生产质量管理规范检查要点中一般项目规定，违法行为轻微并及时改正，没有造成危害后果的，不予行政处罚。</w:t>
            </w:r>
          </w:p>
        </w:tc>
        <w:tc>
          <w:tcPr>
            <w:tcW w:w="1418" w:type="dxa"/>
            <w:vAlign w:val="center"/>
          </w:tcPr>
          <w:p w14:paraId="3A8AA8F6">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0B7E2E86">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市级</w:t>
            </w:r>
            <w:r>
              <w:rPr>
                <w:rFonts w:ascii="宋体" w:hAnsi="宋体" w:eastAsia="宋体" w:cs="宋体"/>
                <w:color w:val="auto"/>
                <w:sz w:val="24"/>
                <w:szCs w:val="24"/>
                <w:highlight w:val="none"/>
                <w:u w:val="none"/>
                <w14:ligatures w14:val="none"/>
              </w:rPr>
              <w:t>,区级</w:t>
            </w:r>
          </w:p>
        </w:tc>
      </w:tr>
      <w:tr w14:paraId="7134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0" w:hRule="atLeast"/>
          <w:jc w:val="center"/>
        </w:trPr>
        <w:tc>
          <w:tcPr>
            <w:tcW w:w="814" w:type="dxa"/>
            <w:shd w:val="clear" w:color="auto" w:fill="auto"/>
            <w:tcMar>
              <w:top w:w="0" w:type="dxa"/>
              <w:left w:w="105" w:type="dxa"/>
              <w:bottom w:w="0" w:type="dxa"/>
              <w:right w:w="105" w:type="dxa"/>
            </w:tcMar>
            <w:vAlign w:val="center"/>
          </w:tcPr>
          <w:p w14:paraId="26BEB275">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16</w:t>
            </w:r>
          </w:p>
        </w:tc>
        <w:tc>
          <w:tcPr>
            <w:tcW w:w="2410" w:type="dxa"/>
            <w:shd w:val="clear" w:color="auto" w:fill="auto"/>
            <w:tcMar>
              <w:top w:w="0" w:type="dxa"/>
              <w:left w:w="105" w:type="dxa"/>
              <w:bottom w:w="0" w:type="dxa"/>
              <w:right w:w="105" w:type="dxa"/>
            </w:tcMar>
            <w:vAlign w:val="center"/>
          </w:tcPr>
          <w:p w14:paraId="75913427">
            <w:pPr>
              <w:widowControl/>
              <w:spacing w:after="225" w:line="285" w:lineRule="atLeast"/>
              <w:jc w:val="left"/>
              <w:textAlignment w:val="center"/>
              <w:rPr>
                <w:rFonts w:hint="eastAsia" w:ascii="仿宋_GB2312" w:hAnsi="宋体" w:eastAsia="宋体" w:cs="宋体"/>
                <w:color w:val="auto"/>
                <w:kern w:val="0"/>
                <w:sz w:val="24"/>
                <w:szCs w:val="24"/>
                <w:highlight w:val="none"/>
                <w:u w:val="none"/>
                <w:lang w:eastAsia="zh-CN"/>
                <w14:ligatures w14:val="none"/>
              </w:rPr>
            </w:pPr>
            <w:r>
              <w:rPr>
                <w:rFonts w:ascii="宋体" w:hAnsi="宋体" w:eastAsia="宋体" w:cs="宋体"/>
                <w:color w:val="auto"/>
                <w:sz w:val="24"/>
                <w:szCs w:val="24"/>
                <w:highlight w:val="none"/>
                <w:u w:val="none"/>
              </w:rPr>
              <w:t>化妆品备案人未按照规定更新普通化妆品备案信息</w:t>
            </w:r>
          </w:p>
        </w:tc>
        <w:tc>
          <w:tcPr>
            <w:tcW w:w="4111" w:type="dxa"/>
            <w:shd w:val="clear" w:color="auto" w:fill="auto"/>
            <w:tcMar>
              <w:top w:w="0" w:type="dxa"/>
              <w:left w:w="105" w:type="dxa"/>
              <w:bottom w:w="0" w:type="dxa"/>
              <w:right w:w="105" w:type="dxa"/>
            </w:tcMar>
            <w:vAlign w:val="center"/>
          </w:tcPr>
          <w:p w14:paraId="2C09A6E6">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1</w:t>
            </w:r>
            <w:r>
              <w:rPr>
                <w:rFonts w:hint="eastAsia" w:ascii="宋体" w:hAnsi="宋体" w:eastAsia="宋体" w:cs="宋体"/>
                <w:color w:val="auto"/>
                <w:kern w:val="0"/>
                <w:sz w:val="24"/>
                <w:szCs w:val="24"/>
                <w:highlight w:val="none"/>
                <w:u w:val="none"/>
                <w14:ligatures w14:val="none"/>
              </w:rPr>
              <w:t>.</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5601F568">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2</w:t>
            </w:r>
            <w:r>
              <w:rPr>
                <w:rFonts w:ascii="宋体" w:hAnsi="宋体" w:eastAsia="宋体" w:cs="宋体"/>
                <w:color w:val="auto"/>
                <w:kern w:val="0"/>
                <w:sz w:val="24"/>
                <w:szCs w:val="24"/>
                <w:highlight w:val="none"/>
                <w:u w:val="none"/>
                <w14:ligatures w14:val="none"/>
              </w:rPr>
              <w:t>.未造成危害后果。</w:t>
            </w:r>
          </w:p>
        </w:tc>
        <w:tc>
          <w:tcPr>
            <w:tcW w:w="4677" w:type="dxa"/>
            <w:shd w:val="clear" w:color="auto" w:fill="auto"/>
            <w:tcMar>
              <w:top w:w="0" w:type="dxa"/>
              <w:left w:w="105" w:type="dxa"/>
              <w:bottom w:w="0" w:type="dxa"/>
              <w:right w:w="105" w:type="dxa"/>
            </w:tcMar>
            <w:vAlign w:val="center"/>
          </w:tcPr>
          <w:p w14:paraId="7804E863">
            <w:pPr>
              <w:widowControl/>
              <w:jc w:val="left"/>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《化妆品注册备案管理办法》第五十六条</w:t>
            </w:r>
            <w:r>
              <w:rPr>
                <w:rFonts w:hint="eastAsia" w:ascii="宋体" w:hAnsi="宋体" w:eastAsia="宋体" w:cs="宋体"/>
                <w:color w:val="auto"/>
                <w:kern w:val="0"/>
                <w:sz w:val="24"/>
                <w:szCs w:val="24"/>
                <w:highlight w:val="none"/>
                <w:u w:val="none"/>
                <w14:ligatures w14:val="none"/>
              </w:rPr>
              <w:t>第二款：化妆品、化妆品新原料备案人未按照本办法规定更新普通化妆品、化妆品新原料备案信息的，由承担备案管理工作的药品监督管理部门责令改正，给予警告，处</w:t>
            </w:r>
            <w:r>
              <w:rPr>
                <w:rFonts w:ascii="宋体" w:hAnsi="宋体" w:eastAsia="宋体" w:cs="宋体"/>
                <w:color w:val="auto"/>
                <w:kern w:val="0"/>
                <w:sz w:val="24"/>
                <w:szCs w:val="24"/>
                <w:highlight w:val="none"/>
                <w:u w:val="none"/>
                <w14:ligatures w14:val="none"/>
              </w:rPr>
              <w:t>5000</w:t>
            </w:r>
            <w:r>
              <w:rPr>
                <w:rFonts w:hint="eastAsia" w:ascii="宋体" w:hAnsi="宋体" w:eastAsia="宋体" w:cs="宋体"/>
                <w:color w:val="auto"/>
                <w:kern w:val="0"/>
                <w:sz w:val="24"/>
                <w:szCs w:val="24"/>
                <w:highlight w:val="none"/>
                <w:u w:val="none"/>
                <w14:ligatures w14:val="none"/>
              </w:rPr>
              <w:t>元以上</w:t>
            </w:r>
            <w:r>
              <w:rPr>
                <w:rFonts w:ascii="宋体" w:hAnsi="宋体" w:eastAsia="宋体" w:cs="宋体"/>
                <w:color w:val="auto"/>
                <w:kern w:val="0"/>
                <w:sz w:val="24"/>
                <w:szCs w:val="24"/>
                <w:highlight w:val="none"/>
                <w:u w:val="none"/>
                <w14:ligatures w14:val="none"/>
              </w:rPr>
              <w:t>3</w:t>
            </w:r>
            <w:r>
              <w:rPr>
                <w:rFonts w:hint="eastAsia" w:ascii="宋体" w:hAnsi="宋体" w:eastAsia="宋体" w:cs="宋体"/>
                <w:color w:val="auto"/>
                <w:kern w:val="0"/>
                <w:sz w:val="24"/>
                <w:szCs w:val="24"/>
                <w:highlight w:val="none"/>
                <w:u w:val="none"/>
                <w14:ligatures w14:val="none"/>
              </w:rPr>
              <w:t>万元以下罚款。</w:t>
            </w:r>
          </w:p>
        </w:tc>
        <w:tc>
          <w:tcPr>
            <w:tcW w:w="1418" w:type="dxa"/>
            <w:vAlign w:val="center"/>
          </w:tcPr>
          <w:p w14:paraId="21F3BB5B">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5A050953">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r>
              <w:rPr>
                <w:rFonts w:ascii="宋体" w:hAnsi="宋体" w:eastAsia="宋体" w:cs="宋体"/>
                <w:color w:val="auto"/>
                <w:kern w:val="0"/>
                <w:sz w:val="24"/>
                <w:szCs w:val="24"/>
                <w:highlight w:val="none"/>
                <w:u w:val="none"/>
                <w14:ligatures w14:val="none"/>
              </w:rPr>
              <w:t>,区级</w:t>
            </w:r>
          </w:p>
        </w:tc>
      </w:tr>
    </w:tbl>
    <w:p w14:paraId="05534E86">
      <w:pPr>
        <w:rPr>
          <w:color w:val="auto"/>
          <w:highlight w:val="none"/>
          <w:u w:val="none"/>
        </w:rPr>
      </w:pPr>
    </w:p>
    <w:p w14:paraId="05A34653">
      <w:pPr>
        <w:widowControl/>
        <w:jc w:val="left"/>
        <w:rPr>
          <w:color w:val="auto"/>
          <w:highlight w:val="none"/>
          <w:u w:val="none"/>
        </w:rPr>
      </w:pPr>
    </w:p>
    <w:p w14:paraId="7D401F14">
      <w:pPr>
        <w:widowControl/>
        <w:jc w:val="left"/>
        <w:rPr>
          <w:color w:val="auto"/>
          <w:highlight w:val="none"/>
          <w:u w:val="none"/>
        </w:rPr>
      </w:pPr>
    </w:p>
    <w:p w14:paraId="2D48383F">
      <w:pPr>
        <w:widowControl/>
        <w:numPr>
          <w:ilvl w:val="0"/>
          <w:numId w:val="2"/>
        </w:numPr>
        <w:ind w:left="710" w:leftChars="0" w:firstLine="0" w:firstLineChars="0"/>
        <w:jc w:val="left"/>
        <w:rPr>
          <w:rFonts w:hint="eastAsia" w:ascii="黑体" w:hAnsi="黑体" w:eastAsia="黑体"/>
          <w:b/>
          <w:bCs/>
          <w:color w:val="auto"/>
          <w:sz w:val="32"/>
          <w:szCs w:val="32"/>
          <w:highlight w:val="none"/>
          <w:u w:val="none"/>
        </w:rPr>
      </w:pPr>
      <w:r>
        <w:rPr>
          <w:color w:val="auto"/>
          <w:highlight w:val="none"/>
          <w:u w:val="none"/>
        </w:rPr>
        <w:br w:type="page"/>
      </w:r>
      <w:r>
        <w:rPr>
          <w:rFonts w:hint="eastAsia" w:ascii="黑体" w:hAnsi="黑体" w:eastAsia="黑体"/>
          <w:b/>
          <w:bCs/>
          <w:color w:val="auto"/>
          <w:sz w:val="32"/>
          <w:szCs w:val="32"/>
          <w:highlight w:val="none"/>
          <w:u w:val="none"/>
        </w:rPr>
        <w:t>存在下列情形，初次违法且危害后果轻微并及时改正的，可以不予行政处罚。</w:t>
      </w:r>
    </w:p>
    <w:tbl>
      <w:tblPr>
        <w:tblStyle w:val="5"/>
        <w:tblpPr w:leftFromText="180" w:rightFromText="180" w:vertAnchor="text" w:tblpXSpec="center" w:tblpY="1"/>
        <w:tblOverlap w:val="never"/>
        <w:tblW w:w="14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4"/>
        <w:gridCol w:w="2410"/>
        <w:gridCol w:w="3907"/>
        <w:gridCol w:w="5091"/>
        <w:gridCol w:w="1536"/>
        <w:gridCol w:w="948"/>
      </w:tblGrid>
      <w:tr w14:paraId="3E24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814" w:type="dxa"/>
            <w:shd w:val="clear" w:color="auto" w:fill="auto"/>
            <w:tcMar>
              <w:top w:w="0" w:type="dxa"/>
              <w:left w:w="105" w:type="dxa"/>
              <w:bottom w:w="0" w:type="dxa"/>
              <w:right w:w="105" w:type="dxa"/>
            </w:tcMar>
            <w:vAlign w:val="center"/>
          </w:tcPr>
          <w:p w14:paraId="2D571C8B">
            <w:pPr>
              <w:widowControl/>
              <w:spacing w:after="225" w:line="285" w:lineRule="atLeast"/>
              <w:jc w:val="center"/>
              <w:textAlignment w:val="center"/>
              <w:rPr>
                <w:rFonts w:hint="default" w:ascii="宋体" w:hAnsi="宋体" w:eastAsia="宋体" w:cs="宋体"/>
                <w:color w:val="auto"/>
                <w:kern w:val="0"/>
                <w:sz w:val="24"/>
                <w:szCs w:val="24"/>
                <w:highlight w:val="none"/>
                <w:u w:val="none"/>
                <w:lang w:val="en-US" w:eastAsia="zh-CN"/>
                <w14:ligatures w14:val="none"/>
              </w:rPr>
            </w:pPr>
            <w:r>
              <w:rPr>
                <w:rFonts w:hint="eastAsia" w:ascii="仿宋_GB2312" w:hAnsi="宋体" w:eastAsia="仿宋_GB2312" w:cs="宋体"/>
                <w:b/>
                <w:bCs/>
                <w:color w:val="auto"/>
                <w:kern w:val="0"/>
                <w:sz w:val="24"/>
                <w:szCs w:val="24"/>
                <w:highlight w:val="none"/>
                <w:u w:val="none"/>
                <w:lang w:val="en-US" w:eastAsia="zh-CN"/>
                <w14:ligatures w14:val="none"/>
              </w:rPr>
              <w:t>序号</w:t>
            </w:r>
          </w:p>
        </w:tc>
        <w:tc>
          <w:tcPr>
            <w:tcW w:w="2410" w:type="dxa"/>
            <w:shd w:val="clear" w:color="auto" w:fill="auto"/>
            <w:tcMar>
              <w:top w:w="0" w:type="dxa"/>
              <w:left w:w="105" w:type="dxa"/>
              <w:bottom w:w="0" w:type="dxa"/>
              <w:right w:w="105" w:type="dxa"/>
            </w:tcMar>
            <w:vAlign w:val="center"/>
          </w:tcPr>
          <w:p w14:paraId="04F1F6A0">
            <w:pPr>
              <w:widowControl/>
              <w:jc w:val="center"/>
              <w:textAlignment w:val="center"/>
              <w:rPr>
                <w:rFonts w:hint="default" w:ascii="宋体" w:hAnsi="宋体" w:eastAsia="宋体" w:cs="宋体"/>
                <w:color w:val="auto"/>
                <w:sz w:val="24"/>
                <w:szCs w:val="24"/>
                <w:highlight w:val="none"/>
                <w:u w:val="none"/>
                <w:lang w:val="en-US" w:eastAsia="zh-CN"/>
                <w14:ligatures w14:val="none"/>
              </w:rPr>
            </w:pPr>
            <w:r>
              <w:rPr>
                <w:rFonts w:hint="eastAsia" w:ascii="仿宋_GB2312" w:hAnsi="宋体" w:eastAsia="仿宋_GB2312" w:cs="宋体"/>
                <w:b/>
                <w:bCs/>
                <w:color w:val="auto"/>
                <w:kern w:val="0"/>
                <w:sz w:val="24"/>
                <w:szCs w:val="24"/>
                <w:highlight w:val="none"/>
                <w:u w:val="none"/>
                <w:lang w:val="en-US" w:eastAsia="zh-CN"/>
                <w14:ligatures w14:val="none"/>
              </w:rPr>
              <w:t>违法行为</w:t>
            </w:r>
          </w:p>
        </w:tc>
        <w:tc>
          <w:tcPr>
            <w:tcW w:w="3907" w:type="dxa"/>
            <w:shd w:val="clear" w:color="auto" w:fill="auto"/>
            <w:tcMar>
              <w:top w:w="0" w:type="dxa"/>
              <w:left w:w="105" w:type="dxa"/>
              <w:bottom w:w="0" w:type="dxa"/>
              <w:right w:w="105" w:type="dxa"/>
            </w:tcMar>
            <w:vAlign w:val="center"/>
          </w:tcPr>
          <w:p w14:paraId="509D921F">
            <w:pPr>
              <w:widowControl/>
              <w:jc w:val="center"/>
              <w:textAlignment w:val="center"/>
              <w:rPr>
                <w:rFonts w:hint="eastAsia" w:ascii="宋体" w:hAnsi="宋体" w:eastAsia="宋体" w:cs="宋体"/>
                <w:color w:val="auto"/>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lang w:val="en-US" w:eastAsia="zh-CN"/>
                <w14:ligatures w14:val="none"/>
              </w:rPr>
              <w:t>不予</w:t>
            </w:r>
            <w:r>
              <w:rPr>
                <w:rFonts w:hint="eastAsia" w:ascii="仿宋_GB2312" w:hAnsi="宋体" w:eastAsia="仿宋_GB2312" w:cs="宋体"/>
                <w:b/>
                <w:bCs/>
                <w:color w:val="auto"/>
                <w:kern w:val="0"/>
                <w:sz w:val="24"/>
                <w:szCs w:val="24"/>
                <w:highlight w:val="none"/>
                <w:u w:val="none"/>
                <w14:ligatures w14:val="none"/>
              </w:rPr>
              <w:t>处罚应同时符合以下条件</w:t>
            </w:r>
          </w:p>
        </w:tc>
        <w:tc>
          <w:tcPr>
            <w:tcW w:w="5091" w:type="dxa"/>
            <w:shd w:val="clear" w:color="auto" w:fill="auto"/>
            <w:tcMar>
              <w:top w:w="0" w:type="dxa"/>
              <w:left w:w="105" w:type="dxa"/>
              <w:bottom w:w="0" w:type="dxa"/>
              <w:right w:w="105" w:type="dxa"/>
            </w:tcMar>
            <w:vAlign w:val="center"/>
          </w:tcPr>
          <w:p w14:paraId="2390D1BB">
            <w:pPr>
              <w:widowControl/>
              <w:jc w:val="center"/>
              <w:textAlignment w:val="center"/>
              <w:rPr>
                <w:rFonts w:hint="eastAsia" w:ascii="宋体" w:hAnsi="宋体" w:eastAsia="宋体" w:cs="宋体"/>
                <w:color w:val="auto"/>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14:ligatures w14:val="none"/>
              </w:rPr>
              <w:t>实施依据</w:t>
            </w:r>
          </w:p>
        </w:tc>
        <w:tc>
          <w:tcPr>
            <w:tcW w:w="1536" w:type="dxa"/>
            <w:vAlign w:val="center"/>
          </w:tcPr>
          <w:p w14:paraId="672B0564">
            <w:pPr>
              <w:widowControl/>
              <w:jc w:val="center"/>
              <w:textAlignment w:val="center"/>
              <w:rPr>
                <w:rFonts w:hint="eastAsia" w:ascii="宋体" w:hAnsi="宋体" w:eastAsia="宋体" w:cs="宋体"/>
                <w:color w:val="auto"/>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14:ligatures w14:val="none"/>
              </w:rPr>
              <w:t>管理措施</w:t>
            </w:r>
          </w:p>
        </w:tc>
        <w:tc>
          <w:tcPr>
            <w:tcW w:w="948" w:type="dxa"/>
            <w:shd w:val="clear" w:color="auto" w:fill="auto"/>
            <w:tcMar>
              <w:top w:w="0" w:type="dxa"/>
              <w:left w:w="105" w:type="dxa"/>
              <w:bottom w:w="0" w:type="dxa"/>
              <w:right w:w="105" w:type="dxa"/>
            </w:tcMar>
            <w:vAlign w:val="center"/>
          </w:tcPr>
          <w:p w14:paraId="17D46582">
            <w:pPr>
              <w:widowControl/>
              <w:jc w:val="center"/>
              <w:textAlignment w:val="center"/>
              <w:rPr>
                <w:rFonts w:hint="eastAsia" w:ascii="宋体" w:hAnsi="宋体" w:eastAsia="宋体" w:cs="宋体"/>
                <w:color w:val="auto"/>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14:ligatures w14:val="none"/>
              </w:rPr>
              <w:t>行使层级</w:t>
            </w:r>
          </w:p>
        </w:tc>
      </w:tr>
      <w:tr w14:paraId="6F0B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814" w:type="dxa"/>
            <w:shd w:val="clear" w:color="auto" w:fill="auto"/>
            <w:tcMar>
              <w:top w:w="0" w:type="dxa"/>
              <w:left w:w="105" w:type="dxa"/>
              <w:bottom w:w="0" w:type="dxa"/>
              <w:right w:w="105" w:type="dxa"/>
            </w:tcMar>
            <w:vAlign w:val="center"/>
          </w:tcPr>
          <w:p w14:paraId="46A041A9">
            <w:pPr>
              <w:widowControl/>
              <w:spacing w:after="225" w:line="285" w:lineRule="atLeast"/>
              <w:jc w:val="center"/>
              <w:textAlignment w:val="center"/>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lang w:val="en-US" w:eastAsia="zh-CN"/>
                <w14:ligatures w14:val="none"/>
              </w:rPr>
              <w:t>1</w:t>
            </w:r>
          </w:p>
        </w:tc>
        <w:tc>
          <w:tcPr>
            <w:tcW w:w="2410" w:type="dxa"/>
            <w:shd w:val="clear" w:color="auto" w:fill="auto"/>
            <w:tcMar>
              <w:top w:w="0" w:type="dxa"/>
              <w:left w:w="105" w:type="dxa"/>
              <w:bottom w:w="0" w:type="dxa"/>
              <w:right w:w="105" w:type="dxa"/>
            </w:tcMar>
            <w:vAlign w:val="center"/>
          </w:tcPr>
          <w:p w14:paraId="643D8466">
            <w:pPr>
              <w:widowControl/>
              <w:jc w:val="center"/>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14:ligatures w14:val="none"/>
              </w:rPr>
              <w:t>药品上市许可持有人未按照规定开展药品不良反应监测或者报告疑似药品不良反应</w:t>
            </w:r>
          </w:p>
        </w:tc>
        <w:tc>
          <w:tcPr>
            <w:tcW w:w="3907" w:type="dxa"/>
            <w:shd w:val="clear" w:color="auto" w:fill="auto"/>
            <w:tcMar>
              <w:top w:w="0" w:type="dxa"/>
              <w:left w:w="105" w:type="dxa"/>
              <w:bottom w:w="0" w:type="dxa"/>
              <w:right w:w="105" w:type="dxa"/>
            </w:tcMar>
            <w:vAlign w:val="center"/>
          </w:tcPr>
          <w:p w14:paraId="656ADDB0">
            <w:pPr>
              <w:widowControl/>
              <w:jc w:val="left"/>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1.自行改正，或在行政机关责令改正的期限内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319DCC17">
            <w:pPr>
              <w:widowControl/>
              <w:jc w:val="left"/>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2.未造成危害后果。</w:t>
            </w:r>
          </w:p>
          <w:p w14:paraId="2FA5FFA4">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3.适用于企业已建立不良反应监测制度，但是存在漏报的情形。</w:t>
            </w:r>
          </w:p>
          <w:p w14:paraId="76CBEB60">
            <w:pPr>
              <w:widowControl/>
              <w:jc w:val="left"/>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14:ligatures w14:val="none"/>
              </w:rPr>
              <w:t>4.初次违法且危害后果轻微并及时改正。</w:t>
            </w:r>
          </w:p>
        </w:tc>
        <w:tc>
          <w:tcPr>
            <w:tcW w:w="5091" w:type="dxa"/>
            <w:shd w:val="clear" w:color="auto" w:fill="auto"/>
            <w:tcMar>
              <w:top w:w="0" w:type="dxa"/>
              <w:left w:w="105" w:type="dxa"/>
              <w:bottom w:w="0" w:type="dxa"/>
              <w:right w:w="105" w:type="dxa"/>
            </w:tcMar>
            <w:vAlign w:val="center"/>
          </w:tcPr>
          <w:p w14:paraId="03E7FCF5">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中华人民共和国药品管理法》第一百三十四条第一款：药品上市许可持有人未按照规定开展药品不良反应监测或者报告疑似药品不良反应的，责令限期改正，给予警告；逾期不改正的，责令停产停业整顿，并处十万元以上一百万元以下的罚款。</w:t>
            </w:r>
          </w:p>
          <w:p w14:paraId="194B50EA">
            <w:pPr>
              <w:widowControl/>
              <w:ind w:firstLine="480" w:firstLineChars="0"/>
              <w:jc w:val="left"/>
              <w:rPr>
                <w:rFonts w:hint="eastAsia" w:ascii="宋体" w:hAnsi="宋体" w:eastAsia="宋体" w:cs="宋体"/>
                <w:color w:val="auto"/>
                <w:kern w:val="0"/>
                <w:sz w:val="24"/>
                <w:szCs w:val="24"/>
                <w:highlight w:val="none"/>
                <w:u w:val="none"/>
                <w:lang w:val="en-US" w:eastAsia="zh-CN" w:bidi="ar-SA"/>
                <w14:ligatures w14:val="none"/>
              </w:rPr>
            </w:pPr>
          </w:p>
        </w:tc>
        <w:tc>
          <w:tcPr>
            <w:tcW w:w="1536" w:type="dxa"/>
            <w:vAlign w:val="center"/>
          </w:tcPr>
          <w:p w14:paraId="5E73CBEA">
            <w:pPr>
              <w:widowControl/>
              <w:jc w:val="center"/>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948" w:type="dxa"/>
            <w:shd w:val="clear" w:color="auto" w:fill="auto"/>
            <w:tcMar>
              <w:top w:w="0" w:type="dxa"/>
              <w:left w:w="105" w:type="dxa"/>
              <w:bottom w:w="0" w:type="dxa"/>
              <w:right w:w="105" w:type="dxa"/>
            </w:tcMar>
            <w:vAlign w:val="center"/>
          </w:tcPr>
          <w:p w14:paraId="1B006C9C">
            <w:pPr>
              <w:widowControl/>
              <w:jc w:val="center"/>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sz w:val="24"/>
                <w:szCs w:val="24"/>
                <w:highlight w:val="none"/>
                <w:u w:val="none"/>
                <w14:ligatures w14:val="none"/>
              </w:rPr>
              <w:t>市级</w:t>
            </w:r>
          </w:p>
        </w:tc>
      </w:tr>
      <w:tr w14:paraId="43A2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814" w:type="dxa"/>
            <w:shd w:val="clear" w:color="auto" w:fill="auto"/>
            <w:tcMar>
              <w:top w:w="0" w:type="dxa"/>
              <w:left w:w="105" w:type="dxa"/>
              <w:bottom w:w="0" w:type="dxa"/>
              <w:right w:w="105" w:type="dxa"/>
            </w:tcMar>
            <w:vAlign w:val="center"/>
          </w:tcPr>
          <w:p w14:paraId="0BD5C298">
            <w:pPr>
              <w:widowControl/>
              <w:spacing w:after="225" w:line="285" w:lineRule="atLeast"/>
              <w:jc w:val="center"/>
              <w:textAlignment w:val="center"/>
              <w:rPr>
                <w:rFonts w:hint="eastAsia" w:ascii="仿宋_GB2312" w:hAnsi="宋体" w:eastAsia="仿宋_GB2312" w:cs="宋体"/>
                <w:color w:val="auto"/>
                <w:kern w:val="0"/>
                <w:sz w:val="24"/>
                <w:szCs w:val="24"/>
                <w:highlight w:val="none"/>
                <w:u w:val="none"/>
                <w:lang w:val="en-US" w:eastAsia="zh-CN" w:bidi="ar-SA"/>
                <w14:ligatures w14:val="none"/>
              </w:rPr>
            </w:pPr>
            <w:r>
              <w:rPr>
                <w:rFonts w:hint="eastAsia" w:ascii="仿宋_GB2312" w:hAnsi="宋体" w:eastAsia="仿宋_GB2312" w:cs="宋体"/>
                <w:color w:val="auto"/>
                <w:kern w:val="0"/>
                <w:sz w:val="24"/>
                <w:szCs w:val="24"/>
                <w:highlight w:val="none"/>
                <w:u w:val="none"/>
                <w:lang w:val="en-US" w:eastAsia="zh-CN"/>
                <w14:ligatures w14:val="none"/>
              </w:rPr>
              <w:t>2</w:t>
            </w:r>
          </w:p>
        </w:tc>
        <w:tc>
          <w:tcPr>
            <w:tcW w:w="2410" w:type="dxa"/>
            <w:shd w:val="clear" w:color="auto" w:fill="auto"/>
            <w:tcMar>
              <w:top w:w="0" w:type="dxa"/>
              <w:left w:w="105" w:type="dxa"/>
              <w:bottom w:w="0" w:type="dxa"/>
              <w:right w:w="105" w:type="dxa"/>
            </w:tcMar>
            <w:vAlign w:val="center"/>
          </w:tcPr>
          <w:p w14:paraId="369B1534">
            <w:pPr>
              <w:widowControl/>
              <w:jc w:val="center"/>
              <w:rPr>
                <w:rFonts w:hint="eastAsia" w:ascii="宋体" w:hAnsi="宋体" w:eastAsia="宋体" w:cs="宋体"/>
                <w:color w:val="auto"/>
                <w:kern w:val="0"/>
                <w:sz w:val="24"/>
                <w:szCs w:val="24"/>
                <w:highlight w:val="none"/>
                <w:u w:val="none"/>
                <w:lang w:val="en-US" w:eastAsia="zh-CN" w:bidi="ar-SA"/>
                <w14:ligatures w14:val="none"/>
              </w:rPr>
            </w:pPr>
            <w:r>
              <w:rPr>
                <w:rFonts w:ascii="宋体" w:hAnsi="宋体" w:eastAsia="宋体" w:cs="宋体"/>
                <w:color w:val="auto"/>
                <w:kern w:val="0"/>
                <w:sz w:val="24"/>
                <w:szCs w:val="24"/>
                <w:highlight w:val="none"/>
                <w:u w:val="none"/>
                <w14:ligatures w14:val="none"/>
              </w:rPr>
              <w:t>药品生产企业未按照要求提交定期安全性更新报告</w:t>
            </w:r>
          </w:p>
        </w:tc>
        <w:tc>
          <w:tcPr>
            <w:tcW w:w="3907" w:type="dxa"/>
            <w:shd w:val="clear" w:color="auto" w:fill="auto"/>
            <w:tcMar>
              <w:top w:w="0" w:type="dxa"/>
              <w:left w:w="105" w:type="dxa"/>
              <w:bottom w:w="0" w:type="dxa"/>
              <w:right w:w="105" w:type="dxa"/>
            </w:tcMar>
            <w:vAlign w:val="center"/>
          </w:tcPr>
          <w:p w14:paraId="03C48DBC">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629513FE">
            <w:pPr>
              <w:widowControl/>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14:ligatures w14:val="none"/>
              </w:rPr>
              <w:t>2</w:t>
            </w:r>
            <w:r>
              <w:rPr>
                <w:rFonts w:ascii="宋体" w:hAnsi="宋体" w:eastAsia="宋体" w:cs="宋体"/>
                <w:color w:val="auto"/>
                <w:kern w:val="0"/>
                <w:sz w:val="24"/>
                <w:szCs w:val="24"/>
                <w:highlight w:val="none"/>
                <w:u w:val="none"/>
                <w14:ligatures w14:val="none"/>
              </w:rPr>
              <w:t>.未造成危害后果。</w:t>
            </w:r>
          </w:p>
          <w:p w14:paraId="5181BC63">
            <w:pPr>
              <w:widowControl/>
              <w:jc w:val="left"/>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14:ligatures w14:val="none"/>
              </w:rPr>
              <w:t>3.初次违法且危害后果轻微并及时改正。</w:t>
            </w:r>
          </w:p>
        </w:tc>
        <w:tc>
          <w:tcPr>
            <w:tcW w:w="5091" w:type="dxa"/>
            <w:shd w:val="clear" w:color="auto" w:fill="auto"/>
            <w:tcMar>
              <w:top w:w="0" w:type="dxa"/>
              <w:left w:w="105" w:type="dxa"/>
              <w:bottom w:w="0" w:type="dxa"/>
              <w:right w:w="105" w:type="dxa"/>
            </w:tcMar>
            <w:vAlign w:val="center"/>
          </w:tcPr>
          <w:p w14:paraId="7E8A883D">
            <w:pPr>
              <w:widowControl/>
              <w:wordWrap w:val="0"/>
              <w:jc w:val="left"/>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14:ligatures w14:val="none"/>
              </w:rPr>
              <w:t>《</w:t>
            </w:r>
            <w:r>
              <w:rPr>
                <w:rFonts w:ascii="宋体" w:hAnsi="宋体" w:eastAsia="宋体" w:cs="宋体"/>
                <w:color w:val="auto"/>
                <w:kern w:val="0"/>
                <w:sz w:val="24"/>
                <w:szCs w:val="24"/>
                <w:highlight w:val="none"/>
                <w:u w:val="none"/>
                <w14:ligatures w14:val="none"/>
              </w:rPr>
              <w:t>药品不良反应报告和监测管理办法</w:t>
            </w:r>
            <w:r>
              <w:rPr>
                <w:rFonts w:hint="eastAsia" w:ascii="宋体" w:hAnsi="宋体" w:eastAsia="宋体" w:cs="宋体"/>
                <w:color w:val="auto"/>
                <w:kern w:val="0"/>
                <w:sz w:val="24"/>
                <w:szCs w:val="24"/>
                <w:highlight w:val="none"/>
                <w:u w:val="none"/>
                <w14:ligatures w14:val="none"/>
              </w:rPr>
              <w:t>》</w:t>
            </w:r>
            <w:r>
              <w:rPr>
                <w:rFonts w:ascii="宋体" w:hAnsi="宋体" w:eastAsia="宋体" w:cs="宋体"/>
                <w:color w:val="auto"/>
                <w:kern w:val="0"/>
                <w:sz w:val="24"/>
                <w:szCs w:val="24"/>
                <w:highlight w:val="none"/>
                <w:u w:val="none"/>
                <w14:ligatures w14:val="none"/>
              </w:rPr>
              <w:t>第五十八条</w:t>
            </w:r>
            <w:r>
              <w:rPr>
                <w:rFonts w:hint="eastAsia" w:ascii="宋体" w:hAnsi="宋体" w:eastAsia="宋体" w:cs="宋体"/>
                <w:color w:val="auto"/>
                <w:kern w:val="0"/>
                <w:sz w:val="24"/>
                <w:szCs w:val="24"/>
                <w:highlight w:val="none"/>
                <w:u w:val="none"/>
                <w14:ligatures w14:val="none"/>
              </w:rPr>
              <w:t>第一款第四项：</w:t>
            </w:r>
            <w:r>
              <w:rPr>
                <w:rFonts w:ascii="宋体" w:hAnsi="宋体" w:eastAsia="宋体" w:cs="宋体"/>
                <w:color w:val="auto"/>
                <w:kern w:val="0"/>
                <w:sz w:val="24"/>
                <w:szCs w:val="24"/>
                <w:highlight w:val="none"/>
                <w:u w:val="none"/>
                <w14:ligatures w14:val="none"/>
              </w:rPr>
              <w:t>药品生产企业有下列情形之一的，由所在地药品监督管理部门给予警告，责令限期改正，可以并处五千元以上三万元以下的罚款：（四）未按照要求提交定期安全性更新报告的；</w:t>
            </w:r>
            <w:r>
              <w:rPr>
                <w:rFonts w:hint="eastAsia" w:ascii="宋体" w:hAnsi="宋体" w:eastAsia="宋体" w:cs="宋体"/>
                <w:color w:val="auto"/>
                <w:kern w:val="0"/>
                <w:sz w:val="24"/>
                <w:szCs w:val="24"/>
                <w:highlight w:val="none"/>
                <w:u w:val="none"/>
                <w14:ligatures w14:val="none"/>
              </w:rPr>
              <w:t xml:space="preserve"> 第二款：</w:t>
            </w:r>
            <w:r>
              <w:rPr>
                <w:rFonts w:ascii="宋体" w:hAnsi="宋体" w:eastAsia="宋体" w:cs="宋体"/>
                <w:color w:val="auto"/>
                <w:kern w:val="0"/>
                <w:sz w:val="24"/>
                <w:szCs w:val="24"/>
                <w:highlight w:val="none"/>
                <w:u w:val="none"/>
                <w14:ligatures w14:val="none"/>
              </w:rPr>
              <w:t>药品生产企业有前款规定第（四）项、第（五）项情形之一的，按照</w:t>
            </w:r>
            <w:r>
              <w:rPr>
                <w:color w:val="auto"/>
                <w:highlight w:val="none"/>
                <w:u w:val="none"/>
              </w:rPr>
              <w:fldChar w:fldCharType="begin"/>
            </w:r>
            <w:r>
              <w:rPr>
                <w:color w:val="auto"/>
                <w:highlight w:val="none"/>
                <w:u w:val="none"/>
              </w:rPr>
              <w:instrText xml:space="preserve"> HYPERLINK "https://ydzk.chineselaw.com/zxt/statuteDetail/detailPage/96517f6d04dd4e6eb1b4f6edf66f2282" \h </w:instrText>
            </w:r>
            <w:r>
              <w:rPr>
                <w:color w:val="auto"/>
                <w:highlight w:val="none"/>
                <w:u w:val="none"/>
              </w:rPr>
              <w:fldChar w:fldCharType="separate"/>
            </w:r>
            <w:r>
              <w:rPr>
                <w:rFonts w:ascii="宋体" w:hAnsi="宋体" w:eastAsia="宋体" w:cs="宋体"/>
                <w:color w:val="auto"/>
                <w:kern w:val="0"/>
                <w:sz w:val="24"/>
                <w:szCs w:val="24"/>
                <w:highlight w:val="none"/>
                <w:u w:val="none"/>
                <w14:ligatures w14:val="none"/>
              </w:rPr>
              <w:t>《药品注册管理办法》</w:t>
            </w:r>
            <w:r>
              <w:rPr>
                <w:rFonts w:ascii="宋体" w:hAnsi="宋体" w:eastAsia="宋体" w:cs="宋体"/>
                <w:color w:val="auto"/>
                <w:kern w:val="0"/>
                <w:sz w:val="24"/>
                <w:szCs w:val="24"/>
                <w:highlight w:val="none"/>
                <w:u w:val="none"/>
                <w14:ligatures w14:val="none"/>
              </w:rPr>
              <w:fldChar w:fldCharType="end"/>
            </w:r>
            <w:r>
              <w:rPr>
                <w:rFonts w:ascii="宋体" w:hAnsi="宋体" w:eastAsia="宋体" w:cs="宋体"/>
                <w:color w:val="auto"/>
                <w:kern w:val="0"/>
                <w:sz w:val="24"/>
                <w:szCs w:val="24"/>
                <w:highlight w:val="none"/>
                <w:u w:val="none"/>
                <w14:ligatures w14:val="none"/>
              </w:rPr>
              <w:t>的规定对相应药品不予再注册。</w:t>
            </w:r>
          </w:p>
        </w:tc>
        <w:tc>
          <w:tcPr>
            <w:tcW w:w="1536" w:type="dxa"/>
            <w:vAlign w:val="center"/>
          </w:tcPr>
          <w:p w14:paraId="37B67574">
            <w:pPr>
              <w:widowControl/>
              <w:spacing w:after="225" w:line="285" w:lineRule="atLeast"/>
              <w:jc w:val="center"/>
              <w:textAlignment w:val="center"/>
              <w:rPr>
                <w:rFonts w:hint="eastAsia" w:ascii="仿宋_GB2312" w:hAnsi="宋体" w:eastAsia="仿宋_GB2312" w:cs="宋体"/>
                <w:color w:val="auto"/>
                <w:kern w:val="0"/>
                <w:sz w:val="24"/>
                <w:szCs w:val="24"/>
                <w:highlight w:val="none"/>
                <w:u w:val="none"/>
                <w:lang w:val="en-US" w:eastAsia="zh-CN" w:bidi="ar-SA"/>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948" w:type="dxa"/>
            <w:shd w:val="clear" w:color="auto" w:fill="auto"/>
            <w:tcMar>
              <w:top w:w="0" w:type="dxa"/>
              <w:left w:w="105" w:type="dxa"/>
              <w:bottom w:w="0" w:type="dxa"/>
              <w:right w:w="105" w:type="dxa"/>
            </w:tcMar>
            <w:vAlign w:val="center"/>
          </w:tcPr>
          <w:p w14:paraId="51F43305">
            <w:pPr>
              <w:widowControl/>
              <w:spacing w:after="225" w:line="285" w:lineRule="atLeast"/>
              <w:jc w:val="center"/>
              <w:textAlignment w:val="center"/>
              <w:rPr>
                <w:rFonts w:hint="eastAsia" w:ascii="仿宋_GB2312" w:hAnsi="宋体" w:eastAsia="仿宋_GB2312" w:cs="宋体"/>
                <w:color w:val="auto"/>
                <w:kern w:val="0"/>
                <w:sz w:val="24"/>
                <w:szCs w:val="24"/>
                <w:highlight w:val="none"/>
                <w:u w:val="none"/>
                <w:lang w:val="en-US" w:eastAsia="zh-CN" w:bidi="ar-SA"/>
                <w14:ligatures w14:val="none"/>
              </w:rPr>
            </w:pPr>
            <w:r>
              <w:rPr>
                <w:rFonts w:hint="eastAsia" w:ascii="宋体" w:hAnsi="宋体" w:eastAsia="宋体" w:cs="宋体"/>
                <w:color w:val="auto"/>
                <w:sz w:val="24"/>
                <w:szCs w:val="24"/>
                <w:highlight w:val="none"/>
                <w:u w:val="none"/>
                <w14:ligatures w14:val="none"/>
              </w:rPr>
              <w:t>市级</w:t>
            </w:r>
          </w:p>
        </w:tc>
      </w:tr>
      <w:tr w14:paraId="5DE0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4" w:type="dxa"/>
            <w:shd w:val="clear" w:color="auto" w:fill="auto"/>
            <w:tcMar>
              <w:top w:w="0" w:type="dxa"/>
              <w:left w:w="105" w:type="dxa"/>
              <w:bottom w:w="0" w:type="dxa"/>
              <w:right w:w="105" w:type="dxa"/>
            </w:tcMar>
            <w:vAlign w:val="center"/>
          </w:tcPr>
          <w:p w14:paraId="37803947">
            <w:pPr>
              <w:widowControl/>
              <w:spacing w:after="225" w:line="285" w:lineRule="atLeast"/>
              <w:jc w:val="center"/>
              <w:textAlignment w:val="center"/>
              <w:rPr>
                <w:rFonts w:hint="eastAsia" w:ascii="仿宋_GB2312" w:hAnsi="宋体" w:eastAsia="仿宋_GB2312" w:cs="宋体"/>
                <w:color w:val="auto"/>
                <w:kern w:val="0"/>
                <w:sz w:val="24"/>
                <w:szCs w:val="24"/>
                <w:highlight w:val="none"/>
                <w:u w:val="none"/>
                <w:lang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3</w:t>
            </w:r>
          </w:p>
        </w:tc>
        <w:tc>
          <w:tcPr>
            <w:tcW w:w="2410" w:type="dxa"/>
            <w:shd w:val="clear" w:color="auto" w:fill="auto"/>
            <w:tcMar>
              <w:top w:w="0" w:type="dxa"/>
              <w:left w:w="105" w:type="dxa"/>
              <w:bottom w:w="0" w:type="dxa"/>
              <w:right w:w="105" w:type="dxa"/>
            </w:tcMar>
            <w:vAlign w:val="center"/>
          </w:tcPr>
          <w:p w14:paraId="3EA6C22E">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生产、销售不符合药品标准，尚不影响安全性、有效性的中药饮片</w:t>
            </w:r>
          </w:p>
        </w:tc>
        <w:tc>
          <w:tcPr>
            <w:tcW w:w="3907" w:type="dxa"/>
            <w:shd w:val="clear" w:color="auto" w:fill="auto"/>
            <w:tcMar>
              <w:top w:w="0" w:type="dxa"/>
              <w:left w:w="105" w:type="dxa"/>
              <w:bottom w:w="0" w:type="dxa"/>
              <w:right w:w="105" w:type="dxa"/>
            </w:tcMar>
            <w:vAlign w:val="center"/>
          </w:tcPr>
          <w:p w14:paraId="063DB4E5">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1.生产过程符合GMP要求；</w:t>
            </w:r>
          </w:p>
          <w:p w14:paraId="0538A5F3">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2.不符合标准的药品不影响安全性、有效性；</w:t>
            </w:r>
          </w:p>
          <w:p w14:paraId="479E79C9">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3</w:t>
            </w:r>
            <w:r>
              <w:rPr>
                <w:rFonts w:hint="eastAsia" w:ascii="宋体" w:hAnsi="宋体" w:eastAsia="宋体" w:cs="宋体"/>
                <w:color w:val="auto"/>
                <w:kern w:val="0"/>
                <w:sz w:val="24"/>
                <w:szCs w:val="24"/>
                <w:highlight w:val="none"/>
                <w:u w:val="none"/>
                <w:lang w:val="en-US" w:eastAsia="zh-CN"/>
                <w14:ligatures w14:val="none"/>
              </w:rPr>
              <w:t>.</w:t>
            </w:r>
            <w:r>
              <w:rPr>
                <w:rFonts w:hint="eastAsia" w:ascii="宋体" w:hAnsi="宋体" w:eastAsia="宋体" w:cs="宋体"/>
                <w:color w:val="auto"/>
                <w:kern w:val="0"/>
                <w:sz w:val="24"/>
                <w:szCs w:val="24"/>
                <w:highlight w:val="none"/>
                <w:u w:val="none"/>
                <w14:ligatures w14:val="none"/>
              </w:rPr>
              <w:t>初次违法且危害后果轻微并及时改正。</w:t>
            </w:r>
          </w:p>
        </w:tc>
        <w:tc>
          <w:tcPr>
            <w:tcW w:w="5091" w:type="dxa"/>
            <w:shd w:val="clear" w:color="auto" w:fill="auto"/>
            <w:tcMar>
              <w:top w:w="0" w:type="dxa"/>
              <w:left w:w="105" w:type="dxa"/>
              <w:bottom w:w="0" w:type="dxa"/>
              <w:right w:w="105" w:type="dxa"/>
            </w:tcMar>
            <w:vAlign w:val="center"/>
          </w:tcPr>
          <w:p w14:paraId="24AC2BB8">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《中华人民共和国药品管理法》第一百一十七条第二款：生产、销售的中药饮片不符合药品标准，尚不影响安全性、有效性的，责令限期改正，给予警告；可以处十万元以上五十万元以下的罚款。</w:t>
            </w:r>
          </w:p>
        </w:tc>
        <w:tc>
          <w:tcPr>
            <w:tcW w:w="1536" w:type="dxa"/>
            <w:vAlign w:val="center"/>
          </w:tcPr>
          <w:p w14:paraId="1CB654BA">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说服教育、警示告诫、指导约谈等</w:t>
            </w:r>
          </w:p>
        </w:tc>
        <w:tc>
          <w:tcPr>
            <w:tcW w:w="948" w:type="dxa"/>
            <w:shd w:val="clear" w:color="auto" w:fill="auto"/>
            <w:tcMar>
              <w:top w:w="0" w:type="dxa"/>
              <w:left w:w="105" w:type="dxa"/>
              <w:bottom w:w="0" w:type="dxa"/>
              <w:right w:w="105" w:type="dxa"/>
            </w:tcMar>
            <w:vAlign w:val="center"/>
          </w:tcPr>
          <w:p w14:paraId="7BB4AC4C">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p>
        </w:tc>
      </w:tr>
      <w:tr w14:paraId="0F15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4" w:type="dxa"/>
            <w:shd w:val="clear" w:color="auto" w:fill="auto"/>
            <w:tcMar>
              <w:top w:w="0" w:type="dxa"/>
              <w:left w:w="105" w:type="dxa"/>
              <w:bottom w:w="0" w:type="dxa"/>
              <w:right w:w="105" w:type="dxa"/>
            </w:tcMar>
            <w:vAlign w:val="center"/>
          </w:tcPr>
          <w:p w14:paraId="6A70D299">
            <w:pPr>
              <w:widowControl/>
              <w:spacing w:after="225" w:line="285" w:lineRule="atLeast"/>
              <w:jc w:val="center"/>
              <w:textAlignment w:val="center"/>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lang w:val="en-US" w:eastAsia="zh-CN"/>
                <w14:ligatures w14:val="none"/>
              </w:rPr>
              <w:t>4</w:t>
            </w:r>
          </w:p>
        </w:tc>
        <w:tc>
          <w:tcPr>
            <w:tcW w:w="2410" w:type="dxa"/>
            <w:shd w:val="clear" w:color="auto" w:fill="auto"/>
            <w:tcMar>
              <w:top w:w="0" w:type="dxa"/>
              <w:left w:w="105" w:type="dxa"/>
              <w:bottom w:w="0" w:type="dxa"/>
              <w:right w:w="105" w:type="dxa"/>
            </w:tcMar>
            <w:vAlign w:val="center"/>
          </w:tcPr>
          <w:p w14:paraId="06B0707F">
            <w:pPr>
              <w:widowControl/>
              <w:jc w:val="center"/>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14:ligatures w14:val="none"/>
              </w:rPr>
              <w:t>未经批准进口少量境外已合法上市的药品</w:t>
            </w:r>
            <w:r>
              <w:rPr>
                <w:rFonts w:hint="eastAsia" w:ascii="宋体" w:hAnsi="宋体" w:eastAsia="宋体" w:cs="宋体"/>
                <w:color w:val="auto"/>
                <w:kern w:val="0"/>
                <w:sz w:val="24"/>
                <w:szCs w:val="24"/>
                <w:highlight w:val="none"/>
                <w:u w:val="none"/>
                <w:lang w:eastAsia="zh-CN"/>
                <w14:ligatures w14:val="none"/>
              </w:rPr>
              <w:t>（</w:t>
            </w:r>
            <w:r>
              <w:rPr>
                <w:rFonts w:hint="eastAsia" w:ascii="宋体" w:hAnsi="宋体" w:eastAsia="宋体" w:cs="宋体"/>
                <w:color w:val="auto"/>
                <w:kern w:val="0"/>
                <w:sz w:val="24"/>
                <w:szCs w:val="24"/>
                <w:highlight w:val="none"/>
                <w:u w:val="none"/>
                <w:lang w:val="en-US" w:eastAsia="zh-CN"/>
                <w14:ligatures w14:val="none"/>
              </w:rPr>
              <w:t>更改</w:t>
            </w:r>
            <w:r>
              <w:rPr>
                <w:rFonts w:hint="eastAsia" w:ascii="宋体" w:hAnsi="宋体" w:eastAsia="宋体" w:cs="宋体"/>
                <w:color w:val="auto"/>
                <w:kern w:val="0"/>
                <w:sz w:val="24"/>
                <w:szCs w:val="24"/>
                <w:highlight w:val="none"/>
                <w:u w:val="none"/>
                <w:lang w:eastAsia="zh-CN"/>
                <w14:ligatures w14:val="none"/>
              </w:rPr>
              <w:t>）</w:t>
            </w:r>
          </w:p>
        </w:tc>
        <w:tc>
          <w:tcPr>
            <w:tcW w:w="3907" w:type="dxa"/>
            <w:shd w:val="clear" w:color="auto" w:fill="auto"/>
            <w:tcMar>
              <w:top w:w="0" w:type="dxa"/>
              <w:left w:w="105" w:type="dxa"/>
              <w:bottom w:w="0" w:type="dxa"/>
              <w:right w:w="105" w:type="dxa"/>
            </w:tcMar>
            <w:vAlign w:val="center"/>
          </w:tcPr>
          <w:p w14:paraId="133CCAAC">
            <w:pPr>
              <w:widowControl/>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14:ligatures w14:val="none"/>
              </w:rPr>
              <w:t>1.</w:t>
            </w:r>
            <w:r>
              <w:rPr>
                <w:rFonts w:hint="eastAsia" w:ascii="宋体" w:hAnsi="宋体" w:eastAsia="宋体" w:cs="宋体"/>
                <w:color w:val="auto"/>
                <w:kern w:val="0"/>
                <w:sz w:val="24"/>
                <w:szCs w:val="24"/>
                <w:highlight w:val="none"/>
                <w:u w:val="none"/>
                <w:lang w:eastAsia="zh-CN"/>
                <w14:ligatures w14:val="none"/>
              </w:rPr>
              <w:t>情节较轻；</w:t>
            </w:r>
          </w:p>
          <w:p w14:paraId="07266DE8">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2</w:t>
            </w:r>
            <w:r>
              <w:rPr>
                <w:rFonts w:hint="eastAsia" w:ascii="宋体" w:hAnsi="宋体" w:eastAsia="宋体" w:cs="宋体"/>
                <w:color w:val="auto"/>
                <w:kern w:val="0"/>
                <w:sz w:val="24"/>
                <w:szCs w:val="24"/>
                <w:highlight w:val="none"/>
                <w:u w:val="none"/>
                <w14:ligatures w14:val="none"/>
              </w:rPr>
              <w:t>.药品可追溯；</w:t>
            </w:r>
          </w:p>
          <w:p w14:paraId="50C1F6E1">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3</w:t>
            </w:r>
            <w:r>
              <w:rPr>
                <w:rFonts w:hint="eastAsia" w:ascii="宋体" w:hAnsi="宋体" w:eastAsia="宋体" w:cs="宋体"/>
                <w:color w:val="auto"/>
                <w:kern w:val="0"/>
                <w:sz w:val="24"/>
                <w:szCs w:val="24"/>
                <w:highlight w:val="none"/>
                <w:u w:val="none"/>
                <w14:ligatures w14:val="none"/>
              </w:rPr>
              <w:t>.初次违法且危害后果轻微并及时改正。</w:t>
            </w:r>
          </w:p>
        </w:tc>
        <w:tc>
          <w:tcPr>
            <w:tcW w:w="5091" w:type="dxa"/>
            <w:shd w:val="clear" w:color="auto" w:fill="auto"/>
            <w:tcMar>
              <w:top w:w="0" w:type="dxa"/>
              <w:left w:w="105" w:type="dxa"/>
              <w:bottom w:w="0" w:type="dxa"/>
              <w:right w:w="105" w:type="dxa"/>
            </w:tcMar>
            <w:vAlign w:val="center"/>
          </w:tcPr>
          <w:p w14:paraId="593924EE">
            <w:pPr>
              <w:widowControl/>
              <w:wordWrap w:val="0"/>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《中华人民共和国药品管理法》第一百二十四条第三款：未经批准进口少量境外已合法上市的药品，情节较轻的，可以依法减轻或者免予处罚。</w:t>
            </w:r>
          </w:p>
        </w:tc>
        <w:tc>
          <w:tcPr>
            <w:tcW w:w="1536" w:type="dxa"/>
            <w:vAlign w:val="center"/>
          </w:tcPr>
          <w:p w14:paraId="63B347F4">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948" w:type="dxa"/>
            <w:shd w:val="clear" w:color="auto" w:fill="auto"/>
            <w:tcMar>
              <w:top w:w="0" w:type="dxa"/>
              <w:left w:w="105" w:type="dxa"/>
              <w:bottom w:w="0" w:type="dxa"/>
              <w:right w:w="105" w:type="dxa"/>
            </w:tcMar>
            <w:vAlign w:val="center"/>
          </w:tcPr>
          <w:p w14:paraId="6E42E561">
            <w:pPr>
              <w:widowControl/>
              <w:jc w:val="center"/>
              <w:rPr>
                <w:rFonts w:ascii="宋体" w:hAnsi="宋体" w:eastAsia="宋体" w:cs="宋体"/>
                <w:color w:val="auto"/>
                <w:kern w:val="0"/>
                <w:sz w:val="24"/>
                <w:szCs w:val="24"/>
                <w:highlight w:val="none"/>
                <w:u w:val="none"/>
                <w14:ligatures w14:val="none"/>
              </w:rPr>
            </w:pPr>
            <w:r>
              <w:rPr>
                <w:rFonts w:ascii="宋体" w:hAnsi="宋体" w:eastAsia="宋体" w:cs="宋体"/>
                <w:color w:val="auto"/>
                <w:sz w:val="24"/>
                <w:szCs w:val="24"/>
                <w:highlight w:val="none"/>
                <w:u w:val="none"/>
                <w14:ligatures w14:val="none"/>
              </w:rPr>
              <w:t>区级</w:t>
            </w:r>
          </w:p>
        </w:tc>
      </w:tr>
      <w:tr w14:paraId="6023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4" w:type="dxa"/>
            <w:shd w:val="clear" w:color="auto" w:fill="auto"/>
            <w:tcMar>
              <w:top w:w="0" w:type="dxa"/>
              <w:left w:w="105" w:type="dxa"/>
              <w:bottom w:w="0" w:type="dxa"/>
              <w:right w:w="105" w:type="dxa"/>
            </w:tcMar>
            <w:vAlign w:val="center"/>
          </w:tcPr>
          <w:p w14:paraId="371F09AB">
            <w:pPr>
              <w:widowControl/>
              <w:spacing w:after="225" w:line="285" w:lineRule="atLeast"/>
              <w:jc w:val="center"/>
              <w:textAlignment w:val="center"/>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5</w:t>
            </w:r>
          </w:p>
        </w:tc>
        <w:tc>
          <w:tcPr>
            <w:tcW w:w="2410" w:type="dxa"/>
            <w:shd w:val="clear" w:color="auto" w:fill="auto"/>
            <w:tcMar>
              <w:top w:w="0" w:type="dxa"/>
              <w:left w:w="105" w:type="dxa"/>
              <w:bottom w:w="0" w:type="dxa"/>
              <w:right w:w="105" w:type="dxa"/>
            </w:tcMar>
            <w:vAlign w:val="center"/>
          </w:tcPr>
          <w:p w14:paraId="71E85E0B">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药品经营企业购销药品未按照规定进行记录</w:t>
            </w:r>
          </w:p>
        </w:tc>
        <w:tc>
          <w:tcPr>
            <w:tcW w:w="3907" w:type="dxa"/>
            <w:shd w:val="clear" w:color="auto" w:fill="auto"/>
            <w:tcMar>
              <w:top w:w="0" w:type="dxa"/>
              <w:left w:w="105" w:type="dxa"/>
              <w:bottom w:w="0" w:type="dxa"/>
              <w:right w:w="105" w:type="dxa"/>
            </w:tcMar>
            <w:vAlign w:val="center"/>
          </w:tcPr>
          <w:p w14:paraId="77B08A5C">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w:t>
            </w:r>
            <w:r>
              <w:rPr>
                <w:rFonts w:hint="eastAsia" w:ascii="宋体" w:hAnsi="宋体" w:eastAsia="宋体" w:cs="宋体"/>
                <w:color w:val="auto"/>
                <w:kern w:val="0"/>
                <w:sz w:val="24"/>
                <w:szCs w:val="24"/>
                <w:highlight w:val="none"/>
                <w:u w:val="none"/>
                <w:lang w:val="en-US" w:eastAsia="zh-CN"/>
                <w14:ligatures w14:val="none"/>
              </w:rPr>
              <w:t>产品来源合法，</w:t>
            </w:r>
            <w:r>
              <w:rPr>
                <w:rFonts w:hint="eastAsia" w:ascii="宋体" w:hAnsi="宋体" w:eastAsia="宋体" w:cs="宋体"/>
                <w:color w:val="auto"/>
                <w:kern w:val="0"/>
                <w:sz w:val="24"/>
                <w:szCs w:val="24"/>
                <w:highlight w:val="none"/>
                <w:u w:val="none"/>
                <w14:ligatures w14:val="none"/>
              </w:rPr>
              <w:t>不影响药品追溯；</w:t>
            </w:r>
          </w:p>
          <w:p w14:paraId="3F86987A">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2.不涉及对药品购销登记有特殊要求的药品；</w:t>
            </w:r>
          </w:p>
          <w:p w14:paraId="09EE1854">
            <w:pPr>
              <w:widowControl/>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14:ligatures w14:val="none"/>
              </w:rPr>
              <w:t>3.初次违法且危害后果轻微并及时改正。</w:t>
            </w:r>
          </w:p>
        </w:tc>
        <w:tc>
          <w:tcPr>
            <w:tcW w:w="5091" w:type="dxa"/>
            <w:shd w:val="clear" w:color="auto" w:fill="auto"/>
            <w:tcMar>
              <w:top w:w="0" w:type="dxa"/>
              <w:left w:w="105" w:type="dxa"/>
              <w:bottom w:w="0" w:type="dxa"/>
              <w:right w:w="105" w:type="dxa"/>
            </w:tcMar>
            <w:vAlign w:val="center"/>
          </w:tcPr>
          <w:p w14:paraId="77E7D8A8">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中华人民共和国药品管理法》第一百三十条：违反本法规定，药品经营企业购销药品未按照规定进行记录，零售药品未正确说明用法、用量等事项，或者未按照规定调配处方的，责令改正，给予警告；情节严重的，吊销药品经营许可证。</w:t>
            </w:r>
          </w:p>
        </w:tc>
        <w:tc>
          <w:tcPr>
            <w:tcW w:w="1536" w:type="dxa"/>
            <w:vAlign w:val="center"/>
          </w:tcPr>
          <w:p w14:paraId="042255F9">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说服教育、警示告诫、指导约谈等</w:t>
            </w:r>
          </w:p>
        </w:tc>
        <w:tc>
          <w:tcPr>
            <w:tcW w:w="948" w:type="dxa"/>
            <w:shd w:val="clear" w:color="auto" w:fill="auto"/>
            <w:tcMar>
              <w:top w:w="0" w:type="dxa"/>
              <w:left w:w="105" w:type="dxa"/>
              <w:bottom w:w="0" w:type="dxa"/>
              <w:right w:w="105" w:type="dxa"/>
            </w:tcMar>
            <w:vAlign w:val="center"/>
          </w:tcPr>
          <w:p w14:paraId="7A739A8D">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r>
              <w:rPr>
                <w:rFonts w:ascii="宋体" w:hAnsi="宋体" w:eastAsia="宋体" w:cs="宋体"/>
                <w:color w:val="auto"/>
                <w:kern w:val="0"/>
                <w:sz w:val="24"/>
                <w:szCs w:val="24"/>
                <w:highlight w:val="none"/>
                <w:u w:val="none"/>
                <w14:ligatures w14:val="none"/>
              </w:rPr>
              <w:t>,区级</w:t>
            </w:r>
          </w:p>
        </w:tc>
      </w:tr>
      <w:tr w14:paraId="1D4A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4" w:type="dxa"/>
            <w:shd w:val="clear" w:color="auto" w:fill="auto"/>
            <w:tcMar>
              <w:top w:w="0" w:type="dxa"/>
              <w:left w:w="105" w:type="dxa"/>
              <w:bottom w:w="0" w:type="dxa"/>
              <w:right w:w="105" w:type="dxa"/>
            </w:tcMar>
            <w:vAlign w:val="center"/>
          </w:tcPr>
          <w:p w14:paraId="28E52B62">
            <w:pPr>
              <w:widowControl/>
              <w:spacing w:after="225" w:line="285" w:lineRule="atLeast"/>
              <w:jc w:val="center"/>
              <w:textAlignment w:val="center"/>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lang w:val="en-US" w:eastAsia="zh-CN"/>
                <w14:ligatures w14:val="none"/>
              </w:rPr>
              <w:t>6</w:t>
            </w:r>
          </w:p>
        </w:tc>
        <w:tc>
          <w:tcPr>
            <w:tcW w:w="2410" w:type="dxa"/>
            <w:shd w:val="clear" w:color="auto" w:fill="auto"/>
            <w:tcMar>
              <w:top w:w="0" w:type="dxa"/>
              <w:left w:w="105" w:type="dxa"/>
              <w:bottom w:w="0" w:type="dxa"/>
              <w:right w:w="105" w:type="dxa"/>
            </w:tcMar>
            <w:vAlign w:val="center"/>
          </w:tcPr>
          <w:p w14:paraId="0E04787B">
            <w:pPr>
              <w:widowControl/>
              <w:spacing w:after="225" w:line="285" w:lineRule="atLeast"/>
              <w:jc w:val="left"/>
              <w:textAlignment w:val="center"/>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lang w:val="en-US" w:eastAsia="zh-CN"/>
                <w14:ligatures w14:val="none"/>
              </w:rPr>
              <w:t>药品经营企业未凭处方销售处方药</w:t>
            </w:r>
          </w:p>
        </w:tc>
        <w:tc>
          <w:tcPr>
            <w:tcW w:w="3907" w:type="dxa"/>
            <w:shd w:val="clear" w:color="auto" w:fill="auto"/>
            <w:tcMar>
              <w:top w:w="0" w:type="dxa"/>
              <w:left w:w="105" w:type="dxa"/>
              <w:bottom w:w="0" w:type="dxa"/>
              <w:right w:w="105" w:type="dxa"/>
            </w:tcMar>
            <w:vAlign w:val="center"/>
          </w:tcPr>
          <w:p w14:paraId="642D4467">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w:t>
            </w:r>
            <w:r>
              <w:rPr>
                <w:rFonts w:hint="eastAsia" w:ascii="宋体" w:hAnsi="宋体" w:eastAsia="宋体" w:cs="宋体"/>
                <w:color w:val="auto"/>
                <w:kern w:val="0"/>
                <w:sz w:val="24"/>
                <w:szCs w:val="24"/>
                <w:highlight w:val="none"/>
                <w:u w:val="none"/>
                <w:lang w:val="en-US" w:eastAsia="zh-CN"/>
                <w14:ligatures w14:val="none"/>
              </w:rPr>
              <w:t>产品来源合法，</w:t>
            </w:r>
            <w:r>
              <w:rPr>
                <w:rFonts w:hint="eastAsia" w:ascii="宋体" w:hAnsi="宋体" w:eastAsia="宋体" w:cs="宋体"/>
                <w:color w:val="auto"/>
                <w:kern w:val="0"/>
                <w:sz w:val="24"/>
                <w:szCs w:val="24"/>
                <w:highlight w:val="none"/>
                <w:u w:val="none"/>
                <w14:ligatures w14:val="none"/>
              </w:rPr>
              <w:t>不影响药品追溯；</w:t>
            </w:r>
          </w:p>
          <w:p w14:paraId="7908AC0B">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2.不涉及对药品购销登记有特殊要求的药品；</w:t>
            </w:r>
          </w:p>
          <w:p w14:paraId="7FC54A96">
            <w:pPr>
              <w:widowControl/>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3.</w:t>
            </w:r>
            <w:r>
              <w:rPr>
                <w:rFonts w:hint="eastAsia" w:ascii="宋体" w:hAnsi="宋体" w:eastAsia="宋体" w:cs="宋体"/>
                <w:color w:val="auto"/>
                <w:kern w:val="0"/>
                <w:sz w:val="24"/>
                <w:szCs w:val="24"/>
                <w:highlight w:val="none"/>
                <w:u w:val="none"/>
                <w14:ligatures w14:val="none"/>
              </w:rPr>
              <w:t>货值金额较小或者数量较少</w:t>
            </w:r>
            <w:r>
              <w:rPr>
                <w:rFonts w:hint="eastAsia" w:ascii="宋体" w:hAnsi="宋体" w:eastAsia="宋体" w:cs="宋体"/>
                <w:color w:val="auto"/>
                <w:kern w:val="0"/>
                <w:sz w:val="24"/>
                <w:szCs w:val="24"/>
                <w:highlight w:val="none"/>
                <w:u w:val="none"/>
                <w:lang w:eastAsia="zh-CN"/>
                <w14:ligatures w14:val="none"/>
              </w:rPr>
              <w:t>。</w:t>
            </w:r>
          </w:p>
          <w:p w14:paraId="689F4503">
            <w:pPr>
              <w:widowControl/>
              <w:numPr>
                <w:ilvl w:val="0"/>
                <w:numId w:val="0"/>
              </w:numPr>
              <w:ind w:left="0" w:leftChars="0" w:firstLine="0" w:firstLineChars="0"/>
              <w:jc w:val="left"/>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lang w:val="en-US" w:eastAsia="zh-CN"/>
                <w14:ligatures w14:val="none"/>
              </w:rPr>
              <w:t>4</w:t>
            </w:r>
            <w:r>
              <w:rPr>
                <w:rFonts w:hint="eastAsia" w:ascii="宋体" w:hAnsi="宋体" w:eastAsia="宋体" w:cs="宋体"/>
                <w:color w:val="auto"/>
                <w:kern w:val="0"/>
                <w:sz w:val="24"/>
                <w:szCs w:val="24"/>
                <w:highlight w:val="none"/>
                <w:u w:val="none"/>
                <w14:ligatures w14:val="none"/>
              </w:rPr>
              <w:t>.初次违法且危害后果轻微并及时改正。</w:t>
            </w:r>
          </w:p>
        </w:tc>
        <w:tc>
          <w:tcPr>
            <w:tcW w:w="5091" w:type="dxa"/>
            <w:shd w:val="clear" w:color="auto" w:fill="auto"/>
            <w:tcMar>
              <w:top w:w="0" w:type="dxa"/>
              <w:left w:w="105" w:type="dxa"/>
              <w:bottom w:w="0" w:type="dxa"/>
              <w:right w:w="105" w:type="dxa"/>
            </w:tcMar>
            <w:vAlign w:val="center"/>
          </w:tcPr>
          <w:p w14:paraId="145754FD">
            <w:pPr>
              <w:widowControl/>
              <w:jc w:val="left"/>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lang w:val="en-US" w:eastAsia="zh-CN"/>
                <w14:ligatures w14:val="none"/>
              </w:rPr>
              <w:t>《药品经营和使用质量监督管理办法》药品零售企业有以下情形之一的，由药品监督管理部门责令限期改正；逾期不改正的，处五千元以上五万元以下罚款；造成危害后果的，处五万元以上二十万元以下罚款：（一）未按规定凭处方销售处方药的。</w:t>
            </w:r>
          </w:p>
        </w:tc>
        <w:tc>
          <w:tcPr>
            <w:tcW w:w="1536" w:type="dxa"/>
            <w:vAlign w:val="center"/>
          </w:tcPr>
          <w:p w14:paraId="7002EB00">
            <w:pPr>
              <w:widowControl/>
              <w:jc w:val="center"/>
              <w:rPr>
                <w:rFonts w:hint="eastAsia" w:ascii="宋体" w:hAnsi="宋体" w:eastAsia="宋体" w:cs="宋体"/>
                <w:color w:val="auto"/>
                <w:kern w:val="2"/>
                <w:sz w:val="24"/>
                <w:szCs w:val="24"/>
                <w:highlight w:val="none"/>
                <w:u w:val="none"/>
                <w:lang w:val="en-US" w:eastAsia="zh-CN" w:bidi="ar-SA"/>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948" w:type="dxa"/>
            <w:shd w:val="clear" w:color="auto" w:fill="auto"/>
            <w:tcMar>
              <w:top w:w="0" w:type="dxa"/>
              <w:left w:w="105" w:type="dxa"/>
              <w:bottom w:w="0" w:type="dxa"/>
              <w:right w:w="105" w:type="dxa"/>
            </w:tcMar>
            <w:vAlign w:val="center"/>
          </w:tcPr>
          <w:p w14:paraId="25D05CAD">
            <w:pPr>
              <w:widowControl/>
              <w:jc w:val="center"/>
              <w:rPr>
                <w:rFonts w:hint="eastAsia" w:ascii="宋体" w:hAnsi="宋体" w:eastAsia="宋体" w:cs="宋体"/>
                <w:color w:val="auto"/>
                <w:kern w:val="2"/>
                <w:sz w:val="24"/>
                <w:szCs w:val="24"/>
                <w:highlight w:val="none"/>
                <w:u w:val="none"/>
                <w:lang w:val="en-US" w:eastAsia="zh-CN" w:bidi="ar-SA"/>
                <w14:ligatures w14:val="none"/>
              </w:rPr>
            </w:pPr>
            <w:r>
              <w:rPr>
                <w:rFonts w:ascii="宋体" w:hAnsi="宋体" w:eastAsia="宋体" w:cs="宋体"/>
                <w:color w:val="auto"/>
                <w:sz w:val="24"/>
                <w:szCs w:val="24"/>
                <w:highlight w:val="none"/>
                <w:u w:val="none"/>
                <w14:ligatures w14:val="none"/>
              </w:rPr>
              <w:t>区级</w:t>
            </w:r>
          </w:p>
        </w:tc>
      </w:tr>
      <w:tr w14:paraId="50BD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4" w:type="dxa"/>
            <w:shd w:val="clear" w:color="auto" w:fill="auto"/>
            <w:tcMar>
              <w:top w:w="0" w:type="dxa"/>
              <w:left w:w="105" w:type="dxa"/>
              <w:bottom w:w="0" w:type="dxa"/>
              <w:right w:w="105" w:type="dxa"/>
            </w:tcMar>
            <w:vAlign w:val="center"/>
          </w:tcPr>
          <w:p w14:paraId="50D266A8">
            <w:pPr>
              <w:widowControl/>
              <w:spacing w:after="225" w:line="285" w:lineRule="atLeast"/>
              <w:jc w:val="center"/>
              <w:textAlignment w:val="center"/>
              <w:rPr>
                <w:rFonts w:hint="eastAsia" w:ascii="仿宋_GB2312" w:hAnsi="宋体" w:eastAsia="仿宋_GB2312" w:cs="宋体"/>
                <w:color w:val="auto"/>
                <w:kern w:val="0"/>
                <w:sz w:val="24"/>
                <w:szCs w:val="24"/>
                <w:highlight w:val="none"/>
                <w:u w:val="none"/>
                <w:lang w:val="en-US" w:eastAsia="zh-CN" w:bidi="ar-SA"/>
                <w14:ligatures w14:val="none"/>
              </w:rPr>
            </w:pPr>
            <w:r>
              <w:rPr>
                <w:rFonts w:hint="eastAsia" w:ascii="仿宋_GB2312" w:hAnsi="宋体" w:eastAsia="仿宋_GB2312" w:cs="宋体"/>
                <w:color w:val="auto"/>
                <w:kern w:val="0"/>
                <w:sz w:val="24"/>
                <w:szCs w:val="24"/>
                <w:highlight w:val="none"/>
                <w:u w:val="none"/>
                <w:lang w:val="en-US" w:eastAsia="zh-CN"/>
                <w14:ligatures w14:val="none"/>
              </w:rPr>
              <w:t>7</w:t>
            </w:r>
          </w:p>
        </w:tc>
        <w:tc>
          <w:tcPr>
            <w:tcW w:w="2410" w:type="dxa"/>
            <w:shd w:val="clear" w:color="auto" w:fill="auto"/>
            <w:tcMar>
              <w:top w:w="0" w:type="dxa"/>
              <w:left w:w="105" w:type="dxa"/>
              <w:bottom w:w="0" w:type="dxa"/>
              <w:right w:w="105" w:type="dxa"/>
            </w:tcMar>
            <w:vAlign w:val="center"/>
          </w:tcPr>
          <w:p w14:paraId="0FA9D12C">
            <w:pPr>
              <w:widowControl/>
              <w:jc w:val="center"/>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14:ligatures w14:val="none"/>
              </w:rPr>
              <w:t>药品经营企业、医疗机构未按照规定报告疑似药品不良反应</w:t>
            </w:r>
          </w:p>
        </w:tc>
        <w:tc>
          <w:tcPr>
            <w:tcW w:w="3907" w:type="dxa"/>
            <w:shd w:val="clear" w:color="auto" w:fill="auto"/>
            <w:tcMar>
              <w:top w:w="0" w:type="dxa"/>
              <w:left w:w="105" w:type="dxa"/>
              <w:bottom w:w="0" w:type="dxa"/>
              <w:right w:w="105" w:type="dxa"/>
            </w:tcMar>
            <w:vAlign w:val="center"/>
          </w:tcPr>
          <w:p w14:paraId="38CEA2ED">
            <w:pPr>
              <w:widowControl/>
              <w:jc w:val="left"/>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1.自行改正，或在行政机关责令改正的期限内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3904972E">
            <w:pPr>
              <w:widowControl/>
              <w:jc w:val="left"/>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2.未造成危害后果。</w:t>
            </w:r>
          </w:p>
          <w:p w14:paraId="3137C3BD">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3.</w:t>
            </w:r>
            <w:r>
              <w:rPr>
                <w:rFonts w:hint="eastAsia" w:ascii="宋体" w:hAnsi="宋体" w:eastAsia="宋体" w:cs="宋体"/>
                <w:color w:val="auto"/>
                <w:kern w:val="0"/>
                <w:sz w:val="24"/>
                <w:szCs w:val="24"/>
                <w:highlight w:val="none"/>
                <w:u w:val="none"/>
                <w14:ligatures w14:val="none"/>
              </w:rPr>
              <w:t>适用于企业已建立不良反应监测制度，但是存在漏报的情形。</w:t>
            </w:r>
          </w:p>
          <w:p w14:paraId="6A0D71B9">
            <w:pPr>
              <w:widowControl/>
              <w:jc w:val="left"/>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14:ligatures w14:val="none"/>
              </w:rPr>
              <w:t>4.初次违法且危害后果轻微并及时改正。</w:t>
            </w:r>
          </w:p>
        </w:tc>
        <w:tc>
          <w:tcPr>
            <w:tcW w:w="5091" w:type="dxa"/>
            <w:shd w:val="clear" w:color="auto" w:fill="auto"/>
            <w:tcMar>
              <w:top w:w="0" w:type="dxa"/>
              <w:left w:w="105" w:type="dxa"/>
              <w:bottom w:w="0" w:type="dxa"/>
              <w:right w:w="105" w:type="dxa"/>
            </w:tcMar>
            <w:vAlign w:val="center"/>
          </w:tcPr>
          <w:p w14:paraId="219EE9AA">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《中华人民共和国药品管理法》第一百三十四条第二款：药品经营企业未按照规定报告疑似药品不良反应的，责令限期改正，给予警告；逾期不改正的，责令停产停业整顿，并处五万元以上五十万元以下的罚款。</w:t>
            </w:r>
          </w:p>
          <w:p w14:paraId="56E0DBF6">
            <w:pPr>
              <w:widowControl/>
              <w:jc w:val="left"/>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14:ligatures w14:val="none"/>
              </w:rPr>
              <w:t>第三款：医疗机构未按照规定报告疑似药品不良反应的，责令限期改正，给予警告；逾期不改正的，处五万元以上五十万元以下的罚款。</w:t>
            </w:r>
          </w:p>
        </w:tc>
        <w:tc>
          <w:tcPr>
            <w:tcW w:w="1536" w:type="dxa"/>
            <w:vAlign w:val="center"/>
          </w:tcPr>
          <w:p w14:paraId="52264A50">
            <w:pPr>
              <w:widowControl/>
              <w:jc w:val="center"/>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14:ligatures w14:val="none"/>
              </w:rPr>
              <w:t>说服教育、警示告诫、指导约谈等</w:t>
            </w:r>
          </w:p>
        </w:tc>
        <w:tc>
          <w:tcPr>
            <w:tcW w:w="948" w:type="dxa"/>
            <w:shd w:val="clear" w:color="auto" w:fill="auto"/>
            <w:tcMar>
              <w:top w:w="0" w:type="dxa"/>
              <w:left w:w="105" w:type="dxa"/>
              <w:bottom w:w="0" w:type="dxa"/>
              <w:right w:w="105" w:type="dxa"/>
            </w:tcMar>
            <w:vAlign w:val="center"/>
          </w:tcPr>
          <w:p w14:paraId="54A9A327">
            <w:pPr>
              <w:widowControl/>
              <w:jc w:val="center"/>
              <w:rPr>
                <w:rFonts w:hint="eastAsia" w:ascii="宋体" w:hAnsi="宋体" w:eastAsia="宋体" w:cs="宋体"/>
                <w:color w:val="auto"/>
                <w:kern w:val="0"/>
                <w:sz w:val="24"/>
                <w:szCs w:val="24"/>
                <w:highlight w:val="none"/>
                <w:u w:val="none"/>
                <w:lang w:val="en-US" w:eastAsia="zh-CN" w:bidi="ar-SA"/>
                <w14:ligatures w14:val="none"/>
              </w:rPr>
            </w:pPr>
            <w:r>
              <w:rPr>
                <w:rFonts w:ascii="宋体" w:hAnsi="宋体" w:eastAsia="宋体" w:cs="宋体"/>
                <w:color w:val="auto"/>
                <w:kern w:val="0"/>
                <w:sz w:val="24"/>
                <w:szCs w:val="24"/>
                <w:highlight w:val="none"/>
                <w:u w:val="none"/>
                <w14:ligatures w14:val="none"/>
              </w:rPr>
              <w:t>区级</w:t>
            </w:r>
          </w:p>
        </w:tc>
      </w:tr>
      <w:tr w14:paraId="6201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14" w:type="dxa"/>
            <w:shd w:val="clear" w:color="auto" w:fill="auto"/>
            <w:tcMar>
              <w:top w:w="0" w:type="dxa"/>
              <w:left w:w="105" w:type="dxa"/>
              <w:bottom w:w="0" w:type="dxa"/>
              <w:right w:w="105" w:type="dxa"/>
            </w:tcMar>
            <w:vAlign w:val="center"/>
          </w:tcPr>
          <w:p w14:paraId="4E74951F">
            <w:pPr>
              <w:widowControl/>
              <w:spacing w:after="225" w:line="285" w:lineRule="atLeast"/>
              <w:jc w:val="center"/>
              <w:textAlignment w:val="center"/>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lang w:val="en-US" w:eastAsia="zh-CN"/>
                <w14:ligatures w14:val="none"/>
              </w:rPr>
              <w:t>8</w:t>
            </w:r>
          </w:p>
        </w:tc>
        <w:tc>
          <w:tcPr>
            <w:tcW w:w="2410" w:type="dxa"/>
            <w:shd w:val="clear" w:color="auto" w:fill="auto"/>
            <w:tcMar>
              <w:top w:w="0" w:type="dxa"/>
              <w:left w:w="105" w:type="dxa"/>
              <w:bottom w:w="0" w:type="dxa"/>
              <w:right w:w="105" w:type="dxa"/>
            </w:tcMar>
            <w:vAlign w:val="center"/>
          </w:tcPr>
          <w:p w14:paraId="4C6BF78B">
            <w:pPr>
              <w:widowControl/>
              <w:jc w:val="center"/>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14:ligatures w14:val="none"/>
              </w:rPr>
              <w:t>生产、经营说明书、标签不符合规定的第一类医疗器械</w:t>
            </w:r>
          </w:p>
        </w:tc>
        <w:tc>
          <w:tcPr>
            <w:tcW w:w="3907" w:type="dxa"/>
            <w:shd w:val="clear" w:color="auto" w:fill="auto"/>
            <w:tcMar>
              <w:top w:w="0" w:type="dxa"/>
              <w:left w:w="105" w:type="dxa"/>
              <w:bottom w:w="0" w:type="dxa"/>
              <w:right w:w="105" w:type="dxa"/>
            </w:tcMar>
            <w:vAlign w:val="center"/>
          </w:tcPr>
          <w:p w14:paraId="6A5DD3BF">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1</w:t>
            </w:r>
            <w:r>
              <w:rPr>
                <w:rFonts w:hint="eastAsia" w:ascii="宋体" w:hAnsi="宋体" w:eastAsia="宋体" w:cs="宋体"/>
                <w:color w:val="auto"/>
                <w:kern w:val="0"/>
                <w:sz w:val="24"/>
                <w:szCs w:val="24"/>
                <w:highlight w:val="none"/>
                <w:u w:val="none"/>
                <w14:ligatures w14:val="none"/>
              </w:rPr>
              <w:t>.非防疫和应急用医疗器械；</w:t>
            </w:r>
          </w:p>
          <w:p w14:paraId="0B761648">
            <w:pPr>
              <w:widowControl/>
              <w:jc w:val="left"/>
              <w:rPr>
                <w:rFonts w:ascii="宋体" w:hAnsi="宋体" w:eastAsia="宋体" w:cs="宋体"/>
                <w:color w:val="auto"/>
                <w:kern w:val="0"/>
                <w:sz w:val="24"/>
                <w:szCs w:val="24"/>
                <w:highlight w:val="none"/>
                <w:u w:val="none"/>
                <w14:ligatures w14:val="none"/>
              </w:rPr>
            </w:pPr>
            <w:bookmarkStart w:id="0" w:name="OLE_LINK1"/>
            <w:r>
              <w:rPr>
                <w:rFonts w:hint="eastAsia" w:ascii="宋体" w:hAnsi="宋体" w:eastAsia="宋体" w:cs="宋体"/>
                <w:color w:val="auto"/>
                <w:kern w:val="0"/>
                <w:sz w:val="24"/>
                <w:szCs w:val="24"/>
                <w:highlight w:val="none"/>
                <w:u w:val="none"/>
                <w:lang w:val="en-US" w:eastAsia="zh-CN"/>
                <w14:ligatures w14:val="none"/>
              </w:rPr>
              <w:t>2</w:t>
            </w:r>
            <w:r>
              <w:rPr>
                <w:rFonts w:hint="eastAsia" w:ascii="宋体" w:hAnsi="宋体" w:eastAsia="宋体" w:cs="宋体"/>
                <w:color w:val="auto"/>
                <w:kern w:val="0"/>
                <w:sz w:val="24"/>
                <w:szCs w:val="24"/>
                <w:highlight w:val="none"/>
                <w:u w:val="none"/>
                <w14:ligatures w14:val="none"/>
              </w:rPr>
              <w:t>.</w:t>
            </w:r>
            <w:bookmarkEnd w:id="0"/>
            <w:r>
              <w:rPr>
                <w:rFonts w:hint="eastAsia" w:ascii="宋体" w:hAnsi="宋体" w:eastAsia="宋体" w:cs="宋体"/>
                <w:color w:val="auto"/>
                <w:kern w:val="0"/>
                <w:sz w:val="24"/>
                <w:szCs w:val="24"/>
                <w:highlight w:val="none"/>
                <w:u w:val="none"/>
                <w14:ligatures w14:val="none"/>
              </w:rPr>
              <w:t>说明书，标签不会对消费者造成误导，不影响用械安全有效；</w:t>
            </w:r>
          </w:p>
          <w:p w14:paraId="4C57193F">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3</w:t>
            </w:r>
            <w:r>
              <w:rPr>
                <w:rFonts w:hint="eastAsia" w:ascii="宋体" w:hAnsi="宋体" w:eastAsia="宋体" w:cs="宋体"/>
                <w:color w:val="auto"/>
                <w:kern w:val="0"/>
                <w:sz w:val="24"/>
                <w:szCs w:val="24"/>
                <w:highlight w:val="none"/>
                <w:u w:val="none"/>
                <w14:ligatures w14:val="none"/>
              </w:rPr>
              <w:t>.初次违法且危害后果轻微并及时改正。</w:t>
            </w:r>
          </w:p>
          <w:p w14:paraId="74AAF622">
            <w:pPr>
              <w:widowControl/>
              <w:jc w:val="left"/>
              <w:rPr>
                <w:rFonts w:hint="default"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4.说明书、标签中仅文字描述错误，不涉及专业技术标准。</w:t>
            </w:r>
          </w:p>
        </w:tc>
        <w:tc>
          <w:tcPr>
            <w:tcW w:w="5091" w:type="dxa"/>
            <w:shd w:val="clear" w:color="auto" w:fill="auto"/>
            <w:tcMar>
              <w:top w:w="0" w:type="dxa"/>
              <w:left w:w="105" w:type="dxa"/>
              <w:bottom w:w="0" w:type="dxa"/>
              <w:right w:w="105" w:type="dxa"/>
            </w:tcMar>
            <w:vAlign w:val="center"/>
          </w:tcPr>
          <w:p w14:paraId="6F2CAA8D">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医疗器械监督管理条例》第八十八条第二项：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二）生产、经营说明书、标签不符合本条例规定的医疗器械；</w:t>
            </w:r>
            <w:r>
              <w:rPr>
                <w:rFonts w:ascii="宋体" w:hAnsi="宋体" w:eastAsia="宋体" w:cs="宋体"/>
                <w:color w:val="auto"/>
                <w:kern w:val="0"/>
                <w:sz w:val="24"/>
                <w:szCs w:val="24"/>
                <w:highlight w:val="none"/>
                <w:u w:val="none"/>
                <w14:ligatures w14:val="none"/>
              </w:rPr>
              <w:t xml:space="preserve"> </w:t>
            </w:r>
          </w:p>
          <w:p w14:paraId="2DBD7036">
            <w:pPr>
              <w:widowControl/>
              <w:jc w:val="left"/>
              <w:rPr>
                <w:rFonts w:ascii="宋体" w:hAnsi="宋体" w:eastAsia="宋体" w:cs="宋体"/>
                <w:color w:val="auto"/>
                <w:kern w:val="0"/>
                <w:sz w:val="24"/>
                <w:szCs w:val="24"/>
                <w:highlight w:val="none"/>
                <w:u w:val="none"/>
                <w14:ligatures w14:val="none"/>
              </w:rPr>
            </w:pPr>
          </w:p>
        </w:tc>
        <w:tc>
          <w:tcPr>
            <w:tcW w:w="1536" w:type="dxa"/>
            <w:vAlign w:val="center"/>
          </w:tcPr>
          <w:p w14:paraId="129F2A8A">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948" w:type="dxa"/>
            <w:shd w:val="clear" w:color="auto" w:fill="auto"/>
            <w:tcMar>
              <w:top w:w="0" w:type="dxa"/>
              <w:left w:w="105" w:type="dxa"/>
              <w:bottom w:w="0" w:type="dxa"/>
              <w:right w:w="105" w:type="dxa"/>
            </w:tcMar>
            <w:vAlign w:val="center"/>
          </w:tcPr>
          <w:p w14:paraId="38AA001F">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市级</w:t>
            </w:r>
            <w:r>
              <w:rPr>
                <w:rFonts w:ascii="宋体" w:hAnsi="宋体" w:eastAsia="宋体" w:cs="宋体"/>
                <w:color w:val="auto"/>
                <w:sz w:val="24"/>
                <w:szCs w:val="24"/>
                <w:highlight w:val="none"/>
                <w:u w:val="none"/>
                <w14:ligatures w14:val="none"/>
              </w:rPr>
              <w:t>,区级</w:t>
            </w:r>
          </w:p>
        </w:tc>
      </w:tr>
      <w:tr w14:paraId="6C20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0" w:hRule="atLeast"/>
          <w:jc w:val="center"/>
        </w:trPr>
        <w:tc>
          <w:tcPr>
            <w:tcW w:w="814" w:type="dxa"/>
            <w:shd w:val="clear" w:color="auto" w:fill="auto"/>
            <w:tcMar>
              <w:top w:w="0" w:type="dxa"/>
              <w:left w:w="105" w:type="dxa"/>
              <w:bottom w:w="0" w:type="dxa"/>
              <w:right w:w="105" w:type="dxa"/>
            </w:tcMar>
            <w:vAlign w:val="center"/>
          </w:tcPr>
          <w:p w14:paraId="364EE70A">
            <w:pPr>
              <w:widowControl/>
              <w:spacing w:after="225" w:line="285" w:lineRule="atLeast"/>
              <w:jc w:val="center"/>
              <w:textAlignment w:val="center"/>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lang w:val="en-US" w:eastAsia="zh-CN"/>
                <w14:ligatures w14:val="none"/>
              </w:rPr>
              <w:t>9</w:t>
            </w:r>
          </w:p>
        </w:tc>
        <w:tc>
          <w:tcPr>
            <w:tcW w:w="2410" w:type="dxa"/>
            <w:shd w:val="clear" w:color="auto" w:fill="auto"/>
            <w:tcMar>
              <w:top w:w="0" w:type="dxa"/>
              <w:left w:w="105" w:type="dxa"/>
              <w:bottom w:w="0" w:type="dxa"/>
              <w:right w:w="105" w:type="dxa"/>
            </w:tcMar>
            <w:vAlign w:val="center"/>
          </w:tcPr>
          <w:p w14:paraId="311D3AEA">
            <w:pPr>
              <w:widowControl/>
              <w:spacing w:after="225" w:line="285" w:lineRule="atLeast"/>
              <w:jc w:val="left"/>
              <w:textAlignment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化妆品生产经营者违反法律、法规、规章、强制性国家标准、技术规范</w:t>
            </w:r>
          </w:p>
        </w:tc>
        <w:tc>
          <w:tcPr>
            <w:tcW w:w="3907" w:type="dxa"/>
            <w:shd w:val="clear" w:color="auto" w:fill="auto"/>
            <w:tcMar>
              <w:top w:w="0" w:type="dxa"/>
              <w:left w:w="105" w:type="dxa"/>
              <w:bottom w:w="0" w:type="dxa"/>
              <w:right w:w="105" w:type="dxa"/>
            </w:tcMar>
            <w:vAlign w:val="center"/>
          </w:tcPr>
          <w:p w14:paraId="6FA69BE3">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初次违法且危害后果轻微并及时改正。</w:t>
            </w:r>
          </w:p>
        </w:tc>
        <w:tc>
          <w:tcPr>
            <w:tcW w:w="5091" w:type="dxa"/>
            <w:shd w:val="clear" w:color="auto" w:fill="auto"/>
            <w:tcMar>
              <w:top w:w="0" w:type="dxa"/>
              <w:left w:w="105" w:type="dxa"/>
              <w:bottom w:w="0" w:type="dxa"/>
              <w:right w:w="105" w:type="dxa"/>
            </w:tcMar>
            <w:vAlign w:val="center"/>
          </w:tcPr>
          <w:p w14:paraId="6DE78CD3">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《化妆品生产经营监督管理办法》第六十二条第一款：化妆品生产经营者违反法律、法规、规章、强制性国家标准、技术规范，属于初次违法且危害后果轻微并及时改正的，可以不予行政处罚。</w:t>
            </w:r>
          </w:p>
        </w:tc>
        <w:tc>
          <w:tcPr>
            <w:tcW w:w="1536" w:type="dxa"/>
            <w:vAlign w:val="center"/>
          </w:tcPr>
          <w:p w14:paraId="1EC5B8D1">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948" w:type="dxa"/>
            <w:shd w:val="clear" w:color="auto" w:fill="auto"/>
            <w:tcMar>
              <w:top w:w="0" w:type="dxa"/>
              <w:left w:w="105" w:type="dxa"/>
              <w:bottom w:w="0" w:type="dxa"/>
              <w:right w:w="105" w:type="dxa"/>
            </w:tcMar>
            <w:vAlign w:val="center"/>
          </w:tcPr>
          <w:p w14:paraId="23CB9860">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市级</w:t>
            </w:r>
            <w:r>
              <w:rPr>
                <w:rFonts w:ascii="宋体" w:hAnsi="宋体" w:eastAsia="宋体" w:cs="宋体"/>
                <w:color w:val="auto"/>
                <w:sz w:val="24"/>
                <w:szCs w:val="24"/>
                <w:highlight w:val="none"/>
                <w:u w:val="none"/>
                <w14:ligatures w14:val="none"/>
              </w:rPr>
              <w:t>,区级</w:t>
            </w:r>
          </w:p>
        </w:tc>
      </w:tr>
      <w:tr w14:paraId="2A5B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0" w:hRule="atLeast"/>
          <w:jc w:val="center"/>
        </w:trPr>
        <w:tc>
          <w:tcPr>
            <w:tcW w:w="814" w:type="dxa"/>
            <w:shd w:val="clear" w:color="auto" w:fill="auto"/>
            <w:tcMar>
              <w:top w:w="0" w:type="dxa"/>
              <w:left w:w="105" w:type="dxa"/>
              <w:bottom w:w="0" w:type="dxa"/>
              <w:right w:w="105" w:type="dxa"/>
            </w:tcMar>
            <w:vAlign w:val="center"/>
          </w:tcPr>
          <w:p w14:paraId="55C3BF67">
            <w:pPr>
              <w:widowControl/>
              <w:spacing w:after="225" w:line="285" w:lineRule="atLeast"/>
              <w:jc w:val="center"/>
              <w:textAlignment w:val="center"/>
              <w:rPr>
                <w:rFonts w:hint="default"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10</w:t>
            </w:r>
          </w:p>
        </w:tc>
        <w:tc>
          <w:tcPr>
            <w:tcW w:w="2410" w:type="dxa"/>
            <w:shd w:val="clear" w:color="auto" w:fill="auto"/>
            <w:tcMar>
              <w:top w:w="0" w:type="dxa"/>
              <w:left w:w="105" w:type="dxa"/>
              <w:bottom w:w="0" w:type="dxa"/>
              <w:right w:w="105" w:type="dxa"/>
            </w:tcMar>
            <w:vAlign w:val="center"/>
          </w:tcPr>
          <w:p w14:paraId="4070FC01">
            <w:pPr>
              <w:widowControl/>
              <w:spacing w:after="225" w:line="285" w:lineRule="atLeast"/>
              <w:jc w:val="left"/>
              <w:textAlignment w:val="center"/>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lang w:val="en-US" w:eastAsia="zh-CN"/>
                <w14:ligatures w14:val="none"/>
              </w:rPr>
              <w:t>美容美发机构、宾馆等服务机构擅自配制化妆品</w:t>
            </w:r>
          </w:p>
        </w:tc>
        <w:tc>
          <w:tcPr>
            <w:tcW w:w="3907" w:type="dxa"/>
            <w:shd w:val="clear" w:color="auto" w:fill="auto"/>
            <w:tcMar>
              <w:top w:w="0" w:type="dxa"/>
              <w:left w:w="105" w:type="dxa"/>
              <w:bottom w:w="0" w:type="dxa"/>
              <w:right w:w="105" w:type="dxa"/>
            </w:tcMar>
            <w:vAlign w:val="center"/>
          </w:tcPr>
          <w:p w14:paraId="797521BE">
            <w:pPr>
              <w:widowControl/>
              <w:numPr>
                <w:ilvl w:val="0"/>
                <w:numId w:val="0"/>
              </w:numPr>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lang w:val="en-US" w:eastAsia="zh-CN" w:bidi="ar-SA"/>
                <w14:ligatures w14:val="none"/>
              </w:rPr>
              <w:t>1.</w:t>
            </w:r>
            <w:r>
              <w:rPr>
                <w:rFonts w:hint="eastAsia" w:ascii="宋体" w:hAnsi="宋体" w:eastAsia="宋体" w:cs="宋体"/>
                <w:color w:val="auto"/>
                <w:kern w:val="0"/>
                <w:sz w:val="24"/>
                <w:szCs w:val="24"/>
                <w:highlight w:val="none"/>
                <w:u w:val="none"/>
                <w14:ligatures w14:val="none"/>
              </w:rPr>
              <w:t>初次违法且危害后果轻微并及时改正。</w:t>
            </w:r>
          </w:p>
          <w:p w14:paraId="64D96BB0">
            <w:pPr>
              <w:widowControl/>
              <w:numPr>
                <w:ilvl w:val="0"/>
                <w:numId w:val="0"/>
              </w:numPr>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lang w:val="en-US" w:eastAsia="zh-CN" w:bidi="ar-SA"/>
                <w14:ligatures w14:val="none"/>
              </w:rPr>
              <w:t>2.</w:t>
            </w:r>
            <w:r>
              <w:rPr>
                <w:rFonts w:hint="eastAsia" w:ascii="宋体" w:hAnsi="宋体" w:eastAsia="宋体" w:cs="宋体"/>
                <w:color w:val="auto"/>
                <w:kern w:val="0"/>
                <w:sz w:val="24"/>
                <w:szCs w:val="24"/>
                <w:highlight w:val="none"/>
                <w:u w:val="none"/>
                <w:lang w:val="en-US" w:eastAsia="zh-CN"/>
                <w14:ligatures w14:val="none"/>
              </w:rPr>
              <w:t>分装后的化妆品仅限于在本机构内给消费者使用，未对外销售。</w:t>
            </w:r>
          </w:p>
          <w:p w14:paraId="0CAB9F19">
            <w:pPr>
              <w:widowControl/>
              <w:numPr>
                <w:ilvl w:val="0"/>
                <w:numId w:val="0"/>
              </w:numPr>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3.仅限于美容美发机构、宾馆等服务机构的分装行为，且是来源合法、质量合格的化妆品。</w:t>
            </w:r>
            <w:bookmarkStart w:id="2" w:name="_GoBack"/>
            <w:bookmarkEnd w:id="2"/>
          </w:p>
        </w:tc>
        <w:tc>
          <w:tcPr>
            <w:tcW w:w="5091" w:type="dxa"/>
            <w:shd w:val="clear" w:color="auto" w:fill="auto"/>
            <w:tcMar>
              <w:top w:w="0" w:type="dxa"/>
              <w:left w:w="105" w:type="dxa"/>
              <w:bottom w:w="0" w:type="dxa"/>
              <w:right w:w="105" w:type="dxa"/>
            </w:tcMar>
            <w:vAlign w:val="center"/>
          </w:tcPr>
          <w:p w14:paraId="546BB428">
            <w:pPr>
              <w:widowControl/>
              <w:jc w:val="left"/>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lang w:val="en-US" w:eastAsia="zh-CN"/>
                <w14:ligatures w14:val="none"/>
              </w:rPr>
              <w:t>1.</w:t>
            </w:r>
            <w:r>
              <w:rPr>
                <w:rFonts w:hint="eastAsia" w:ascii="宋体" w:hAnsi="宋体" w:eastAsia="宋体" w:cs="宋体"/>
                <w:color w:val="auto"/>
                <w:kern w:val="0"/>
                <w:sz w:val="24"/>
                <w:szCs w:val="24"/>
                <w:highlight w:val="none"/>
                <w:u w:val="none"/>
                <w:lang w:eastAsia="zh-CN"/>
                <w14:ligatures w14:val="none"/>
              </w:rPr>
              <w:t>《行政处罚法》</w:t>
            </w:r>
            <w:r>
              <w:rPr>
                <w:rFonts w:hint="eastAsia" w:ascii="宋体" w:hAnsi="宋体" w:eastAsia="宋体" w:cs="宋体"/>
                <w:color w:val="auto"/>
                <w:kern w:val="0"/>
                <w:sz w:val="24"/>
                <w:szCs w:val="24"/>
                <w:highlight w:val="none"/>
                <w:u w:val="none"/>
                <w:lang w:val="en-US" w:eastAsia="zh-CN"/>
                <w14:ligatures w14:val="none"/>
              </w:rPr>
              <w:t>第三十三条第一款:违法行为轻微并及时改正,没有造成危害后果的,不予行政处罚。初次违法且危害后果轻微并及时改正的,可以不予行政处罚。</w:t>
            </w:r>
          </w:p>
          <w:p w14:paraId="78836DCD">
            <w:pPr>
              <w:widowControl/>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2.《化妆品监督管理条例》第六十条第五项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14:paraId="4652E2CA">
            <w:pPr>
              <w:widowControl/>
              <w:numPr>
                <w:ilvl w:val="0"/>
                <w:numId w:val="3"/>
              </w:numPr>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化妆品经营者擅自配制化妆品，或者经营变质、超过使用期限的化妆品；</w:t>
            </w:r>
          </w:p>
          <w:p w14:paraId="494F6D55">
            <w:pPr>
              <w:widowControl/>
              <w:jc w:val="left"/>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lang w:val="en-US" w:eastAsia="zh-CN"/>
                <w14:ligatures w14:val="none"/>
              </w:rPr>
              <w:t>3.《化妆品生产经营监督管理办法》第四十一条 美容美发机构、宾馆等在经营服务中使用化妆品或者为消费者提供化妆品的，应当依法履行化妆品监督管理条例以及本办法规定的化妆品经营者义务。</w:t>
            </w:r>
          </w:p>
        </w:tc>
        <w:tc>
          <w:tcPr>
            <w:tcW w:w="1536" w:type="dxa"/>
            <w:vAlign w:val="center"/>
          </w:tcPr>
          <w:p w14:paraId="51B4203F">
            <w:pPr>
              <w:widowControl/>
              <w:jc w:val="center"/>
              <w:rPr>
                <w:rFonts w:hint="eastAsia" w:ascii="宋体" w:hAnsi="宋体" w:eastAsia="宋体" w:cs="宋体"/>
                <w:color w:val="auto"/>
                <w:kern w:val="2"/>
                <w:sz w:val="24"/>
                <w:szCs w:val="24"/>
                <w:highlight w:val="none"/>
                <w:u w:val="none"/>
                <w:lang w:val="en-US" w:eastAsia="zh-CN" w:bidi="ar-SA"/>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948" w:type="dxa"/>
            <w:shd w:val="clear" w:color="auto" w:fill="auto"/>
            <w:tcMar>
              <w:top w:w="0" w:type="dxa"/>
              <w:left w:w="105" w:type="dxa"/>
              <w:bottom w:w="0" w:type="dxa"/>
              <w:right w:w="105" w:type="dxa"/>
            </w:tcMar>
            <w:vAlign w:val="center"/>
          </w:tcPr>
          <w:p w14:paraId="03432889">
            <w:pPr>
              <w:widowControl/>
              <w:jc w:val="center"/>
              <w:rPr>
                <w:rFonts w:hint="eastAsia" w:ascii="宋体" w:hAnsi="宋体" w:eastAsia="宋体" w:cs="宋体"/>
                <w:color w:val="auto"/>
                <w:kern w:val="2"/>
                <w:sz w:val="24"/>
                <w:szCs w:val="24"/>
                <w:highlight w:val="none"/>
                <w:u w:val="none"/>
                <w:lang w:val="en-US" w:eastAsia="zh-CN" w:bidi="ar-SA"/>
                <w14:ligatures w14:val="none"/>
              </w:rPr>
            </w:pPr>
            <w:r>
              <w:rPr>
                <w:rFonts w:ascii="宋体" w:hAnsi="宋体" w:eastAsia="宋体" w:cs="宋体"/>
                <w:color w:val="auto"/>
                <w:sz w:val="24"/>
                <w:szCs w:val="24"/>
                <w:highlight w:val="none"/>
                <w:u w:val="none"/>
                <w14:ligatures w14:val="none"/>
              </w:rPr>
              <w:t>区级</w:t>
            </w:r>
          </w:p>
        </w:tc>
      </w:tr>
    </w:tbl>
    <w:p w14:paraId="18D86D5E">
      <w:pPr>
        <w:spacing w:before="156" w:beforeLines="50" w:after="156" w:afterLines="50"/>
        <w:ind w:firstLine="640" w:firstLineChars="200"/>
        <w:jc w:val="left"/>
        <w:rPr>
          <w:rFonts w:hint="eastAsia" w:ascii="黑体" w:hAnsi="黑体" w:eastAsia="黑体"/>
          <w:b w:val="0"/>
          <w:bCs w:val="0"/>
          <w:color w:val="auto"/>
          <w:sz w:val="32"/>
          <w:szCs w:val="32"/>
          <w:highlight w:val="none"/>
          <w:u w:val="none"/>
        </w:rPr>
      </w:pPr>
      <w:r>
        <w:rPr>
          <w:rFonts w:hint="eastAsia" w:ascii="黑体" w:hAnsi="黑体" w:eastAsia="黑体"/>
          <w:b w:val="0"/>
          <w:bCs w:val="0"/>
          <w:color w:val="auto"/>
          <w:sz w:val="32"/>
          <w:szCs w:val="32"/>
          <w:highlight w:val="none"/>
          <w:u w:val="none"/>
          <w:lang w:val="en-US" w:eastAsia="zh-CN"/>
        </w:rPr>
        <w:t>三</w:t>
      </w:r>
      <w:r>
        <w:rPr>
          <w:rFonts w:hint="eastAsia" w:ascii="黑体" w:hAnsi="黑体" w:eastAsia="黑体"/>
          <w:b w:val="0"/>
          <w:bCs w:val="0"/>
          <w:color w:val="auto"/>
          <w:sz w:val="32"/>
          <w:szCs w:val="32"/>
          <w:highlight w:val="none"/>
          <w:u w:val="none"/>
        </w:rPr>
        <w:t>、存在下列情形，</w:t>
      </w:r>
      <w:bookmarkStart w:id="1" w:name="_Hlk172647192"/>
      <w:r>
        <w:rPr>
          <w:rFonts w:hint="eastAsia" w:ascii="黑体" w:hAnsi="黑体" w:eastAsia="黑体"/>
          <w:b w:val="0"/>
          <w:bCs w:val="0"/>
          <w:color w:val="auto"/>
          <w:sz w:val="32"/>
          <w:szCs w:val="32"/>
          <w:highlight w:val="none"/>
          <w:u w:val="none"/>
        </w:rPr>
        <w:t>有证据足以证明没有主观过错的，</w:t>
      </w:r>
      <w:r>
        <w:rPr>
          <w:rFonts w:hint="eastAsia" w:ascii="黑体" w:hAnsi="黑体" w:eastAsia="黑体"/>
          <w:b w:val="0"/>
          <w:bCs w:val="0"/>
          <w:color w:val="auto"/>
          <w:sz w:val="32"/>
          <w:szCs w:val="32"/>
          <w:highlight w:val="none"/>
          <w:u w:val="none"/>
          <w:lang w:val="en-US" w:eastAsia="zh-CN"/>
        </w:rPr>
        <w:t>不予</w:t>
      </w:r>
      <w:r>
        <w:rPr>
          <w:rFonts w:hint="eastAsia" w:ascii="黑体" w:hAnsi="黑体" w:eastAsia="黑体"/>
          <w:b w:val="0"/>
          <w:bCs w:val="0"/>
          <w:color w:val="auto"/>
          <w:sz w:val="32"/>
          <w:szCs w:val="32"/>
          <w:highlight w:val="none"/>
          <w:u w:val="none"/>
        </w:rPr>
        <w:t>行政处罚</w:t>
      </w:r>
      <w:bookmarkEnd w:id="1"/>
      <w:r>
        <w:rPr>
          <w:rFonts w:hint="eastAsia" w:ascii="黑体" w:hAnsi="黑体" w:eastAsia="黑体"/>
          <w:b w:val="0"/>
          <w:bCs w:val="0"/>
          <w:color w:val="auto"/>
          <w:sz w:val="32"/>
          <w:szCs w:val="32"/>
          <w:highlight w:val="none"/>
          <w:u w:val="none"/>
        </w:rPr>
        <w:t>。</w:t>
      </w:r>
    </w:p>
    <w:tbl>
      <w:tblPr>
        <w:tblStyle w:val="5"/>
        <w:tblpPr w:leftFromText="180" w:rightFromText="180" w:vertAnchor="text" w:tblpXSpec="center" w:tblpY="1"/>
        <w:tblOverlap w:val="never"/>
        <w:tblW w:w="14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4"/>
        <w:gridCol w:w="2410"/>
        <w:gridCol w:w="4111"/>
        <w:gridCol w:w="4677"/>
        <w:gridCol w:w="1418"/>
        <w:gridCol w:w="1276"/>
      </w:tblGrid>
      <w:tr w14:paraId="485F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14" w:type="dxa"/>
            <w:shd w:val="clear" w:color="auto" w:fill="auto"/>
            <w:tcMar>
              <w:top w:w="0" w:type="dxa"/>
              <w:left w:w="105" w:type="dxa"/>
              <w:bottom w:w="0" w:type="dxa"/>
              <w:right w:w="105" w:type="dxa"/>
            </w:tcMar>
            <w:vAlign w:val="center"/>
          </w:tcPr>
          <w:p w14:paraId="79D353E6">
            <w:pPr>
              <w:widowControl/>
              <w:spacing w:after="225" w:line="285" w:lineRule="atLeast"/>
              <w:jc w:val="center"/>
              <w:textAlignment w:val="center"/>
              <w:rPr>
                <w:rFonts w:ascii="宋体" w:hAnsi="宋体" w:eastAsia="宋体" w:cs="宋体"/>
                <w:color w:val="auto"/>
                <w:kern w:val="0"/>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14:ligatures w14:val="none"/>
              </w:rPr>
              <w:t>序号</w:t>
            </w:r>
          </w:p>
        </w:tc>
        <w:tc>
          <w:tcPr>
            <w:tcW w:w="2410" w:type="dxa"/>
            <w:shd w:val="clear" w:color="auto" w:fill="auto"/>
            <w:tcMar>
              <w:top w:w="0" w:type="dxa"/>
              <w:left w:w="105" w:type="dxa"/>
              <w:bottom w:w="0" w:type="dxa"/>
              <w:right w:w="105" w:type="dxa"/>
            </w:tcMar>
            <w:vAlign w:val="center"/>
          </w:tcPr>
          <w:p w14:paraId="0AB25249">
            <w:pPr>
              <w:widowControl/>
              <w:spacing w:after="225" w:line="285" w:lineRule="atLeast"/>
              <w:jc w:val="center"/>
              <w:textAlignment w:val="center"/>
              <w:rPr>
                <w:rFonts w:ascii="宋体" w:hAnsi="宋体" w:eastAsia="宋体" w:cs="宋体"/>
                <w:color w:val="auto"/>
                <w:kern w:val="0"/>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14:ligatures w14:val="none"/>
              </w:rPr>
              <w:t>违法行为</w:t>
            </w:r>
          </w:p>
        </w:tc>
        <w:tc>
          <w:tcPr>
            <w:tcW w:w="4111" w:type="dxa"/>
            <w:shd w:val="clear" w:color="auto" w:fill="auto"/>
            <w:tcMar>
              <w:top w:w="0" w:type="dxa"/>
              <w:left w:w="105" w:type="dxa"/>
              <w:bottom w:w="0" w:type="dxa"/>
              <w:right w:w="105" w:type="dxa"/>
            </w:tcMar>
            <w:vAlign w:val="center"/>
          </w:tcPr>
          <w:p w14:paraId="1F461DC1">
            <w:pPr>
              <w:widowControl/>
              <w:spacing w:after="225" w:line="285" w:lineRule="atLeast"/>
              <w:jc w:val="center"/>
              <w:textAlignment w:val="center"/>
              <w:rPr>
                <w:rFonts w:ascii="宋体" w:hAnsi="宋体" w:eastAsia="宋体" w:cs="宋体"/>
                <w:color w:val="auto"/>
                <w:kern w:val="0"/>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lang w:val="en-US" w:eastAsia="zh-CN"/>
                <w14:ligatures w14:val="none"/>
              </w:rPr>
              <w:t>不予</w:t>
            </w:r>
            <w:r>
              <w:rPr>
                <w:rFonts w:hint="eastAsia" w:ascii="仿宋_GB2312" w:hAnsi="宋体" w:eastAsia="仿宋_GB2312" w:cs="宋体"/>
                <w:b/>
                <w:bCs/>
                <w:color w:val="auto"/>
                <w:kern w:val="0"/>
                <w:sz w:val="24"/>
                <w:szCs w:val="24"/>
                <w:highlight w:val="none"/>
                <w:u w:val="none"/>
                <w14:ligatures w14:val="none"/>
              </w:rPr>
              <w:t>处罚应同时符合以下条件</w:t>
            </w:r>
          </w:p>
        </w:tc>
        <w:tc>
          <w:tcPr>
            <w:tcW w:w="4677" w:type="dxa"/>
            <w:shd w:val="clear" w:color="auto" w:fill="auto"/>
            <w:tcMar>
              <w:top w:w="0" w:type="dxa"/>
              <w:left w:w="105" w:type="dxa"/>
              <w:bottom w:w="0" w:type="dxa"/>
              <w:right w:w="105" w:type="dxa"/>
            </w:tcMar>
            <w:vAlign w:val="center"/>
          </w:tcPr>
          <w:p w14:paraId="576B454B">
            <w:pPr>
              <w:widowControl/>
              <w:spacing w:after="225" w:line="285" w:lineRule="atLeast"/>
              <w:jc w:val="center"/>
              <w:textAlignment w:val="center"/>
              <w:rPr>
                <w:rFonts w:ascii="宋体" w:hAnsi="宋体" w:eastAsia="宋体" w:cs="宋体"/>
                <w:color w:val="auto"/>
                <w:kern w:val="0"/>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14:ligatures w14:val="none"/>
              </w:rPr>
              <w:t>实施依据</w:t>
            </w:r>
          </w:p>
        </w:tc>
        <w:tc>
          <w:tcPr>
            <w:tcW w:w="1418" w:type="dxa"/>
            <w:vAlign w:val="center"/>
          </w:tcPr>
          <w:p w14:paraId="3EDE80F2">
            <w:pPr>
              <w:widowControl/>
              <w:spacing w:after="225" w:line="285" w:lineRule="atLeast"/>
              <w:jc w:val="center"/>
              <w:textAlignment w:val="center"/>
              <w:rPr>
                <w:rFonts w:ascii="仿宋_GB2312" w:hAnsi="宋体" w:eastAsia="仿宋_GB2312" w:cs="宋体"/>
                <w:b/>
                <w:bCs/>
                <w:color w:val="auto"/>
                <w:kern w:val="0"/>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14:ligatures w14:val="none"/>
              </w:rPr>
              <w:t>管理措施</w:t>
            </w:r>
          </w:p>
        </w:tc>
        <w:tc>
          <w:tcPr>
            <w:tcW w:w="1276" w:type="dxa"/>
            <w:shd w:val="clear" w:color="auto" w:fill="auto"/>
            <w:tcMar>
              <w:top w:w="0" w:type="dxa"/>
              <w:left w:w="105" w:type="dxa"/>
              <w:bottom w:w="0" w:type="dxa"/>
              <w:right w:w="105" w:type="dxa"/>
            </w:tcMar>
            <w:vAlign w:val="center"/>
          </w:tcPr>
          <w:p w14:paraId="57B69814">
            <w:pPr>
              <w:widowControl/>
              <w:spacing w:after="225" w:line="285" w:lineRule="atLeast"/>
              <w:jc w:val="center"/>
              <w:textAlignment w:val="center"/>
              <w:rPr>
                <w:rFonts w:ascii="宋体" w:hAnsi="宋体" w:eastAsia="宋体" w:cs="宋体"/>
                <w:color w:val="auto"/>
                <w:kern w:val="0"/>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14:ligatures w14:val="none"/>
              </w:rPr>
              <w:t>行使层级</w:t>
            </w:r>
          </w:p>
        </w:tc>
      </w:tr>
      <w:tr w14:paraId="365C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14" w:type="dxa"/>
            <w:shd w:val="clear" w:color="auto" w:fill="auto"/>
            <w:tcMar>
              <w:top w:w="0" w:type="dxa"/>
              <w:left w:w="105" w:type="dxa"/>
              <w:bottom w:w="0" w:type="dxa"/>
              <w:right w:w="105" w:type="dxa"/>
            </w:tcMar>
            <w:vAlign w:val="center"/>
          </w:tcPr>
          <w:p w14:paraId="3E9E1ED2">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bidi="ar-SA"/>
                <w14:ligatures w14:val="none"/>
              </w:rPr>
            </w:pPr>
            <w:r>
              <w:rPr>
                <w:rFonts w:hint="eastAsia" w:ascii="仿宋_GB2312" w:hAnsi="宋体" w:eastAsia="仿宋_GB2312" w:cs="宋体"/>
                <w:color w:val="auto"/>
                <w:kern w:val="0"/>
                <w:sz w:val="24"/>
                <w:szCs w:val="24"/>
                <w:highlight w:val="none"/>
                <w:u w:val="none"/>
                <w:lang w:val="en-US" w:eastAsia="zh-CN" w:bidi="ar-SA"/>
                <w14:ligatures w14:val="none"/>
              </w:rPr>
              <w:t>1</w:t>
            </w:r>
          </w:p>
        </w:tc>
        <w:tc>
          <w:tcPr>
            <w:tcW w:w="2410" w:type="dxa"/>
            <w:shd w:val="clear" w:color="auto" w:fill="auto"/>
            <w:tcMar>
              <w:top w:w="0" w:type="dxa"/>
              <w:left w:w="105" w:type="dxa"/>
              <w:bottom w:w="0" w:type="dxa"/>
              <w:right w:w="105" w:type="dxa"/>
            </w:tcMar>
            <w:vAlign w:val="center"/>
          </w:tcPr>
          <w:p w14:paraId="12E24BE6">
            <w:pPr>
              <w:widowControl/>
              <w:jc w:val="center"/>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14:ligatures w14:val="none"/>
              </w:rPr>
              <w:t>药品上市许可持有人、药品生产企业、药品经营企业或者医疗机构违反规定聘用患有传染病或者其他可能污染药品的疾病的人员</w:t>
            </w:r>
          </w:p>
        </w:tc>
        <w:tc>
          <w:tcPr>
            <w:tcW w:w="4111" w:type="dxa"/>
            <w:shd w:val="clear" w:color="auto" w:fill="auto"/>
            <w:tcMar>
              <w:top w:w="0" w:type="dxa"/>
              <w:left w:w="105" w:type="dxa"/>
              <w:bottom w:w="0" w:type="dxa"/>
              <w:right w:w="105" w:type="dxa"/>
            </w:tcMar>
            <w:vAlign w:val="center"/>
          </w:tcPr>
          <w:p w14:paraId="34B4AB80">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1.已建立从业人员健康管理制度；</w:t>
            </w:r>
          </w:p>
          <w:p w14:paraId="047E5E67">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w:t>
            </w:r>
            <w:r>
              <w:rPr>
                <w:rFonts w:ascii="宋体" w:hAnsi="宋体" w:eastAsia="宋体" w:cs="宋体"/>
                <w:color w:val="auto"/>
                <w:kern w:val="0"/>
                <w:sz w:val="24"/>
                <w:szCs w:val="24"/>
                <w:highlight w:val="none"/>
                <w:u w:val="none"/>
                <w14:ligatures w14:val="none"/>
              </w:rPr>
              <w:t>立即自行改正，或在行政机关责令改正或要求的期限内改正；</w:t>
            </w:r>
          </w:p>
          <w:p w14:paraId="61960485">
            <w:pPr>
              <w:widowControl/>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3</w:t>
            </w:r>
            <w:r>
              <w:rPr>
                <w:rFonts w:ascii="宋体" w:hAnsi="宋体" w:eastAsia="宋体" w:cs="宋体"/>
                <w:color w:val="auto"/>
                <w:kern w:val="0"/>
                <w:sz w:val="24"/>
                <w:szCs w:val="24"/>
                <w:highlight w:val="none"/>
                <w:u w:val="none"/>
                <w14:ligatures w14:val="none"/>
              </w:rPr>
              <w:t>.未造成危害后果。</w:t>
            </w:r>
          </w:p>
          <w:p w14:paraId="6570721A">
            <w:pPr>
              <w:widowControl/>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lang w:val="en-US" w:eastAsia="zh-CN"/>
                <w14:ligatures w14:val="none"/>
              </w:rPr>
              <w:t>4.</w:t>
            </w:r>
            <w:r>
              <w:rPr>
                <w:rFonts w:hint="eastAsia" w:ascii="宋体" w:hAnsi="宋体" w:eastAsia="宋体" w:cs="宋体"/>
                <w:color w:val="auto"/>
                <w:kern w:val="0"/>
                <w:sz w:val="24"/>
                <w:szCs w:val="24"/>
                <w:highlight w:val="none"/>
                <w:u w:val="none"/>
                <w14:ligatures w14:val="none"/>
              </w:rPr>
              <w:t>药品上市许可持有人、药品生产企业、药品经营企业或者医疗机构</w:t>
            </w:r>
            <w:r>
              <w:rPr>
                <w:rFonts w:hint="eastAsia" w:ascii="宋体" w:hAnsi="宋体" w:eastAsia="宋体" w:cs="宋体"/>
                <w:color w:val="auto"/>
                <w:kern w:val="0"/>
                <w:sz w:val="24"/>
                <w:szCs w:val="24"/>
                <w:highlight w:val="none"/>
                <w:u w:val="none"/>
                <w:lang w:eastAsia="zh-CN"/>
                <w14:ligatures w14:val="none"/>
              </w:rPr>
              <w:t>无主观过错。</w:t>
            </w:r>
          </w:p>
          <w:p w14:paraId="4486C03C">
            <w:pPr>
              <w:widowControl/>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lang w:val="en-US" w:eastAsia="zh-CN"/>
                <w14:ligatures w14:val="none"/>
              </w:rPr>
              <w:t>5.聘用的人员不参与具体生产工作。</w:t>
            </w:r>
          </w:p>
        </w:tc>
        <w:tc>
          <w:tcPr>
            <w:tcW w:w="4677" w:type="dxa"/>
            <w:shd w:val="clear" w:color="auto" w:fill="auto"/>
            <w:tcMar>
              <w:top w:w="0" w:type="dxa"/>
              <w:left w:w="105" w:type="dxa"/>
              <w:bottom w:w="0" w:type="dxa"/>
              <w:right w:w="105" w:type="dxa"/>
            </w:tcMar>
            <w:vAlign w:val="center"/>
          </w:tcPr>
          <w:p w14:paraId="0E9190AF">
            <w:pPr>
              <w:widowControl/>
              <w:wordWrap w:val="0"/>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14:ligatures w14:val="none"/>
              </w:rPr>
              <w:t>《中华人民共和国药品管理法》第一百四十条：药品上市许可持有人、药品生产企业、药品经营企业或者医疗机构违反本法规定聘用人员的，由药品监督管理部门或者卫生健康主管部门责令解聘，处五万元以上二十万元以下的罚款。</w:t>
            </w:r>
          </w:p>
        </w:tc>
        <w:tc>
          <w:tcPr>
            <w:tcW w:w="1418" w:type="dxa"/>
            <w:vAlign w:val="center"/>
          </w:tcPr>
          <w:p w14:paraId="083373A2">
            <w:pPr>
              <w:widowControl/>
              <w:spacing w:after="225" w:line="285" w:lineRule="atLeast"/>
              <w:jc w:val="center"/>
              <w:textAlignment w:val="center"/>
              <w:rPr>
                <w:rFonts w:hint="eastAsia" w:ascii="仿宋_GB2312" w:hAnsi="宋体" w:eastAsia="仿宋_GB2312" w:cs="宋体"/>
                <w:color w:val="auto"/>
                <w:kern w:val="0"/>
                <w:sz w:val="24"/>
                <w:szCs w:val="24"/>
                <w:highlight w:val="none"/>
                <w:u w:val="none"/>
                <w:lang w:val="en-US" w:eastAsia="zh-CN" w:bidi="ar-SA"/>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5910ACC3">
            <w:pPr>
              <w:widowControl/>
              <w:spacing w:after="225" w:line="285" w:lineRule="atLeast"/>
              <w:jc w:val="center"/>
              <w:textAlignment w:val="center"/>
              <w:rPr>
                <w:rFonts w:hint="eastAsia" w:ascii="仿宋_GB2312" w:hAnsi="宋体" w:eastAsia="仿宋_GB2312" w:cs="宋体"/>
                <w:color w:val="auto"/>
                <w:kern w:val="0"/>
                <w:sz w:val="24"/>
                <w:szCs w:val="24"/>
                <w:highlight w:val="none"/>
                <w:u w:val="none"/>
                <w:lang w:val="en-US" w:eastAsia="zh-CN" w:bidi="ar-SA"/>
                <w14:ligatures w14:val="none"/>
              </w:rPr>
            </w:pPr>
            <w:r>
              <w:rPr>
                <w:rFonts w:hint="eastAsia" w:ascii="宋体" w:hAnsi="宋体" w:eastAsia="宋体" w:cs="宋体"/>
                <w:color w:val="auto"/>
                <w:sz w:val="24"/>
                <w:szCs w:val="24"/>
                <w:highlight w:val="none"/>
                <w:u w:val="none"/>
                <w14:ligatures w14:val="none"/>
              </w:rPr>
              <w:t>市级</w:t>
            </w:r>
            <w:r>
              <w:rPr>
                <w:rFonts w:ascii="宋体" w:hAnsi="宋体" w:eastAsia="宋体" w:cs="宋体"/>
                <w:color w:val="auto"/>
                <w:sz w:val="24"/>
                <w:szCs w:val="24"/>
                <w:highlight w:val="none"/>
                <w:u w:val="none"/>
                <w14:ligatures w14:val="none"/>
              </w:rPr>
              <w:t>,区级</w:t>
            </w:r>
          </w:p>
        </w:tc>
      </w:tr>
      <w:tr w14:paraId="269B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14" w:type="dxa"/>
            <w:shd w:val="clear" w:color="auto" w:fill="auto"/>
            <w:tcMar>
              <w:top w:w="0" w:type="dxa"/>
              <w:left w:w="105" w:type="dxa"/>
              <w:bottom w:w="0" w:type="dxa"/>
              <w:right w:w="105" w:type="dxa"/>
            </w:tcMar>
            <w:vAlign w:val="center"/>
          </w:tcPr>
          <w:p w14:paraId="2B24DC5B">
            <w:pPr>
              <w:widowControl/>
              <w:spacing w:after="225" w:line="285" w:lineRule="atLeast"/>
              <w:jc w:val="center"/>
              <w:textAlignment w:val="center"/>
              <w:rPr>
                <w:rFonts w:hint="default"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lang w:val="en-US" w:eastAsia="zh-CN" w:bidi="ar-SA"/>
                <w14:ligatures w14:val="none"/>
              </w:rPr>
              <w:t>2</w:t>
            </w:r>
          </w:p>
        </w:tc>
        <w:tc>
          <w:tcPr>
            <w:tcW w:w="2410" w:type="dxa"/>
            <w:shd w:val="clear" w:color="auto" w:fill="auto"/>
            <w:tcMar>
              <w:top w:w="0" w:type="dxa"/>
              <w:left w:w="105" w:type="dxa"/>
              <w:bottom w:w="0" w:type="dxa"/>
              <w:right w:w="105" w:type="dxa"/>
            </w:tcMar>
            <w:vAlign w:val="center"/>
          </w:tcPr>
          <w:p w14:paraId="0B29ACE2">
            <w:pPr>
              <w:widowControl/>
              <w:jc w:val="center"/>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lang w:val="en-US" w:eastAsia="zh-CN"/>
                <w14:ligatures w14:val="none"/>
              </w:rPr>
              <w:t>药品经营企业经营的</w:t>
            </w:r>
            <w:r>
              <w:rPr>
                <w:rFonts w:hint="eastAsia" w:ascii="宋体" w:hAnsi="宋体" w:eastAsia="宋体" w:cs="宋体"/>
                <w:color w:val="auto"/>
                <w:kern w:val="0"/>
                <w:sz w:val="24"/>
                <w:szCs w:val="24"/>
                <w:highlight w:val="none"/>
                <w:u w:val="none"/>
                <w14:ligatures w14:val="none"/>
              </w:rPr>
              <w:t>药品标签、说明书未按照规定注明相关信息或者印有规定标志</w:t>
            </w:r>
          </w:p>
        </w:tc>
        <w:tc>
          <w:tcPr>
            <w:tcW w:w="4111" w:type="dxa"/>
            <w:shd w:val="clear" w:color="auto" w:fill="auto"/>
            <w:tcMar>
              <w:top w:w="0" w:type="dxa"/>
              <w:left w:w="105" w:type="dxa"/>
              <w:bottom w:w="0" w:type="dxa"/>
              <w:right w:w="105" w:type="dxa"/>
            </w:tcMar>
            <w:vAlign w:val="center"/>
          </w:tcPr>
          <w:p w14:paraId="46B1DA26">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1.涉案药品不涉及假、劣药；</w:t>
            </w:r>
          </w:p>
          <w:p w14:paraId="39EB3A14">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2.说明书、标签不会对消费者造成误导，不影响用药安全有效；</w:t>
            </w:r>
          </w:p>
          <w:p w14:paraId="213F7DAF">
            <w:pPr>
              <w:widowControl/>
              <w:jc w:val="left"/>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14:ligatures w14:val="none"/>
              </w:rPr>
              <w:t>3.初次违法且危害后果轻微并及时改正。</w:t>
            </w:r>
          </w:p>
        </w:tc>
        <w:tc>
          <w:tcPr>
            <w:tcW w:w="4677" w:type="dxa"/>
            <w:shd w:val="clear" w:color="auto" w:fill="auto"/>
            <w:tcMar>
              <w:top w:w="0" w:type="dxa"/>
              <w:left w:w="105" w:type="dxa"/>
              <w:bottom w:w="0" w:type="dxa"/>
              <w:right w:w="105" w:type="dxa"/>
            </w:tcMar>
            <w:vAlign w:val="center"/>
          </w:tcPr>
          <w:p w14:paraId="1AFEE7BE">
            <w:pPr>
              <w:widowControl/>
              <w:jc w:val="left"/>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14:ligatures w14:val="none"/>
              </w:rPr>
              <w:t>《中华人民共和国药品管理法》第一百二十八条：除依法应当按照假药、劣药处罚的外，药品包装未按照规定印有、贴有标签或者附有说明书，标签、说明书未按照规定注明相关信息或者印有规定标志的，责令改正，给予警告；情节严重的，吊销药品注册证书。</w:t>
            </w:r>
          </w:p>
        </w:tc>
        <w:tc>
          <w:tcPr>
            <w:tcW w:w="1418" w:type="dxa"/>
            <w:vAlign w:val="center"/>
          </w:tcPr>
          <w:p w14:paraId="7AD4B861">
            <w:pPr>
              <w:widowControl/>
              <w:jc w:val="center"/>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30263399">
            <w:pPr>
              <w:widowControl/>
              <w:jc w:val="center"/>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sz w:val="24"/>
                <w:szCs w:val="24"/>
                <w:highlight w:val="none"/>
                <w:u w:val="none"/>
                <w14:ligatures w14:val="none"/>
              </w:rPr>
              <w:t>市级，区级</w:t>
            </w:r>
          </w:p>
        </w:tc>
      </w:tr>
      <w:tr w14:paraId="3239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0" w:hRule="atLeast"/>
          <w:jc w:val="center"/>
        </w:trPr>
        <w:tc>
          <w:tcPr>
            <w:tcW w:w="814" w:type="dxa"/>
            <w:shd w:val="clear" w:color="auto" w:fill="auto"/>
            <w:tcMar>
              <w:top w:w="0" w:type="dxa"/>
              <w:left w:w="105" w:type="dxa"/>
              <w:bottom w:w="0" w:type="dxa"/>
              <w:right w:w="105" w:type="dxa"/>
            </w:tcMar>
            <w:vAlign w:val="center"/>
          </w:tcPr>
          <w:p w14:paraId="09B75AE7">
            <w:pPr>
              <w:widowControl/>
              <w:spacing w:after="225" w:line="285" w:lineRule="atLeast"/>
              <w:jc w:val="center"/>
              <w:textAlignment w:val="center"/>
              <w:rPr>
                <w:rFonts w:hint="eastAsia"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3</w:t>
            </w:r>
          </w:p>
        </w:tc>
        <w:tc>
          <w:tcPr>
            <w:tcW w:w="2410" w:type="dxa"/>
            <w:shd w:val="clear" w:color="auto" w:fill="auto"/>
            <w:tcMar>
              <w:top w:w="0" w:type="dxa"/>
              <w:left w:w="105" w:type="dxa"/>
              <w:bottom w:w="0" w:type="dxa"/>
              <w:right w:w="105" w:type="dxa"/>
            </w:tcMar>
            <w:vAlign w:val="center"/>
          </w:tcPr>
          <w:p w14:paraId="1CB701C0">
            <w:pPr>
              <w:widowControl/>
              <w:jc w:val="left"/>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14:ligatures w14:val="none"/>
              </w:rPr>
              <w:t>药品经营企业、医疗机构无主观过错销售或使用假药、劣药</w:t>
            </w:r>
          </w:p>
        </w:tc>
        <w:tc>
          <w:tcPr>
            <w:tcW w:w="4111" w:type="dxa"/>
            <w:shd w:val="clear" w:color="auto" w:fill="auto"/>
            <w:tcMar>
              <w:top w:w="0" w:type="dxa"/>
              <w:left w:w="105" w:type="dxa"/>
              <w:bottom w:w="0" w:type="dxa"/>
              <w:right w:w="105" w:type="dxa"/>
            </w:tcMar>
            <w:vAlign w:val="center"/>
          </w:tcPr>
          <w:p w14:paraId="41620C7E">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1.已履行法定义务；</w:t>
            </w:r>
          </w:p>
          <w:p w14:paraId="40859C69">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2.有充分证据证明不知道所经营、使用的药品是假药、劣药；</w:t>
            </w:r>
          </w:p>
          <w:p w14:paraId="3223FE25">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3.能如实说明进货来源；</w:t>
            </w:r>
          </w:p>
          <w:p w14:paraId="5FC8EF20">
            <w:pPr>
              <w:widowControl/>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14:ligatures w14:val="none"/>
              </w:rPr>
              <w:t>4.《药品管理法》</w:t>
            </w:r>
            <w:r>
              <w:rPr>
                <w:rFonts w:hint="eastAsia" w:ascii="宋体" w:hAnsi="宋体" w:eastAsia="宋体" w:cs="宋体"/>
                <w:color w:val="auto"/>
                <w:kern w:val="0"/>
                <w:sz w:val="24"/>
                <w:szCs w:val="24"/>
                <w:highlight w:val="none"/>
                <w:u w:val="none"/>
                <w:lang w:val="en-US" w:eastAsia="zh-CN"/>
                <w14:ligatures w14:val="none"/>
              </w:rPr>
              <w:t>第一百三十七条从重情节除外；</w:t>
            </w:r>
          </w:p>
          <w:p w14:paraId="45DE656A">
            <w:pPr>
              <w:widowControl/>
              <w:jc w:val="left"/>
              <w:rPr>
                <w:rFonts w:hint="default"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5.产品自行销毁或在监督管理部门的监督下销毁。</w:t>
            </w:r>
          </w:p>
          <w:p w14:paraId="0592A8DF">
            <w:pPr>
              <w:widowControl/>
              <w:jc w:val="left"/>
              <w:rPr>
                <w:rFonts w:hint="default" w:ascii="宋体" w:hAnsi="宋体" w:eastAsia="宋体" w:cs="宋体"/>
                <w:color w:val="auto"/>
                <w:kern w:val="0"/>
                <w:sz w:val="24"/>
                <w:szCs w:val="24"/>
                <w:highlight w:val="none"/>
                <w:u w:val="none"/>
                <w:lang w:val="en-US" w:eastAsia="zh-CN"/>
                <w14:ligatures w14:val="none"/>
              </w:rPr>
            </w:pPr>
          </w:p>
        </w:tc>
        <w:tc>
          <w:tcPr>
            <w:tcW w:w="4677" w:type="dxa"/>
            <w:shd w:val="clear" w:color="auto" w:fill="auto"/>
            <w:tcMar>
              <w:top w:w="0" w:type="dxa"/>
              <w:left w:w="105" w:type="dxa"/>
              <w:bottom w:w="0" w:type="dxa"/>
              <w:right w:w="105" w:type="dxa"/>
            </w:tcMar>
            <w:vAlign w:val="center"/>
          </w:tcPr>
          <w:p w14:paraId="4DE36C39">
            <w:pPr>
              <w:widowControl/>
              <w:jc w:val="left"/>
              <w:rPr>
                <w:rFonts w:hint="default"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14:ligatures w14:val="none"/>
              </w:rPr>
              <w:t>《药品管理法实施条例》第七十五条：药品经营企业、医疗机构未违反《中华人民共和国药品管理法》和本条例的有关规定，并有充分证据证明其不知道所销售或者使用的药品是假药、劣药的，应当没收其销售或者使用的假药、劣药和违法所得;但是可以免除其他行政处罚。</w:t>
            </w:r>
          </w:p>
        </w:tc>
        <w:tc>
          <w:tcPr>
            <w:tcW w:w="1418" w:type="dxa"/>
            <w:vAlign w:val="center"/>
          </w:tcPr>
          <w:p w14:paraId="4E5D600F">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说服教育、警示告诫、指导约谈等；免除没收之外的行政处罚</w:t>
            </w:r>
          </w:p>
        </w:tc>
        <w:tc>
          <w:tcPr>
            <w:tcW w:w="1276" w:type="dxa"/>
            <w:shd w:val="clear" w:color="auto" w:fill="auto"/>
            <w:tcMar>
              <w:top w:w="0" w:type="dxa"/>
              <w:left w:w="105" w:type="dxa"/>
              <w:bottom w:w="0" w:type="dxa"/>
              <w:right w:w="105" w:type="dxa"/>
            </w:tcMar>
            <w:vAlign w:val="center"/>
          </w:tcPr>
          <w:p w14:paraId="2B07A8A6">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市级，</w:t>
            </w:r>
            <w:r>
              <w:rPr>
                <w:rFonts w:hint="eastAsia" w:ascii="宋体" w:hAnsi="宋体" w:eastAsia="宋体" w:cs="宋体"/>
                <w:color w:val="auto"/>
                <w:kern w:val="0"/>
                <w:sz w:val="24"/>
                <w:szCs w:val="24"/>
                <w:highlight w:val="none"/>
                <w:u w:val="none"/>
                <w14:ligatures w14:val="none"/>
              </w:rPr>
              <w:t>区级</w:t>
            </w:r>
          </w:p>
        </w:tc>
      </w:tr>
      <w:tr w14:paraId="3009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0" w:hRule="atLeast"/>
          <w:jc w:val="center"/>
        </w:trPr>
        <w:tc>
          <w:tcPr>
            <w:tcW w:w="814" w:type="dxa"/>
            <w:shd w:val="clear" w:color="auto" w:fill="auto"/>
            <w:tcMar>
              <w:top w:w="0" w:type="dxa"/>
              <w:left w:w="105" w:type="dxa"/>
              <w:bottom w:w="0" w:type="dxa"/>
              <w:right w:w="105" w:type="dxa"/>
            </w:tcMar>
            <w:vAlign w:val="center"/>
          </w:tcPr>
          <w:p w14:paraId="63DBCAFD">
            <w:pPr>
              <w:widowControl/>
              <w:spacing w:after="225" w:line="285" w:lineRule="atLeast"/>
              <w:jc w:val="center"/>
              <w:textAlignment w:val="center"/>
              <w:rPr>
                <w:rFonts w:ascii="仿宋_GB2312" w:hAnsi="宋体" w:eastAsia="仿宋_GB2312" w:cs="宋体"/>
                <w:color w:val="auto"/>
                <w:kern w:val="0"/>
                <w:sz w:val="24"/>
                <w:szCs w:val="24"/>
                <w:highlight w:val="none"/>
                <w:u w:val="none"/>
                <w14:ligatures w14:val="none"/>
              </w:rPr>
            </w:pPr>
            <w:r>
              <w:rPr>
                <w:rFonts w:hint="eastAsia" w:ascii="仿宋_GB2312" w:hAnsi="宋体" w:eastAsia="仿宋_GB2312" w:cs="宋体"/>
                <w:color w:val="auto"/>
                <w:kern w:val="0"/>
                <w:sz w:val="24"/>
                <w:szCs w:val="24"/>
                <w:highlight w:val="none"/>
                <w:u w:val="none"/>
                <w14:ligatures w14:val="none"/>
              </w:rPr>
              <w:t>4</w:t>
            </w:r>
          </w:p>
        </w:tc>
        <w:tc>
          <w:tcPr>
            <w:tcW w:w="2410" w:type="dxa"/>
            <w:shd w:val="clear" w:color="auto" w:fill="auto"/>
            <w:tcMar>
              <w:top w:w="0" w:type="dxa"/>
              <w:left w:w="105" w:type="dxa"/>
              <w:bottom w:w="0" w:type="dxa"/>
              <w:right w:w="105" w:type="dxa"/>
            </w:tcMar>
            <w:vAlign w:val="center"/>
          </w:tcPr>
          <w:p w14:paraId="03135557">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经营、使用不符合强制性标准或者不符合经注册或备案的产品技术要求的医疗器械</w:t>
            </w:r>
          </w:p>
        </w:tc>
        <w:tc>
          <w:tcPr>
            <w:tcW w:w="4111" w:type="dxa"/>
            <w:shd w:val="clear" w:color="auto" w:fill="auto"/>
            <w:tcMar>
              <w:top w:w="0" w:type="dxa"/>
              <w:left w:w="105" w:type="dxa"/>
              <w:bottom w:w="0" w:type="dxa"/>
              <w:right w:w="105" w:type="dxa"/>
            </w:tcMar>
            <w:vAlign w:val="center"/>
          </w:tcPr>
          <w:p w14:paraId="1F3AABB0">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1.已履行进货查验等义务；</w:t>
            </w:r>
          </w:p>
          <w:p w14:paraId="0BE9E9C8">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2.有充分证据证明不知道所经营、使用的医疗器械不符合法定要求；</w:t>
            </w:r>
          </w:p>
          <w:p w14:paraId="52F547E7">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3.能如实说明进货来源；</w:t>
            </w:r>
          </w:p>
          <w:p w14:paraId="1FC2E89A">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4.积极消除危害后果。</w:t>
            </w:r>
          </w:p>
          <w:p w14:paraId="788F3014">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5.产品自行销毁或在监督管理部门的监督下销毁。</w:t>
            </w:r>
          </w:p>
        </w:tc>
        <w:tc>
          <w:tcPr>
            <w:tcW w:w="4677" w:type="dxa"/>
            <w:shd w:val="clear" w:color="auto" w:fill="auto"/>
            <w:tcMar>
              <w:top w:w="0" w:type="dxa"/>
              <w:left w:w="105" w:type="dxa"/>
              <w:bottom w:w="0" w:type="dxa"/>
              <w:right w:w="105" w:type="dxa"/>
            </w:tcMar>
            <w:vAlign w:val="center"/>
          </w:tcPr>
          <w:p w14:paraId="632F2C44">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医疗器械监督管理条例》第八十七条：医疗器械经营企业、使用单位履行了本条例规定的进货查验等义务，有充分证据证明其不知道所经营、使用的医疗器械为本条例第八十一条第一款第一项、第八十四条第一项、第八十六条第一项和第三项规定情形的医疗器械，并能如实说明其进货来源的，收缴其经营、使用的不符合法定要求的医疗器械，可以免除行政处罚。</w:t>
            </w:r>
          </w:p>
        </w:tc>
        <w:tc>
          <w:tcPr>
            <w:tcW w:w="1418" w:type="dxa"/>
            <w:vAlign w:val="center"/>
          </w:tcPr>
          <w:p w14:paraId="4D5AE2DB">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01CFFC9B">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r>
              <w:rPr>
                <w:rFonts w:ascii="宋体" w:hAnsi="宋体" w:eastAsia="宋体" w:cs="宋体"/>
                <w:color w:val="auto"/>
                <w:kern w:val="0"/>
                <w:sz w:val="24"/>
                <w:szCs w:val="24"/>
                <w:highlight w:val="none"/>
                <w:u w:val="none"/>
                <w14:ligatures w14:val="none"/>
              </w:rPr>
              <w:t>,区级</w:t>
            </w:r>
          </w:p>
        </w:tc>
      </w:tr>
      <w:tr w14:paraId="2DA8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0" w:hRule="atLeast"/>
          <w:jc w:val="center"/>
        </w:trPr>
        <w:tc>
          <w:tcPr>
            <w:tcW w:w="814" w:type="dxa"/>
            <w:shd w:val="clear" w:color="auto" w:fill="auto"/>
            <w:tcMar>
              <w:top w:w="0" w:type="dxa"/>
              <w:left w:w="105" w:type="dxa"/>
              <w:bottom w:w="0" w:type="dxa"/>
              <w:right w:w="105" w:type="dxa"/>
            </w:tcMar>
            <w:vAlign w:val="center"/>
          </w:tcPr>
          <w:p w14:paraId="45CC8927">
            <w:pPr>
              <w:widowControl/>
              <w:spacing w:after="225" w:line="285" w:lineRule="atLeast"/>
              <w:jc w:val="center"/>
              <w:textAlignment w:val="center"/>
              <w:rPr>
                <w:rFonts w:hint="eastAsia" w:ascii="仿宋_GB2312" w:hAnsi="宋体" w:eastAsia="仿宋_GB2312" w:cs="宋体"/>
                <w:color w:val="auto"/>
                <w:kern w:val="0"/>
                <w:sz w:val="24"/>
                <w:szCs w:val="24"/>
                <w:highlight w:val="none"/>
                <w:u w:val="none"/>
                <w:lang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5</w:t>
            </w:r>
          </w:p>
        </w:tc>
        <w:tc>
          <w:tcPr>
            <w:tcW w:w="2410" w:type="dxa"/>
            <w:shd w:val="clear" w:color="auto" w:fill="auto"/>
            <w:tcMar>
              <w:top w:w="0" w:type="dxa"/>
              <w:left w:w="105" w:type="dxa"/>
              <w:bottom w:w="0" w:type="dxa"/>
              <w:right w:w="105" w:type="dxa"/>
            </w:tcMar>
            <w:vAlign w:val="center"/>
          </w:tcPr>
          <w:p w14:paraId="3147C141">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化妆品经营者无主观过错经营不符合强制性国家标准、技术规范或者不符合化妆品注册、备案资料载明的技术要求的化妆品</w:t>
            </w:r>
          </w:p>
        </w:tc>
        <w:tc>
          <w:tcPr>
            <w:tcW w:w="4111" w:type="dxa"/>
            <w:shd w:val="clear" w:color="auto" w:fill="auto"/>
            <w:tcMar>
              <w:top w:w="0" w:type="dxa"/>
              <w:left w:w="105" w:type="dxa"/>
              <w:bottom w:w="0" w:type="dxa"/>
              <w:right w:w="105" w:type="dxa"/>
            </w:tcMar>
            <w:vAlign w:val="center"/>
          </w:tcPr>
          <w:p w14:paraId="581EF5AD">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1.已履行进货查验记录等法定义务；</w:t>
            </w:r>
          </w:p>
          <w:p w14:paraId="43015749">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2.有充分证据证明不知道所采购的化妆品不符合强制性国家标准、技术规范或者不符合化妆品注册、备案资料载明的技术要求；</w:t>
            </w:r>
          </w:p>
          <w:p w14:paraId="3C36FCA4">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3.能如实说明进货来源；</w:t>
            </w:r>
          </w:p>
          <w:p w14:paraId="2CE43F27">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4.积极消除危害后果。</w:t>
            </w:r>
          </w:p>
          <w:p w14:paraId="473196EC">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5.产品自行销毁或在监督管理部门的监督下销毁</w:t>
            </w:r>
          </w:p>
        </w:tc>
        <w:tc>
          <w:tcPr>
            <w:tcW w:w="4677" w:type="dxa"/>
            <w:shd w:val="clear" w:color="auto" w:fill="auto"/>
            <w:tcMar>
              <w:top w:w="0" w:type="dxa"/>
              <w:left w:w="105" w:type="dxa"/>
              <w:bottom w:w="0" w:type="dxa"/>
              <w:right w:w="105" w:type="dxa"/>
            </w:tcMar>
            <w:vAlign w:val="center"/>
          </w:tcPr>
          <w:p w14:paraId="54D1174E">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化妆品监督管理条例》第六十八条：化妆品经营者履行了本条例规定的进货查验记录等义务，有证据证明其不知道所采购的化妆品是不符合强制性国家标准、技术规范或者不符合化妆品注册、备案资料载明的技术要求的，收缴其经营的不符合强制性国家标准、技术规范或者不符合化妆品注册、备案资料载明的技术要求的化妆品，可以免除行政处罚。</w:t>
            </w:r>
          </w:p>
        </w:tc>
        <w:tc>
          <w:tcPr>
            <w:tcW w:w="1418" w:type="dxa"/>
            <w:vAlign w:val="center"/>
          </w:tcPr>
          <w:p w14:paraId="4E56D363">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3E445264">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r>
              <w:rPr>
                <w:rFonts w:ascii="宋体" w:hAnsi="宋体" w:eastAsia="宋体" w:cs="宋体"/>
                <w:color w:val="auto"/>
                <w:kern w:val="0"/>
                <w:sz w:val="24"/>
                <w:szCs w:val="24"/>
                <w:highlight w:val="none"/>
                <w:u w:val="none"/>
                <w14:ligatures w14:val="none"/>
              </w:rPr>
              <w:t>,区级</w:t>
            </w:r>
          </w:p>
        </w:tc>
      </w:tr>
      <w:tr w14:paraId="79B3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0" w:hRule="atLeast"/>
          <w:jc w:val="center"/>
        </w:trPr>
        <w:tc>
          <w:tcPr>
            <w:tcW w:w="814" w:type="dxa"/>
            <w:shd w:val="clear" w:color="auto" w:fill="auto"/>
            <w:tcMar>
              <w:top w:w="0" w:type="dxa"/>
              <w:left w:w="105" w:type="dxa"/>
              <w:bottom w:w="0" w:type="dxa"/>
              <w:right w:w="105" w:type="dxa"/>
            </w:tcMar>
            <w:vAlign w:val="center"/>
          </w:tcPr>
          <w:p w14:paraId="615897ED">
            <w:pPr>
              <w:widowControl/>
              <w:spacing w:after="225" w:line="285" w:lineRule="atLeast"/>
              <w:jc w:val="center"/>
              <w:textAlignment w:val="center"/>
              <w:rPr>
                <w:rFonts w:hint="eastAsia"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6</w:t>
            </w:r>
          </w:p>
        </w:tc>
        <w:tc>
          <w:tcPr>
            <w:tcW w:w="2410" w:type="dxa"/>
            <w:shd w:val="clear" w:color="auto" w:fill="auto"/>
            <w:tcMar>
              <w:top w:w="0" w:type="dxa"/>
              <w:left w:w="105" w:type="dxa"/>
              <w:bottom w:w="0" w:type="dxa"/>
              <w:right w:w="105" w:type="dxa"/>
            </w:tcMar>
            <w:vAlign w:val="center"/>
          </w:tcPr>
          <w:p w14:paraId="3AB4C058">
            <w:pPr>
              <w:widowControl/>
              <w:jc w:val="left"/>
              <w:rPr>
                <w:rFonts w:hint="default"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化妆品经营者经营的化妆品被检出擅自添加禁用物质、禁用原料</w:t>
            </w:r>
          </w:p>
        </w:tc>
        <w:tc>
          <w:tcPr>
            <w:tcW w:w="4111" w:type="dxa"/>
            <w:shd w:val="clear" w:color="auto" w:fill="auto"/>
            <w:tcMar>
              <w:top w:w="0" w:type="dxa"/>
              <w:left w:w="105" w:type="dxa"/>
              <w:bottom w:w="0" w:type="dxa"/>
              <w:right w:w="105" w:type="dxa"/>
            </w:tcMar>
            <w:vAlign w:val="center"/>
          </w:tcPr>
          <w:p w14:paraId="775EF049">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1.已履行进货查验记录等法定义务；</w:t>
            </w:r>
          </w:p>
          <w:p w14:paraId="05F216F6">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2.有充分证据证明不知道所采购的化妆品</w:t>
            </w:r>
            <w:r>
              <w:rPr>
                <w:rFonts w:hint="eastAsia" w:ascii="宋体" w:hAnsi="宋体" w:eastAsia="宋体" w:cs="宋体"/>
                <w:color w:val="auto"/>
                <w:kern w:val="0"/>
                <w:sz w:val="24"/>
                <w:szCs w:val="24"/>
                <w:highlight w:val="none"/>
                <w:u w:val="none"/>
                <w:lang w:val="en-US" w:eastAsia="zh-CN"/>
                <w14:ligatures w14:val="none"/>
              </w:rPr>
              <w:t>添加了禁用物质、禁用原料</w:t>
            </w:r>
            <w:r>
              <w:rPr>
                <w:rFonts w:hint="eastAsia" w:ascii="宋体" w:hAnsi="宋体" w:eastAsia="宋体" w:cs="宋体"/>
                <w:color w:val="auto"/>
                <w:kern w:val="0"/>
                <w:sz w:val="24"/>
                <w:szCs w:val="24"/>
                <w:highlight w:val="none"/>
                <w:u w:val="none"/>
                <w14:ligatures w14:val="none"/>
              </w:rPr>
              <w:t>；</w:t>
            </w:r>
          </w:p>
          <w:p w14:paraId="7D77213A">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3.能如实说明进货来源；</w:t>
            </w:r>
          </w:p>
          <w:p w14:paraId="508508A7">
            <w:pPr>
              <w:widowControl/>
              <w:jc w:val="left"/>
              <w:rPr>
                <w:rFonts w:hint="default"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4.产品标签上未宣称与禁用物质相关的功能介绍</w:t>
            </w:r>
          </w:p>
          <w:p w14:paraId="6B27DD3E">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5</w:t>
            </w:r>
            <w:r>
              <w:rPr>
                <w:rFonts w:hint="eastAsia" w:ascii="宋体" w:hAnsi="宋体" w:eastAsia="宋体" w:cs="宋体"/>
                <w:color w:val="auto"/>
                <w:kern w:val="0"/>
                <w:sz w:val="24"/>
                <w:szCs w:val="24"/>
                <w:highlight w:val="none"/>
                <w:u w:val="none"/>
                <w14:ligatures w14:val="none"/>
              </w:rPr>
              <w:t>.积极消除危害后果。</w:t>
            </w:r>
          </w:p>
          <w:p w14:paraId="6D416EAA">
            <w:pPr>
              <w:widowControl/>
              <w:jc w:val="left"/>
              <w:rPr>
                <w:rFonts w:hint="default"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6.产品自行销毁或在监督管理部门的监督下销毁</w:t>
            </w:r>
          </w:p>
        </w:tc>
        <w:tc>
          <w:tcPr>
            <w:tcW w:w="4677" w:type="dxa"/>
            <w:shd w:val="clear" w:color="auto" w:fill="auto"/>
            <w:tcMar>
              <w:top w:w="0" w:type="dxa"/>
              <w:left w:w="105" w:type="dxa"/>
              <w:bottom w:w="0" w:type="dxa"/>
              <w:right w:w="105" w:type="dxa"/>
            </w:tcMar>
            <w:vAlign w:val="center"/>
          </w:tcPr>
          <w:p w14:paraId="02E3052A">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《化妆品监督管理条例》</w:t>
            </w:r>
            <w:r>
              <w:rPr>
                <w:rFonts w:hint="eastAsia" w:ascii="宋体" w:hAnsi="宋体" w:eastAsia="宋体" w:cs="宋体"/>
                <w:color w:val="auto"/>
                <w:kern w:val="0"/>
                <w:sz w:val="24"/>
                <w:szCs w:val="24"/>
                <w:highlight w:val="none"/>
                <w:u w:val="none"/>
                <w:lang w:val="en-US" w:eastAsia="zh-CN"/>
                <w14:ligatures w14:val="none"/>
              </w:rPr>
              <w:t>第五十九条第一款第三项：</w:t>
            </w:r>
            <w:r>
              <w:rPr>
                <w:rFonts w:hint="eastAsia" w:ascii="宋体" w:hAnsi="宋体" w:eastAsia="宋体" w:cs="宋体"/>
                <w:color w:val="auto"/>
                <w:kern w:val="0"/>
                <w:sz w:val="24"/>
                <w:szCs w:val="24"/>
                <w:highlight w:val="none"/>
                <w:u w:val="none"/>
                <w14:ligatures w14:val="none"/>
              </w:rPr>
              <w:t>（三）使用禁止用于化妆品生产的原料、应当注册但未经注册的新原料生产化妆品，在化妆品中非法添加可能危害人体健康的物质，或者使用超过使用期限、废弃、回收的化妆品或者原料生产化妆品。</w:t>
            </w:r>
          </w:p>
        </w:tc>
        <w:tc>
          <w:tcPr>
            <w:tcW w:w="1418" w:type="dxa"/>
            <w:vAlign w:val="center"/>
          </w:tcPr>
          <w:p w14:paraId="45CB01D6">
            <w:pPr>
              <w:widowControl/>
              <w:jc w:val="center"/>
              <w:rPr>
                <w:rFonts w:hint="eastAsia" w:ascii="宋体" w:hAnsi="宋体" w:eastAsia="宋体" w:cs="宋体"/>
                <w:color w:val="auto"/>
                <w:sz w:val="24"/>
                <w:szCs w:val="24"/>
                <w:highlight w:val="none"/>
                <w:u w:val="none"/>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2B963A4B">
            <w:pPr>
              <w:widowControl/>
              <w:jc w:val="center"/>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r>
              <w:rPr>
                <w:rFonts w:ascii="宋体" w:hAnsi="宋体" w:eastAsia="宋体" w:cs="宋体"/>
                <w:color w:val="auto"/>
                <w:kern w:val="0"/>
                <w:sz w:val="24"/>
                <w:szCs w:val="24"/>
                <w:highlight w:val="none"/>
                <w:u w:val="none"/>
                <w14:ligatures w14:val="none"/>
              </w:rPr>
              <w:t>,区级</w:t>
            </w:r>
          </w:p>
        </w:tc>
      </w:tr>
    </w:tbl>
    <w:p w14:paraId="422CAA96">
      <w:pPr>
        <w:rPr>
          <w:color w:val="auto"/>
          <w:highlight w:val="none"/>
          <w:u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8F159">
    <w:pPr>
      <w:pStyle w:val="2"/>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5877CF8">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B891D"/>
    <w:multiLevelType w:val="singleLevel"/>
    <w:tmpl w:val="BCEB891D"/>
    <w:lvl w:ilvl="0" w:tentative="0">
      <w:start w:val="5"/>
      <w:numFmt w:val="chineseCounting"/>
      <w:lvlText w:val="(%1)"/>
      <w:lvlJc w:val="left"/>
      <w:pPr>
        <w:tabs>
          <w:tab w:val="left" w:pos="312"/>
        </w:tabs>
      </w:pPr>
      <w:rPr>
        <w:rFonts w:hint="eastAsia"/>
      </w:rPr>
    </w:lvl>
  </w:abstractNum>
  <w:abstractNum w:abstractNumId="1">
    <w:nsid w:val="DCF6355C"/>
    <w:multiLevelType w:val="singleLevel"/>
    <w:tmpl w:val="DCF6355C"/>
    <w:lvl w:ilvl="0" w:tentative="0">
      <w:start w:val="2"/>
      <w:numFmt w:val="chineseCounting"/>
      <w:suff w:val="nothing"/>
      <w:lvlText w:val="%1、"/>
      <w:lvlJc w:val="left"/>
      <w:pPr>
        <w:ind w:left="710" w:leftChars="0" w:firstLine="0" w:firstLineChars="0"/>
      </w:pPr>
      <w:rPr>
        <w:rFonts w:hint="eastAsia"/>
      </w:rPr>
    </w:lvl>
  </w:abstractNum>
  <w:abstractNum w:abstractNumId="2">
    <w:nsid w:val="EFFC05D1"/>
    <w:multiLevelType w:val="singleLevel"/>
    <w:tmpl w:val="EFFC05D1"/>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hdrShapeDefaults>
    <o:shapelayout v:ext="edit">
      <o:idmap v:ext="edit" data="3"/>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GFlZTIxMDMzOWI2YTZiMGEyZDY1MTM0ZDI3YTU3NzgifQ=="/>
  </w:docVars>
  <w:rsids>
    <w:rsidRoot w:val="006549A3"/>
    <w:rsid w:val="00006E2F"/>
    <w:rsid w:val="00027F86"/>
    <w:rsid w:val="000A2178"/>
    <w:rsid w:val="000B18FA"/>
    <w:rsid w:val="000B2B87"/>
    <w:rsid w:val="00132625"/>
    <w:rsid w:val="00177D8F"/>
    <w:rsid w:val="002D2172"/>
    <w:rsid w:val="00314C3A"/>
    <w:rsid w:val="0035477E"/>
    <w:rsid w:val="004050A6"/>
    <w:rsid w:val="00444882"/>
    <w:rsid w:val="00446A98"/>
    <w:rsid w:val="004A4CA8"/>
    <w:rsid w:val="005301DF"/>
    <w:rsid w:val="00596ECF"/>
    <w:rsid w:val="005A1698"/>
    <w:rsid w:val="005D36A5"/>
    <w:rsid w:val="006549A3"/>
    <w:rsid w:val="00666178"/>
    <w:rsid w:val="0068438A"/>
    <w:rsid w:val="006F2FCF"/>
    <w:rsid w:val="00742CFB"/>
    <w:rsid w:val="00780CDB"/>
    <w:rsid w:val="0078160C"/>
    <w:rsid w:val="00832FA5"/>
    <w:rsid w:val="008617BE"/>
    <w:rsid w:val="008C1FD3"/>
    <w:rsid w:val="008D70DA"/>
    <w:rsid w:val="00945E68"/>
    <w:rsid w:val="009F35A7"/>
    <w:rsid w:val="00A0074F"/>
    <w:rsid w:val="00A3217D"/>
    <w:rsid w:val="00A56A5B"/>
    <w:rsid w:val="00AA7941"/>
    <w:rsid w:val="00AB2FC7"/>
    <w:rsid w:val="00B203C3"/>
    <w:rsid w:val="00B66090"/>
    <w:rsid w:val="00B8364E"/>
    <w:rsid w:val="00B962E3"/>
    <w:rsid w:val="00BB2A2B"/>
    <w:rsid w:val="00C16383"/>
    <w:rsid w:val="00C3199E"/>
    <w:rsid w:val="00C970D8"/>
    <w:rsid w:val="00D77881"/>
    <w:rsid w:val="00DB5BFF"/>
    <w:rsid w:val="00E90328"/>
    <w:rsid w:val="00EA445A"/>
    <w:rsid w:val="00ED0C6E"/>
    <w:rsid w:val="00F04261"/>
    <w:rsid w:val="00FB7A2F"/>
    <w:rsid w:val="01207B0A"/>
    <w:rsid w:val="01FB40D3"/>
    <w:rsid w:val="022E44A8"/>
    <w:rsid w:val="024B1EDD"/>
    <w:rsid w:val="03887864"/>
    <w:rsid w:val="03CC3F79"/>
    <w:rsid w:val="03D54EE8"/>
    <w:rsid w:val="0451447E"/>
    <w:rsid w:val="069F7723"/>
    <w:rsid w:val="06D53145"/>
    <w:rsid w:val="074B1659"/>
    <w:rsid w:val="078D3A1F"/>
    <w:rsid w:val="0A043E81"/>
    <w:rsid w:val="0A173A74"/>
    <w:rsid w:val="0B8769D7"/>
    <w:rsid w:val="0BB772BD"/>
    <w:rsid w:val="0DF13A98"/>
    <w:rsid w:val="0EB21FBD"/>
    <w:rsid w:val="127001C5"/>
    <w:rsid w:val="12702B94"/>
    <w:rsid w:val="14821D9B"/>
    <w:rsid w:val="16224F9A"/>
    <w:rsid w:val="16617AF2"/>
    <w:rsid w:val="17E035F9"/>
    <w:rsid w:val="1AD27C6F"/>
    <w:rsid w:val="1C512E16"/>
    <w:rsid w:val="1CE41EDC"/>
    <w:rsid w:val="1ED1023E"/>
    <w:rsid w:val="21117B79"/>
    <w:rsid w:val="21ED538F"/>
    <w:rsid w:val="2221328A"/>
    <w:rsid w:val="23490CEA"/>
    <w:rsid w:val="23A45F21"/>
    <w:rsid w:val="24707FE9"/>
    <w:rsid w:val="287A1946"/>
    <w:rsid w:val="2C504398"/>
    <w:rsid w:val="2EC0690B"/>
    <w:rsid w:val="30607673"/>
    <w:rsid w:val="391C17DC"/>
    <w:rsid w:val="39665CFB"/>
    <w:rsid w:val="3BB12EB0"/>
    <w:rsid w:val="3D6D72B7"/>
    <w:rsid w:val="3DFE770B"/>
    <w:rsid w:val="3E5917EB"/>
    <w:rsid w:val="3F1B24DD"/>
    <w:rsid w:val="3FED675B"/>
    <w:rsid w:val="40253B70"/>
    <w:rsid w:val="4151103E"/>
    <w:rsid w:val="458B0897"/>
    <w:rsid w:val="45EE29A9"/>
    <w:rsid w:val="46F34946"/>
    <w:rsid w:val="4B02128C"/>
    <w:rsid w:val="4B8D7117"/>
    <w:rsid w:val="4BAF651F"/>
    <w:rsid w:val="4D302450"/>
    <w:rsid w:val="4E7347F3"/>
    <w:rsid w:val="51AC406F"/>
    <w:rsid w:val="54971006"/>
    <w:rsid w:val="577AF8C3"/>
    <w:rsid w:val="57DF093F"/>
    <w:rsid w:val="5A584D94"/>
    <w:rsid w:val="5BCD7759"/>
    <w:rsid w:val="5D763D21"/>
    <w:rsid w:val="5DE87605"/>
    <w:rsid w:val="5FEE933D"/>
    <w:rsid w:val="61CD6067"/>
    <w:rsid w:val="62D72C0F"/>
    <w:rsid w:val="6AF6C530"/>
    <w:rsid w:val="6C007039"/>
    <w:rsid w:val="6D417909"/>
    <w:rsid w:val="6E11552E"/>
    <w:rsid w:val="6E1A0886"/>
    <w:rsid w:val="70253512"/>
    <w:rsid w:val="704A4693"/>
    <w:rsid w:val="705F07D2"/>
    <w:rsid w:val="71361D68"/>
    <w:rsid w:val="713A4D9B"/>
    <w:rsid w:val="73B2330F"/>
    <w:rsid w:val="743B13F3"/>
    <w:rsid w:val="75FB8D98"/>
    <w:rsid w:val="78210A63"/>
    <w:rsid w:val="79FF8E35"/>
    <w:rsid w:val="7A4E287B"/>
    <w:rsid w:val="7BB15F4F"/>
    <w:rsid w:val="7BFF3D38"/>
    <w:rsid w:val="7D0178AE"/>
    <w:rsid w:val="7DAFA306"/>
    <w:rsid w:val="7E837D82"/>
    <w:rsid w:val="7FCEDBE4"/>
    <w:rsid w:val="7FEFADE3"/>
    <w:rsid w:val="97AF8D80"/>
    <w:rsid w:val="AAFB5FC0"/>
    <w:rsid w:val="B77D3903"/>
    <w:rsid w:val="CFDB1775"/>
    <w:rsid w:val="D0EFF399"/>
    <w:rsid w:val="EDEBB94A"/>
    <w:rsid w:val="F7FF12F8"/>
    <w:rsid w:val="FD792BBE"/>
    <w:rsid w:val="FFA4A699"/>
    <w:rsid w:val="FFF8D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NormalCharacter"/>
    <w:semiHidden/>
    <w:qFormat/>
    <w:uiPriority w:val="0"/>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8654</Words>
  <Characters>8782</Characters>
  <Lines>92</Lines>
  <Paragraphs>26</Paragraphs>
  <TotalTime>10</TotalTime>
  <ScaleCrop>false</ScaleCrop>
  <LinksUpToDate>false</LinksUpToDate>
  <CharactersWithSpaces>8787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2024-07-20T22:11:00Z</dcterms:created>
  <dc:creator>wenzhan niu</dc:creator>
  <cp:lastModifiedBy>于</cp:lastModifiedBy>
  <cp:lastPrinted>2024-09-09T07:55:00Z</cp:lastPrinted>
  <dcterms:modified xsi:type="dcterms:W3CDTF">2024-09-10T00:59:07Z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951F15172B32498285D7B5ADB3CFE8E6_12</vt:lpwstr>
  </property>
</Properties>
</file>