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widowControl/>
        <w:adjustRightInd w:val="0"/>
        <w:snapToGrid w:val="0"/>
        <w:spacing w:line="560" w:lineRule="exact"/>
        <w:ind w:firstLine="198" w:firstLineChars="62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中药品种保护审评专家报名试卷</w:t>
      </w:r>
    </w:p>
    <w:p>
      <w:pPr>
        <w:widowControl/>
        <w:adjustRightInd w:val="0"/>
        <w:snapToGrid w:val="0"/>
        <w:spacing w:line="560" w:lineRule="exact"/>
        <w:ind w:firstLine="998" w:firstLineChars="312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</w:t>
      </w:r>
      <w:r>
        <w:rPr>
          <w:rFonts w:ascii="仿宋_GB2312" w:hAnsi="Times New Roman" w:eastAsia="仿宋_GB2312"/>
          <w:sz w:val="32"/>
          <w:szCs w:val="32"/>
        </w:rPr>
        <w:t>：</w:t>
      </w: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姓名</w:t>
      </w:r>
      <w:r>
        <w:rPr>
          <w:rFonts w:ascii="仿宋_GB2312" w:hAnsi="Times New Roman" w:eastAsia="仿宋_GB2312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</w:t>
      </w:r>
      <w:r>
        <w:rPr>
          <w:rFonts w:ascii="仿宋_GB2312" w:hAnsi="Times New Roman" w:eastAsia="仿宋_GB2312"/>
          <w:sz w:val="32"/>
          <w:szCs w:val="32"/>
        </w:rPr>
        <w:t>、中药品种保护的目的是什么？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提高中药品种的质量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保护中药生产企业的合法权益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促进中药事业的发展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二、哪些中药品种可申请一级中药保护？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对特定疾病有特殊疗效的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相当于国家一级保护野生药材物种的人工制成品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用于预防和治疗特殊疾病的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三、哪些中药品种可申请二级中药保护？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符合《中药品种保护</w:t>
      </w:r>
      <w:r>
        <w:rPr>
          <w:rFonts w:ascii="Times New Roman" w:hAnsi="Times New Roman" w:eastAsia="仿宋"/>
          <w:sz w:val="32"/>
          <w:szCs w:val="24"/>
        </w:rPr>
        <w:t>条例</w:t>
      </w:r>
      <w:r>
        <w:rPr>
          <w:rFonts w:hint="eastAsia" w:ascii="Times New Roman" w:hAnsi="Times New Roman" w:eastAsia="仿宋"/>
          <w:sz w:val="32"/>
          <w:szCs w:val="24"/>
        </w:rPr>
        <w:t>》第六条规定的品种或者已经解除一级保护的品种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对特定疾病有显著疗效的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从天然药物中提取的有效物质及特殊制剂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四</w:t>
      </w:r>
      <w:r>
        <w:rPr>
          <w:rFonts w:ascii="Times New Roman" w:hAnsi="Times New Roman" w:eastAsia="仿宋"/>
          <w:sz w:val="32"/>
          <w:szCs w:val="32"/>
        </w:rPr>
        <w:t>、一级保护的年限为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□1年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□5年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□10年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□20年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□30年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五</w:t>
      </w:r>
      <w:r>
        <w:rPr>
          <w:rFonts w:ascii="Times New Roman" w:hAnsi="Times New Roman" w:eastAsia="仿宋"/>
          <w:sz w:val="32"/>
          <w:szCs w:val="32"/>
        </w:rPr>
        <w:t>、二级保护的年限为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□1年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□3年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□7年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□9年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hint="eastAsia" w:ascii="Times New Roman" w:hAnsi="Times New Roman" w:eastAsia="仿宋"/>
          <w:sz w:val="32"/>
          <w:szCs w:val="32"/>
        </w:rPr>
        <w:t>六</w:t>
      </w:r>
      <w:r>
        <w:rPr>
          <w:rFonts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"/>
          <w:sz w:val="32"/>
          <w:szCs w:val="32"/>
        </w:rPr>
        <w:t>负责</w:t>
      </w:r>
      <w:r>
        <w:rPr>
          <w:rFonts w:ascii="Times New Roman" w:hAnsi="Times New Roman" w:eastAsia="仿宋"/>
          <w:sz w:val="32"/>
          <w:szCs w:val="32"/>
        </w:rPr>
        <w:t>全国中药品种保护的</w:t>
      </w:r>
      <w:r>
        <w:rPr>
          <w:rFonts w:hint="eastAsia" w:ascii="Times New Roman" w:hAnsi="Times New Roman" w:eastAsia="仿宋"/>
          <w:sz w:val="32"/>
          <w:szCs w:val="32"/>
        </w:rPr>
        <w:t>监督管理</w:t>
      </w:r>
      <w:r>
        <w:rPr>
          <w:rFonts w:ascii="Times New Roman" w:hAnsi="Times New Roman" w:eastAsia="仿宋"/>
          <w:sz w:val="32"/>
          <w:szCs w:val="32"/>
        </w:rPr>
        <w:t>工作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仿宋_GB2312" w:hAnsi="Times New Roman" w:eastAsia="仿宋_GB2312"/>
          <w:sz w:val="32"/>
          <w:szCs w:val="32"/>
        </w:rPr>
        <w:t>国务院卫生行政部门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国务院药品监督管理部门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仿宋_GB2312" w:hAnsi="宋体" w:eastAsia="仿宋_GB2312"/>
          <w:sz w:val="32"/>
          <w:szCs w:val="32"/>
        </w:rPr>
        <w:t>国家中药生产经营主管部门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32"/>
        </w:rPr>
        <w:t>七</w:t>
      </w:r>
      <w:r>
        <w:rPr>
          <w:rFonts w:ascii="Times New Roman" w:hAnsi="Times New Roman" w:eastAsia="仿宋"/>
          <w:sz w:val="32"/>
          <w:szCs w:val="32"/>
        </w:rPr>
        <w:t>、</w:t>
      </w:r>
      <w:r>
        <w:rPr>
          <w:rFonts w:hint="eastAsia" w:ascii="Times New Roman" w:hAnsi="Times New Roman" w:eastAsia="仿宋"/>
          <w:sz w:val="32"/>
          <w:szCs w:val="24"/>
        </w:rPr>
        <w:t>中药生产企业申报中药品种</w:t>
      </w:r>
      <w:r>
        <w:rPr>
          <w:rFonts w:ascii="Times New Roman" w:hAnsi="Times New Roman" w:eastAsia="仿宋"/>
          <w:sz w:val="32"/>
          <w:szCs w:val="24"/>
        </w:rPr>
        <w:t>保护</w:t>
      </w:r>
      <w:r>
        <w:rPr>
          <w:rFonts w:hint="eastAsia" w:ascii="Times New Roman" w:hAnsi="Times New Roman" w:eastAsia="仿宋"/>
          <w:sz w:val="32"/>
          <w:szCs w:val="24"/>
        </w:rPr>
        <w:t>，可以向所在地省、自治区、直辖市人民政府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"/>
          <w:sz w:val="32"/>
          <w:szCs w:val="24"/>
        </w:rPr>
        <w:t>提出申请，由省、自治区、直辖市人民政府</w:t>
      </w:r>
      <w:r>
        <w:rPr>
          <w:rFonts w:hint="eastAsia" w:ascii="Times New Roman" w:hAnsi="Times New Roman" w:eastAsia="仿宋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"/>
          <w:sz w:val="32"/>
          <w:szCs w:val="24"/>
        </w:rPr>
        <w:t>初审签署意见后，报国务院药品监督管理部门。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Times New Roman" w:hAnsi="Times New Roman" w:eastAsia="仿宋"/>
          <w:sz w:val="32"/>
          <w:szCs w:val="24"/>
        </w:rPr>
        <w:t>药品监督管理部门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仿宋_GB2312" w:hAnsi="Times New Roman" w:eastAsia="仿宋_GB2312"/>
          <w:sz w:val="32"/>
          <w:szCs w:val="32"/>
        </w:rPr>
        <w:t>卫生行政部门</w:t>
      </w:r>
    </w:p>
    <w:p>
      <w:pPr>
        <w:widowControl/>
        <w:adjustRightInd w:val="0"/>
        <w:snapToGrid w:val="0"/>
        <w:spacing w:line="560" w:lineRule="exact"/>
        <w:ind w:left="198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□</w:t>
      </w:r>
      <w:r>
        <w:rPr>
          <w:rFonts w:hint="eastAsia" w:ascii="仿宋_GB2312" w:hAnsi="宋体" w:eastAsia="仿宋_GB2312"/>
          <w:sz w:val="32"/>
          <w:szCs w:val="32"/>
        </w:rPr>
        <w:t>中药生产经营主管部门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2024-08-28T07:41:50Z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