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4CC13" w14:textId="25BE427E" w:rsidR="008F2392" w:rsidRDefault="00000000">
      <w:pPr>
        <w:spacing w:line="64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贵阳市医保局  贵阳市财政局  贵阳市卫生健康局关于进一步深化改革推进</w:t>
      </w:r>
      <w:bookmarkStart w:id="0" w:name="_Hlk172128094"/>
      <w:r>
        <w:rPr>
          <w:rFonts w:ascii="方正小标宋简体" w:eastAsia="方正小标宋简体" w:hAnsi="仿宋" w:hint="eastAsia"/>
          <w:sz w:val="44"/>
          <w:szCs w:val="44"/>
        </w:rPr>
        <w:t>紧密型县域医疗卫生共同体城乡居民医保</w:t>
      </w:r>
      <w:r w:rsidR="003B7F5C">
        <w:rPr>
          <w:rFonts w:ascii="方正小标宋简体" w:eastAsia="方正小标宋简体" w:hAnsi="仿宋" w:hint="eastAsia"/>
          <w:sz w:val="44"/>
          <w:szCs w:val="44"/>
        </w:rPr>
        <w:t>基金</w:t>
      </w:r>
    </w:p>
    <w:p w14:paraId="5675C0CE" w14:textId="77777777" w:rsidR="008F2392" w:rsidRDefault="00000000">
      <w:pPr>
        <w:spacing w:line="64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支付方式改革</w:t>
      </w:r>
      <w:bookmarkEnd w:id="0"/>
      <w:r>
        <w:rPr>
          <w:rFonts w:ascii="方正小标宋简体" w:eastAsia="方正小标宋简体" w:hAnsi="仿宋" w:hint="eastAsia"/>
          <w:sz w:val="44"/>
          <w:szCs w:val="44"/>
        </w:rPr>
        <w:t>实施方案</w:t>
      </w:r>
    </w:p>
    <w:p w14:paraId="7E7278BF" w14:textId="77777777" w:rsidR="008F2392" w:rsidRDefault="00000000">
      <w:pPr>
        <w:spacing w:line="560" w:lineRule="exact"/>
        <w:jc w:val="center"/>
        <w:rPr>
          <w:rFonts w:ascii="楷体_GB2312" w:eastAsia="楷体_GB2312" w:hAnsi="仿宋" w:hint="eastAsia"/>
          <w:sz w:val="32"/>
          <w:szCs w:val="32"/>
        </w:rPr>
      </w:pPr>
      <w:r>
        <w:rPr>
          <w:rFonts w:ascii="楷体_GB2312" w:eastAsia="楷体_GB2312" w:hAnsi="仿宋" w:hint="eastAsia"/>
          <w:sz w:val="32"/>
          <w:szCs w:val="32"/>
        </w:rPr>
        <w:t>（征求意见稿）</w:t>
      </w:r>
    </w:p>
    <w:p w14:paraId="088F3665" w14:textId="77777777" w:rsidR="008F2392" w:rsidRDefault="008F2392">
      <w:pPr>
        <w:spacing w:line="560" w:lineRule="exact"/>
        <w:rPr>
          <w:rFonts w:ascii="仿宋" w:eastAsia="仿宋" w:hAnsi="仿宋" w:hint="eastAsia"/>
          <w:sz w:val="32"/>
          <w:szCs w:val="32"/>
        </w:rPr>
      </w:pPr>
    </w:p>
    <w:p w14:paraId="79266FAB" w14:textId="1FE0839E" w:rsidR="008F2392" w:rsidRDefault="00000000">
      <w:pPr>
        <w:overflowPunct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为深入推进贵阳市紧密型县域医疗卫生共同体建设，推动构建优质高效的整合型县域医疗卫生服务体系，建立健全管用高效的医保支付体系，在持续提升医保管理服务水平的同时，有力促进“三医”协同与改革发展，根据《中共中央 国务院关于深化医疗保障制度改革的意见》</w:t>
      </w:r>
      <w:r w:rsidR="00FC7ECB">
        <w:rPr>
          <w:rFonts w:ascii="仿宋" w:eastAsia="仿宋" w:hAnsi="仿宋" w:hint="eastAsia"/>
          <w:sz w:val="32"/>
          <w:szCs w:val="32"/>
        </w:rPr>
        <w:t>《</w:t>
      </w:r>
      <w:r w:rsidR="00FC7ECB" w:rsidRPr="00FC7ECB">
        <w:rPr>
          <w:rFonts w:ascii="仿宋" w:eastAsia="仿宋" w:hAnsi="仿宋" w:hint="eastAsia"/>
          <w:sz w:val="32"/>
          <w:szCs w:val="32"/>
        </w:rPr>
        <w:t>国家医疗保障局关于进一步推广三明医改经验 持续推动医保工作创新发展的通知</w:t>
      </w:r>
      <w:r w:rsidR="00FC7ECB">
        <w:rPr>
          <w:rFonts w:ascii="仿宋" w:eastAsia="仿宋" w:hAnsi="仿宋" w:hint="eastAsia"/>
          <w:sz w:val="32"/>
          <w:szCs w:val="32"/>
        </w:rPr>
        <w:t>》（</w:t>
      </w:r>
      <w:r w:rsidR="00FC7ECB" w:rsidRPr="00FC7ECB">
        <w:rPr>
          <w:rFonts w:ascii="仿宋" w:eastAsia="仿宋" w:hAnsi="仿宋" w:hint="eastAsia"/>
          <w:sz w:val="32"/>
          <w:szCs w:val="32"/>
        </w:rPr>
        <w:t>医保函〔2024〕25号</w:t>
      </w:r>
      <w:r w:rsidR="00FC7ECB">
        <w:rPr>
          <w:rFonts w:ascii="仿宋" w:eastAsia="仿宋" w:hAnsi="仿宋" w:hint="eastAsia"/>
          <w:sz w:val="32"/>
          <w:szCs w:val="32"/>
        </w:rPr>
        <w:t>）</w:t>
      </w:r>
      <w:r w:rsidR="000E3593">
        <w:rPr>
          <w:rFonts w:ascii="仿宋" w:eastAsia="仿宋" w:hAnsi="仿宋" w:hint="eastAsia"/>
          <w:sz w:val="32"/>
          <w:szCs w:val="32"/>
        </w:rPr>
        <w:t>《</w:t>
      </w:r>
      <w:r w:rsidR="000E3593" w:rsidRPr="000E3593">
        <w:rPr>
          <w:rFonts w:ascii="仿宋" w:eastAsia="仿宋" w:hAnsi="仿宋" w:hint="eastAsia"/>
          <w:sz w:val="32"/>
          <w:szCs w:val="32"/>
        </w:rPr>
        <w:t>国家卫生健康委</w:t>
      </w:r>
      <w:r w:rsidR="000E3593">
        <w:rPr>
          <w:rFonts w:ascii="仿宋" w:eastAsia="仿宋" w:hAnsi="仿宋" w:hint="eastAsia"/>
          <w:sz w:val="32"/>
          <w:szCs w:val="32"/>
        </w:rPr>
        <w:t>等10部委</w:t>
      </w:r>
      <w:r w:rsidR="000E3593" w:rsidRPr="000E3593">
        <w:rPr>
          <w:rFonts w:ascii="仿宋" w:eastAsia="仿宋" w:hAnsi="仿宋" w:hint="eastAsia"/>
          <w:sz w:val="32"/>
          <w:szCs w:val="32"/>
        </w:rPr>
        <w:t>关于全面推进紧密型县域医疗卫生共同体建设的指导意见</w:t>
      </w:r>
      <w:r w:rsidR="000E3593">
        <w:rPr>
          <w:rFonts w:ascii="仿宋" w:eastAsia="仿宋" w:hAnsi="仿宋" w:hint="eastAsia"/>
          <w:sz w:val="32"/>
          <w:szCs w:val="32"/>
        </w:rPr>
        <w:t>》（</w:t>
      </w:r>
      <w:r w:rsidR="000E3593" w:rsidRPr="000E3593">
        <w:rPr>
          <w:rFonts w:ascii="仿宋" w:eastAsia="仿宋" w:hAnsi="仿宋" w:hint="eastAsia"/>
          <w:sz w:val="32"/>
          <w:szCs w:val="32"/>
        </w:rPr>
        <w:t>国卫基层发〔2023〕41号</w:t>
      </w:r>
      <w:r w:rsidR="000E3593">
        <w:rPr>
          <w:rFonts w:ascii="仿宋" w:eastAsia="仿宋" w:hAnsi="仿宋" w:hint="eastAsia"/>
          <w:sz w:val="32"/>
          <w:szCs w:val="32"/>
        </w:rPr>
        <w:t>）</w:t>
      </w:r>
      <w:r>
        <w:rPr>
          <w:rFonts w:ascii="仿宋" w:eastAsia="仿宋" w:hAnsi="仿宋" w:hint="eastAsia"/>
          <w:sz w:val="32"/>
          <w:szCs w:val="32"/>
        </w:rPr>
        <w:t>《中共贵州省委办公厅</w:t>
      </w:r>
      <w:r>
        <w:rPr>
          <w:rFonts w:ascii="Calibri" w:eastAsia="仿宋" w:hAnsi="Calibri" w:cs="Calibri"/>
          <w:sz w:val="32"/>
          <w:szCs w:val="32"/>
        </w:rPr>
        <w:t> </w:t>
      </w:r>
      <w:r>
        <w:rPr>
          <w:rFonts w:ascii="Calibri" w:eastAsia="仿宋" w:hAnsi="Calibri" w:cs="Calibri" w:hint="eastAsia"/>
          <w:sz w:val="32"/>
          <w:szCs w:val="32"/>
        </w:rPr>
        <w:t xml:space="preserve"> </w:t>
      </w:r>
      <w:r>
        <w:rPr>
          <w:rFonts w:ascii="仿宋" w:eastAsia="仿宋" w:hAnsi="仿宋" w:hint="eastAsia"/>
          <w:sz w:val="32"/>
          <w:szCs w:val="32"/>
        </w:rPr>
        <w:t>贵州省人民政府办公厅关于进一步完善全省医疗卫生服务体系的实施意见》（黔党办发〔</w:t>
      </w:r>
      <w:r>
        <w:rPr>
          <w:rFonts w:ascii="Times New Roman" w:eastAsia="仿宋" w:hAnsi="Times New Roman" w:cs="Times New Roman" w:hint="eastAsia"/>
          <w:sz w:val="32"/>
          <w:szCs w:val="32"/>
        </w:rPr>
        <w:t>2023</w:t>
      </w:r>
      <w:r>
        <w:rPr>
          <w:rFonts w:ascii="仿宋" w:eastAsia="仿宋" w:hAnsi="仿宋" w:hint="eastAsia"/>
          <w:sz w:val="32"/>
          <w:szCs w:val="32"/>
        </w:rPr>
        <w:t>〕</w:t>
      </w:r>
      <w:r>
        <w:rPr>
          <w:rFonts w:ascii="Times New Roman" w:eastAsia="仿宋" w:hAnsi="Times New Roman" w:cs="Times New Roman" w:hint="eastAsia"/>
          <w:sz w:val="32"/>
          <w:szCs w:val="32"/>
        </w:rPr>
        <w:t>15</w:t>
      </w:r>
      <w:r>
        <w:rPr>
          <w:rFonts w:ascii="仿宋" w:eastAsia="仿宋" w:hAnsi="仿宋" w:hint="eastAsia"/>
          <w:sz w:val="32"/>
          <w:szCs w:val="32"/>
        </w:rPr>
        <w:t>号）《中共贵州省委办公厅 贵州省人民政府办公厅关于进一步深化改革促进全省乡村医疗卫生体系健康发展的实施意见》（黔委厅字〔</w:t>
      </w:r>
      <w:r>
        <w:rPr>
          <w:rFonts w:ascii="Times New Roman" w:eastAsia="仿宋" w:hAnsi="Times New Roman" w:cs="Times New Roman" w:hint="eastAsia"/>
          <w:sz w:val="32"/>
          <w:szCs w:val="32"/>
        </w:rPr>
        <w:t>2023</w:t>
      </w:r>
      <w:r>
        <w:rPr>
          <w:rFonts w:ascii="仿宋" w:eastAsia="仿宋" w:hAnsi="仿宋" w:hint="eastAsia"/>
          <w:sz w:val="32"/>
          <w:szCs w:val="32"/>
        </w:rPr>
        <w:t>〕</w:t>
      </w:r>
      <w:r>
        <w:rPr>
          <w:rFonts w:ascii="Times New Roman" w:eastAsia="仿宋" w:hAnsi="Times New Roman" w:cs="Times New Roman" w:hint="eastAsia"/>
          <w:sz w:val="32"/>
          <w:szCs w:val="32"/>
        </w:rPr>
        <w:t>41</w:t>
      </w:r>
      <w:r>
        <w:rPr>
          <w:rFonts w:ascii="仿宋" w:eastAsia="仿宋" w:hAnsi="仿宋" w:hint="eastAsia"/>
          <w:sz w:val="32"/>
          <w:szCs w:val="32"/>
        </w:rPr>
        <w:t>号）《省人民政府办公厅关于深入推进全省紧密型县域医疗卫生共同体建设的实施意见》（黔府办发〔</w:t>
      </w:r>
      <w:r>
        <w:rPr>
          <w:rFonts w:ascii="Times New Roman" w:eastAsia="仿宋" w:hAnsi="Times New Roman" w:cs="Times New Roman" w:hint="eastAsia"/>
          <w:sz w:val="32"/>
          <w:szCs w:val="32"/>
        </w:rPr>
        <w:t>2023</w:t>
      </w:r>
      <w:r>
        <w:rPr>
          <w:rFonts w:ascii="仿宋" w:eastAsia="仿宋" w:hAnsi="仿宋" w:hint="eastAsia"/>
          <w:sz w:val="32"/>
          <w:szCs w:val="32"/>
        </w:rPr>
        <w:t>〕</w:t>
      </w:r>
      <w:r>
        <w:rPr>
          <w:rFonts w:ascii="Times New Roman" w:eastAsia="仿宋" w:hAnsi="Times New Roman" w:cs="Times New Roman" w:hint="eastAsia"/>
          <w:sz w:val="32"/>
          <w:szCs w:val="32"/>
        </w:rPr>
        <w:t>20</w:t>
      </w:r>
      <w:r>
        <w:rPr>
          <w:rFonts w:ascii="仿宋" w:eastAsia="仿宋" w:hAnsi="仿宋" w:hint="eastAsia"/>
          <w:sz w:val="32"/>
          <w:szCs w:val="32"/>
        </w:rPr>
        <w:t>号）《市人民政府办公厅关于印发关于进一步完善贵阳贵安医疗卫生服务体系的实施方案的通知》（筑府办函〔</w:t>
      </w:r>
      <w:r>
        <w:rPr>
          <w:rFonts w:ascii="Times New Roman" w:eastAsia="仿宋" w:hAnsi="Times New Roman" w:cs="Times New Roman" w:hint="eastAsia"/>
          <w:sz w:val="32"/>
          <w:szCs w:val="32"/>
        </w:rPr>
        <w:t>2024</w:t>
      </w:r>
      <w:r>
        <w:rPr>
          <w:rFonts w:ascii="仿宋" w:eastAsia="仿宋" w:hAnsi="仿宋" w:hint="eastAsia"/>
          <w:sz w:val="32"/>
          <w:szCs w:val="32"/>
        </w:rPr>
        <w:t>〕</w:t>
      </w:r>
      <w:r>
        <w:rPr>
          <w:rFonts w:ascii="Times New Roman" w:eastAsia="仿宋" w:hAnsi="Times New Roman" w:cs="Times New Roman" w:hint="eastAsia"/>
          <w:sz w:val="32"/>
          <w:szCs w:val="32"/>
        </w:rPr>
        <w:t>36</w:t>
      </w:r>
      <w:r>
        <w:rPr>
          <w:rFonts w:ascii="仿宋" w:eastAsia="仿宋" w:hAnsi="仿宋" w:hint="eastAsia"/>
          <w:sz w:val="32"/>
          <w:szCs w:val="32"/>
        </w:rPr>
        <w:t>号）等相关文件精神，结合</w:t>
      </w:r>
      <w:r>
        <w:rPr>
          <w:rFonts w:ascii="Times New Roman" w:eastAsia="仿宋" w:hAnsi="Times New Roman" w:cs="Times New Roman" w:hint="eastAsia"/>
          <w:sz w:val="32"/>
          <w:szCs w:val="32"/>
        </w:rPr>
        <w:t>2022</w:t>
      </w:r>
      <w:r>
        <w:rPr>
          <w:rFonts w:ascii="仿宋" w:eastAsia="仿宋" w:hAnsi="仿宋" w:hint="eastAsia"/>
          <w:sz w:val="32"/>
          <w:szCs w:val="32"/>
        </w:rPr>
        <w:t>年以来在息烽县、乌当区实施紧</w:t>
      </w:r>
      <w:r>
        <w:rPr>
          <w:rFonts w:ascii="仿宋" w:eastAsia="仿宋" w:hAnsi="仿宋" w:hint="eastAsia"/>
          <w:sz w:val="32"/>
          <w:szCs w:val="32"/>
        </w:rPr>
        <w:lastRenderedPageBreak/>
        <w:t>密型县域医疗卫生共同体城乡居民医保支付方式改革（以下简称“医共体医保支付方式改革”）经验，制定本实施方案。</w:t>
      </w:r>
    </w:p>
    <w:p w14:paraId="5296EF0D"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一、基本原则</w:t>
      </w:r>
    </w:p>
    <w:p w14:paraId="035DB05A"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（一）坚持“三医”联动，统筹推进。</w:t>
      </w:r>
      <w:r>
        <w:rPr>
          <w:rFonts w:ascii="仿宋" w:eastAsia="仿宋" w:hAnsi="仿宋" w:hint="eastAsia"/>
          <w:sz w:val="32"/>
          <w:szCs w:val="32"/>
        </w:rPr>
        <w:t>以保基本、强基层、建机制和公平可及、系统连续、群众受益为立足点，深化医药卫生体制改革，推动“以治病为中心”向“以健康为中心”转变，促进医保、医疗、医药协同发展和治理。对医共体实施医保总额付费，加强监督考核, 实行结余留用、合理超支分担。发挥医保支付在规范医疗服务行为，调节资源配置中的杠杆作用，提高医保基金使用效率，推进医保制度可持续高质量发展。</w:t>
      </w:r>
    </w:p>
    <w:p w14:paraId="3C430C04"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（二）坚持保障基本，安全可控。</w:t>
      </w:r>
      <w:r>
        <w:rPr>
          <w:rFonts w:ascii="仿宋" w:eastAsia="仿宋" w:hAnsi="仿宋" w:hint="eastAsia"/>
          <w:sz w:val="32"/>
          <w:szCs w:val="32"/>
        </w:rPr>
        <w:t>坚持保障基本、尽力而为、量力而行，着力保障参保人员基本医疗需求，促进医疗卫生资源合理利用，控制医疗费用不合理增长，筑牢保障底线。发挥医保基金支付导向作用，进一步支持县域医疗卫生服务体系整合重塑，逐步提高资源配置和服务均衡性，更好发挥区域医疗服务体系整体效益，促进医共体成员单位从规模型扩张向内涵式发展转变。</w:t>
      </w:r>
    </w:p>
    <w:p w14:paraId="7330CC71" w14:textId="45C804EF"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（三）坚持科学管理，多方共赢。</w:t>
      </w:r>
      <w:r>
        <w:rPr>
          <w:rFonts w:ascii="仿宋" w:eastAsia="仿宋" w:hAnsi="仿宋" w:hint="eastAsia"/>
          <w:sz w:val="32"/>
          <w:szCs w:val="32"/>
        </w:rPr>
        <w:t>加强基金预算管理，科学编制医共体总额预算，合理确定医共体总额付费额度，有序实施基金预付、预结算、年终清算。建立健全风险预警动态监测体系，充分发挥监测结果对医共体调整发展的指导作用。优化完善绩效评价体系，激发医共体内生动力，规范医疗服务行为，推动县域医疗卫生服务重心下移、资源下沉，</w:t>
      </w:r>
      <w:r>
        <w:rPr>
          <w:rFonts w:ascii="仿宋" w:eastAsia="仿宋" w:hAnsi="仿宋" w:hint="eastAsia"/>
          <w:sz w:val="32"/>
          <w:szCs w:val="32"/>
        </w:rPr>
        <w:lastRenderedPageBreak/>
        <w:t>促进县乡村一体化管理，实现医疗卫生服务上下贯通、医疗和预防有效融合的县域健康新格局，增强医保、医疗、医药联动改革的整体性、系统性、协同性，保障群众获得高质量、有效率、能负担的医药健康服务。</w:t>
      </w:r>
    </w:p>
    <w:p w14:paraId="322006D5"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二、实施时间、范围及程序</w:t>
      </w:r>
    </w:p>
    <w:p w14:paraId="11B2F5EB" w14:textId="534B2D80"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已完成医共体建设的区（市、县）可开展医共体医保支付方式改革，有效衔接</w:t>
      </w:r>
      <w:r>
        <w:rPr>
          <w:rFonts w:ascii="Times New Roman" w:eastAsia="仿宋" w:hAnsi="Times New Roman" w:cs="Times New Roman"/>
          <w:sz w:val="32"/>
          <w:szCs w:val="32"/>
        </w:rPr>
        <w:t>DRG/DIP</w:t>
      </w:r>
      <w:r>
        <w:rPr>
          <w:rFonts w:ascii="仿宋" w:eastAsia="仿宋" w:hAnsi="仿宋" w:hint="eastAsia"/>
          <w:sz w:val="32"/>
          <w:szCs w:val="32"/>
        </w:rPr>
        <w:t>支付方式改革。已实施医共体医保支付方式改革的息烽县、乌当区继续开展实际付费；尚未实施医共体医保支付方式改革的清镇市、开阳县、修文县从</w:t>
      </w:r>
      <w:r>
        <w:rPr>
          <w:rFonts w:ascii="Times New Roman" w:eastAsia="仿宋" w:hAnsi="Times New Roman" w:cs="Times New Roman" w:hint="eastAsia"/>
          <w:sz w:val="32"/>
          <w:szCs w:val="32"/>
        </w:rPr>
        <w:t>2024</w:t>
      </w:r>
      <w:r>
        <w:rPr>
          <w:rFonts w:ascii="仿宋" w:eastAsia="仿宋" w:hAnsi="仿宋" w:hint="eastAsia"/>
          <w:sz w:val="32"/>
          <w:szCs w:val="32"/>
        </w:rPr>
        <w:t>年</w:t>
      </w:r>
      <w:r>
        <w:rPr>
          <w:rFonts w:ascii="Times New Roman" w:eastAsia="仿宋" w:hAnsi="Times New Roman" w:cs="Times New Roman" w:hint="eastAsia"/>
          <w:sz w:val="32"/>
          <w:szCs w:val="32"/>
        </w:rPr>
        <w:t>下半年</w:t>
      </w:r>
      <w:r>
        <w:rPr>
          <w:rFonts w:ascii="仿宋" w:eastAsia="仿宋" w:hAnsi="仿宋" w:hint="eastAsia"/>
          <w:sz w:val="32"/>
          <w:szCs w:val="32"/>
        </w:rPr>
        <w:t>起启动模拟运行，纳入运行监测、年度绩效</w:t>
      </w:r>
      <w:r w:rsidR="0027100E">
        <w:rPr>
          <w:rFonts w:ascii="仿宋" w:eastAsia="仿宋" w:hAnsi="仿宋" w:hint="eastAsia"/>
          <w:sz w:val="32"/>
          <w:szCs w:val="32"/>
        </w:rPr>
        <w:t>评价</w:t>
      </w:r>
      <w:r>
        <w:rPr>
          <w:rFonts w:ascii="仿宋" w:eastAsia="仿宋" w:hAnsi="仿宋" w:hint="eastAsia"/>
          <w:sz w:val="32"/>
          <w:szCs w:val="32"/>
        </w:rPr>
        <w:t>和年终模拟清算，</w:t>
      </w:r>
      <w:r>
        <w:rPr>
          <w:rFonts w:ascii="Times New Roman" w:eastAsia="仿宋" w:hAnsi="Times New Roman" w:cs="Times New Roman" w:hint="eastAsia"/>
          <w:sz w:val="32"/>
          <w:szCs w:val="32"/>
        </w:rPr>
        <w:t>2025</w:t>
      </w:r>
      <w:r>
        <w:rPr>
          <w:rFonts w:ascii="仿宋" w:eastAsia="仿宋" w:hAnsi="仿宋" w:hint="eastAsia"/>
          <w:sz w:val="32"/>
          <w:szCs w:val="32"/>
        </w:rPr>
        <w:t>年起启动实际付费。</w:t>
      </w:r>
    </w:p>
    <w:p w14:paraId="1990F85D"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医共体总额付费范围包括</w:t>
      </w:r>
      <w:bookmarkStart w:id="1" w:name="_Hlk172143315"/>
      <w:r>
        <w:rPr>
          <w:rFonts w:ascii="仿宋" w:eastAsia="仿宋" w:hAnsi="仿宋" w:hint="eastAsia"/>
          <w:sz w:val="32"/>
          <w:szCs w:val="32"/>
        </w:rPr>
        <w:t>医共体医保支付方式改革县</w:t>
      </w:r>
      <w:bookmarkEnd w:id="1"/>
      <w:r>
        <w:rPr>
          <w:rFonts w:ascii="仿宋" w:eastAsia="仿宋" w:hAnsi="仿宋" w:hint="eastAsia"/>
          <w:sz w:val="32"/>
          <w:szCs w:val="32"/>
        </w:rPr>
        <w:t>参保人员因就医产生的基本医保统筹支付基金，城乡居民大病保险等分项独立核算资金不纳入医共体总额付费范畴。在既有利于推进医共体建设又确保基金管理规范和安全的前提下，由县级医保、卫生健康和财政部门共同细化医共体医保支付方式改革方案，经县级人民政府审定，报市直相关部门备案后组织实施。</w:t>
      </w:r>
    </w:p>
    <w:p w14:paraId="68721AE0" w14:textId="53B8E5A9" w:rsidR="002A4208" w:rsidRPr="002A4208" w:rsidRDefault="002A4208">
      <w:pPr>
        <w:spacing w:line="560" w:lineRule="exact"/>
        <w:ind w:firstLineChars="200" w:firstLine="640"/>
        <w:rPr>
          <w:rFonts w:ascii="仿宋" w:eastAsia="仿宋" w:hAnsi="仿宋" w:hint="eastAsia"/>
          <w:sz w:val="32"/>
          <w:szCs w:val="32"/>
        </w:rPr>
      </w:pPr>
      <w:r w:rsidRPr="002A4208">
        <w:rPr>
          <w:rFonts w:ascii="仿宋" w:eastAsia="仿宋" w:hAnsi="仿宋" w:hint="eastAsia"/>
          <w:sz w:val="32"/>
          <w:szCs w:val="32"/>
        </w:rPr>
        <w:t>本</w:t>
      </w:r>
      <w:r>
        <w:rPr>
          <w:rFonts w:ascii="仿宋" w:eastAsia="仿宋" w:hAnsi="仿宋" w:hint="eastAsia"/>
          <w:sz w:val="32"/>
          <w:szCs w:val="32"/>
        </w:rPr>
        <w:t>方案仅</w:t>
      </w:r>
      <w:r w:rsidR="00CD1F49">
        <w:rPr>
          <w:rFonts w:ascii="仿宋" w:eastAsia="仿宋" w:hAnsi="仿宋" w:hint="eastAsia"/>
          <w:sz w:val="32"/>
          <w:szCs w:val="32"/>
        </w:rPr>
        <w:t>涉及</w:t>
      </w:r>
      <w:r>
        <w:rPr>
          <w:rFonts w:ascii="仿宋" w:eastAsia="仿宋" w:hAnsi="仿宋" w:hint="eastAsia"/>
          <w:sz w:val="32"/>
          <w:szCs w:val="32"/>
        </w:rPr>
        <w:t>医保</w:t>
      </w:r>
      <w:r w:rsidR="00CD1F49">
        <w:rPr>
          <w:rFonts w:ascii="仿宋" w:eastAsia="仿宋" w:hAnsi="仿宋" w:hint="eastAsia"/>
          <w:sz w:val="32"/>
          <w:szCs w:val="32"/>
        </w:rPr>
        <w:t>、财政等</w:t>
      </w:r>
      <w:r>
        <w:rPr>
          <w:rFonts w:ascii="仿宋" w:eastAsia="仿宋" w:hAnsi="仿宋" w:hint="eastAsia"/>
          <w:sz w:val="32"/>
          <w:szCs w:val="32"/>
        </w:rPr>
        <w:t>部门</w:t>
      </w:r>
      <w:r w:rsidRPr="002A4208">
        <w:rPr>
          <w:rFonts w:ascii="仿宋" w:eastAsia="仿宋" w:hAnsi="仿宋" w:hint="eastAsia"/>
          <w:sz w:val="32"/>
          <w:szCs w:val="32"/>
        </w:rPr>
        <w:t>与</w:t>
      </w:r>
      <w:r>
        <w:rPr>
          <w:rFonts w:ascii="仿宋" w:eastAsia="仿宋" w:hAnsi="仿宋" w:hint="eastAsia"/>
          <w:sz w:val="32"/>
          <w:szCs w:val="32"/>
        </w:rPr>
        <w:t>医共体间</w:t>
      </w:r>
      <w:r w:rsidR="00097B67">
        <w:rPr>
          <w:rFonts w:ascii="仿宋" w:eastAsia="仿宋" w:hAnsi="仿宋" w:hint="eastAsia"/>
          <w:sz w:val="32"/>
          <w:szCs w:val="32"/>
        </w:rPr>
        <w:t>的医疗</w:t>
      </w:r>
      <w:r w:rsidR="00DC37E3">
        <w:rPr>
          <w:rFonts w:ascii="仿宋" w:eastAsia="仿宋" w:hAnsi="仿宋" w:hint="eastAsia"/>
          <w:sz w:val="32"/>
          <w:szCs w:val="32"/>
        </w:rPr>
        <w:t>费用</w:t>
      </w:r>
      <w:r>
        <w:rPr>
          <w:rFonts w:ascii="仿宋" w:eastAsia="仿宋" w:hAnsi="仿宋" w:hint="eastAsia"/>
          <w:sz w:val="32"/>
          <w:szCs w:val="32"/>
        </w:rPr>
        <w:t>结算</w:t>
      </w:r>
      <w:r w:rsidRPr="002A4208">
        <w:rPr>
          <w:rFonts w:ascii="仿宋" w:eastAsia="仿宋" w:hAnsi="仿宋" w:hint="eastAsia"/>
          <w:sz w:val="32"/>
          <w:szCs w:val="32"/>
        </w:rPr>
        <w:t>，参保人员各项</w:t>
      </w:r>
      <w:r w:rsidR="00CA3FEE">
        <w:rPr>
          <w:rFonts w:ascii="仿宋" w:eastAsia="仿宋" w:hAnsi="仿宋" w:hint="eastAsia"/>
          <w:sz w:val="32"/>
          <w:szCs w:val="32"/>
        </w:rPr>
        <w:t>医疗保障</w:t>
      </w:r>
      <w:r w:rsidRPr="002A4208">
        <w:rPr>
          <w:rFonts w:ascii="仿宋" w:eastAsia="仿宋" w:hAnsi="仿宋" w:hint="eastAsia"/>
          <w:sz w:val="32"/>
          <w:szCs w:val="32"/>
        </w:rPr>
        <w:t>待遇仍按照</w:t>
      </w:r>
      <w:r>
        <w:rPr>
          <w:rFonts w:ascii="仿宋" w:eastAsia="仿宋" w:hAnsi="仿宋" w:hint="eastAsia"/>
          <w:sz w:val="32"/>
          <w:szCs w:val="32"/>
        </w:rPr>
        <w:t>现行</w:t>
      </w:r>
      <w:r w:rsidR="00CA3FEE">
        <w:rPr>
          <w:rFonts w:ascii="仿宋" w:eastAsia="仿宋" w:hAnsi="仿宋" w:hint="eastAsia"/>
          <w:sz w:val="32"/>
          <w:szCs w:val="32"/>
        </w:rPr>
        <w:t>医疗保障</w:t>
      </w:r>
      <w:r w:rsidRPr="002A4208">
        <w:rPr>
          <w:rFonts w:ascii="仿宋" w:eastAsia="仿宋" w:hAnsi="仿宋" w:hint="eastAsia"/>
          <w:sz w:val="32"/>
          <w:szCs w:val="32"/>
        </w:rPr>
        <w:t>政策规定执行，不受本</w:t>
      </w:r>
      <w:r>
        <w:rPr>
          <w:rFonts w:ascii="仿宋" w:eastAsia="仿宋" w:hAnsi="仿宋" w:hint="eastAsia"/>
          <w:sz w:val="32"/>
          <w:szCs w:val="32"/>
        </w:rPr>
        <w:t>方案</w:t>
      </w:r>
      <w:r w:rsidRPr="002A4208">
        <w:rPr>
          <w:rFonts w:ascii="仿宋" w:eastAsia="仿宋" w:hAnsi="仿宋" w:hint="eastAsia"/>
          <w:sz w:val="32"/>
          <w:szCs w:val="32"/>
        </w:rPr>
        <w:t>影响。</w:t>
      </w:r>
    </w:p>
    <w:p w14:paraId="6994BFE7"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三、全面推行总额预算管理</w:t>
      </w:r>
    </w:p>
    <w:p w14:paraId="0A9302FF" w14:textId="6A6F578C"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在市级统筹基础上，合理确定医共体医保支付方式改革</w:t>
      </w:r>
      <w:bookmarkStart w:id="2" w:name="_Hlk172130150"/>
      <w:r>
        <w:rPr>
          <w:rFonts w:ascii="仿宋" w:eastAsia="仿宋" w:hAnsi="仿宋" w:hint="eastAsia"/>
          <w:sz w:val="32"/>
          <w:szCs w:val="32"/>
        </w:rPr>
        <w:t>年度预算额度</w:t>
      </w:r>
      <w:bookmarkEnd w:id="2"/>
      <w:r>
        <w:rPr>
          <w:rFonts w:ascii="仿宋" w:eastAsia="仿宋" w:hAnsi="仿宋" w:hint="eastAsia"/>
          <w:sz w:val="32"/>
          <w:szCs w:val="32"/>
        </w:rPr>
        <w:t>。综合考虑全市基金收支、人群年龄结构、历</w:t>
      </w:r>
      <w:r>
        <w:rPr>
          <w:rFonts w:ascii="仿宋" w:eastAsia="仿宋" w:hAnsi="仿宋" w:hint="eastAsia"/>
          <w:sz w:val="32"/>
          <w:szCs w:val="32"/>
        </w:rPr>
        <w:lastRenderedPageBreak/>
        <w:t>史费用、疾病谱变化和年度绩效</w:t>
      </w:r>
      <w:r w:rsidR="00691CF3">
        <w:rPr>
          <w:rFonts w:ascii="仿宋" w:eastAsia="仿宋" w:hAnsi="仿宋" w:hint="eastAsia"/>
          <w:sz w:val="32"/>
          <w:szCs w:val="32"/>
        </w:rPr>
        <w:t>评价</w:t>
      </w:r>
      <w:r>
        <w:rPr>
          <w:rFonts w:ascii="仿宋" w:eastAsia="仿宋" w:hAnsi="仿宋" w:hint="eastAsia"/>
          <w:sz w:val="32"/>
          <w:szCs w:val="32"/>
        </w:rPr>
        <w:t>等因素合理分配各县年度预算额度，由医保经办机构统一核算，年度预算额度确认方法如下：</w:t>
      </w:r>
    </w:p>
    <w:p w14:paraId="44E6B0B3" w14:textId="77777777" w:rsidR="008F2392" w:rsidRDefault="00000000">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（一）当年可支配实际总额</w:t>
      </w:r>
    </w:p>
    <w:p w14:paraId="6115A87B" w14:textId="77777777" w:rsidR="008F2392" w:rsidRDefault="00000000">
      <w:pPr>
        <w:spacing w:line="560" w:lineRule="exact"/>
        <w:ind w:firstLineChars="200" w:firstLine="640"/>
        <w:rPr>
          <w:rFonts w:ascii="仿宋" w:eastAsia="仿宋" w:hAnsi="仿宋" w:hint="eastAsia"/>
          <w:sz w:val="32"/>
          <w:szCs w:val="32"/>
        </w:rPr>
      </w:pPr>
      <w:r>
        <w:rPr>
          <w:rFonts w:ascii="Times New Roman" w:eastAsia="仿宋" w:hAnsi="Times New Roman" w:cs="Times New Roman" w:hint="eastAsia"/>
          <w:sz w:val="32"/>
          <w:szCs w:val="32"/>
        </w:rPr>
        <w:t>1</w:t>
      </w:r>
      <w:r>
        <w:rPr>
          <w:rFonts w:ascii="仿宋" w:eastAsia="仿宋" w:hAnsi="仿宋" w:hint="eastAsia"/>
          <w:sz w:val="32"/>
          <w:szCs w:val="32"/>
        </w:rPr>
        <w:t>.</w:t>
      </w:r>
      <w:bookmarkStart w:id="3" w:name="_Hlk172145358"/>
      <w:r>
        <w:rPr>
          <w:rFonts w:ascii="仿宋" w:eastAsia="仿宋" w:hAnsi="仿宋" w:hint="eastAsia"/>
          <w:sz w:val="32"/>
          <w:szCs w:val="32"/>
        </w:rPr>
        <w:t>当年全市预算可支配实际总额</w:t>
      </w:r>
      <w:bookmarkEnd w:id="3"/>
      <w:r>
        <w:rPr>
          <w:rFonts w:ascii="仿宋" w:eastAsia="仿宋" w:hAnsi="仿宋" w:hint="eastAsia"/>
          <w:sz w:val="32"/>
          <w:szCs w:val="32"/>
        </w:rPr>
        <w:t xml:space="preserve"> ＝ 当年全市实际筹资总额－独立核算基金</w:t>
      </w:r>
    </w:p>
    <w:p w14:paraId="16ED4E47" w14:textId="77777777" w:rsidR="008F2392" w:rsidRDefault="00000000">
      <w:pPr>
        <w:spacing w:line="560" w:lineRule="exact"/>
        <w:ind w:firstLineChars="200" w:firstLine="640"/>
        <w:rPr>
          <w:rFonts w:ascii="仿宋" w:eastAsia="仿宋" w:hAnsi="仿宋" w:hint="eastAsia"/>
          <w:sz w:val="32"/>
          <w:szCs w:val="32"/>
        </w:rPr>
      </w:pPr>
      <w:r>
        <w:rPr>
          <w:rFonts w:ascii="Times New Roman" w:eastAsia="仿宋" w:hAnsi="Times New Roman" w:cs="Times New Roman" w:hint="eastAsia"/>
          <w:sz w:val="32"/>
          <w:szCs w:val="32"/>
        </w:rPr>
        <w:t>2</w:t>
      </w:r>
      <w:r>
        <w:rPr>
          <w:rFonts w:ascii="仿宋" w:eastAsia="仿宋" w:hAnsi="仿宋" w:hint="eastAsia"/>
          <w:sz w:val="32"/>
          <w:szCs w:val="32"/>
        </w:rPr>
        <w:t>.当年县域可支配实际总额 ＝ 当年全市预算可支配实际总额×（县域参保人数÷统筹区参保人数）</w:t>
      </w:r>
    </w:p>
    <w:p w14:paraId="28E0BA3C" w14:textId="77777777" w:rsidR="008F2392" w:rsidRDefault="00000000">
      <w:pPr>
        <w:spacing w:line="560" w:lineRule="exact"/>
        <w:ind w:firstLineChars="200" w:firstLine="640"/>
        <w:rPr>
          <w:rFonts w:ascii="仿宋" w:eastAsia="仿宋" w:hAnsi="仿宋" w:hint="eastAsia"/>
          <w:sz w:val="32"/>
          <w:szCs w:val="32"/>
        </w:rPr>
      </w:pPr>
      <w:r>
        <w:rPr>
          <w:rFonts w:ascii="Times New Roman" w:eastAsia="仿宋" w:hAnsi="Times New Roman" w:cs="Times New Roman" w:hint="eastAsia"/>
          <w:sz w:val="32"/>
          <w:szCs w:val="32"/>
        </w:rPr>
        <w:t>3</w:t>
      </w:r>
      <w:r>
        <w:rPr>
          <w:rFonts w:ascii="仿宋" w:eastAsia="仿宋" w:hAnsi="仿宋" w:hint="eastAsia"/>
          <w:sz w:val="32"/>
          <w:szCs w:val="32"/>
        </w:rPr>
        <w:t>.相关指标</w:t>
      </w:r>
    </w:p>
    <w:p w14:paraId="50554B5D"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1</w:t>
      </w:r>
      <w:r>
        <w:rPr>
          <w:rFonts w:ascii="仿宋" w:eastAsia="仿宋" w:hAnsi="仿宋" w:hint="eastAsia"/>
          <w:sz w:val="32"/>
          <w:szCs w:val="32"/>
        </w:rPr>
        <w:t>）当年全市实际筹资总额：当年全市实际参保人数×当年筹资标准（个人缴费标准＋政府补贴标准）；</w:t>
      </w:r>
    </w:p>
    <w:p w14:paraId="73391822"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2</w:t>
      </w:r>
      <w:r>
        <w:rPr>
          <w:rFonts w:ascii="仿宋" w:eastAsia="仿宋" w:hAnsi="仿宋" w:hint="eastAsia"/>
          <w:sz w:val="32"/>
          <w:szCs w:val="32"/>
        </w:rPr>
        <w:t>）独立核算基金：按当年大病保险基金提取比例从当年全市实际筹资总额计提；</w:t>
      </w:r>
    </w:p>
    <w:p w14:paraId="705FB906" w14:textId="2D2A468F"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3</w:t>
      </w:r>
      <w:r>
        <w:rPr>
          <w:rFonts w:ascii="仿宋" w:eastAsia="仿宋" w:hAnsi="仿宋" w:hint="eastAsia"/>
          <w:sz w:val="32"/>
          <w:szCs w:val="32"/>
        </w:rPr>
        <w:t>）当年全市预算可支配实际总额：指当年全市城乡居民医保基金能够用于支付当年度全市参保人员在全国范围内医保定点医药机构因</w:t>
      </w:r>
      <w:r w:rsidR="007C0DBA">
        <w:rPr>
          <w:rFonts w:ascii="仿宋" w:eastAsia="仿宋" w:hAnsi="仿宋" w:hint="eastAsia"/>
          <w:sz w:val="32"/>
          <w:szCs w:val="32"/>
        </w:rPr>
        <w:t>普通</w:t>
      </w:r>
      <w:r>
        <w:rPr>
          <w:rFonts w:ascii="仿宋" w:eastAsia="仿宋" w:hAnsi="仿宋" w:hint="eastAsia"/>
          <w:sz w:val="32"/>
          <w:szCs w:val="32"/>
        </w:rPr>
        <w:t>门诊、门诊慢特病和住院就医产生的基本医保统筹报销费用。</w:t>
      </w:r>
    </w:p>
    <w:p w14:paraId="234A11F1" w14:textId="77777777" w:rsidR="008F2392" w:rsidRDefault="00000000">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（二）动态调整机制</w:t>
      </w:r>
    </w:p>
    <w:p w14:paraId="6B9F20A4"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引入动态调整机制，因医保待遇政策和医药服务价格调整引起的政策性医保基金缺口，或因突发公共卫生服务救治等不可抗力因素产生的医保基金支出，经集体研究决定并报市级财政部门备案后，所需资金由医保历年滚存结余资金承担，在启动年度清算时计入当年全市预算可支配实际总额。当年度未发生上述情况，不启动动态调整。</w:t>
      </w:r>
    </w:p>
    <w:p w14:paraId="648144DB" w14:textId="77777777" w:rsidR="008F2392" w:rsidRDefault="00000000">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lastRenderedPageBreak/>
        <w:t>（三）县域可支配预算总额</w:t>
      </w:r>
    </w:p>
    <w:p w14:paraId="4E3B676A" w14:textId="0CFB7E4E" w:rsidR="008F2392" w:rsidRDefault="00000000">
      <w:pPr>
        <w:spacing w:line="560" w:lineRule="exact"/>
        <w:ind w:firstLineChars="200" w:firstLine="640"/>
        <w:rPr>
          <w:rFonts w:ascii="仿宋" w:eastAsia="仿宋" w:hAnsi="仿宋" w:hint="eastAsia"/>
          <w:sz w:val="32"/>
          <w:szCs w:val="32"/>
        </w:rPr>
      </w:pPr>
      <w:r>
        <w:rPr>
          <w:rFonts w:ascii="Times New Roman" w:eastAsia="仿宋" w:hAnsi="Times New Roman" w:cs="Times New Roman" w:hint="eastAsia"/>
          <w:sz w:val="32"/>
          <w:szCs w:val="32"/>
        </w:rPr>
        <w:t>1</w:t>
      </w:r>
      <w:r>
        <w:rPr>
          <w:rFonts w:ascii="仿宋" w:eastAsia="仿宋" w:hAnsi="仿宋" w:hint="eastAsia"/>
          <w:sz w:val="32"/>
          <w:szCs w:val="32"/>
        </w:rPr>
        <w:t>.当年县域可支配预算总额 ＝ 当年县域可支配实际总额×</w:t>
      </w:r>
      <w:r>
        <w:rPr>
          <w:rFonts w:ascii="Times New Roman" w:eastAsia="仿宋" w:hAnsi="Times New Roman" w:cs="Times New Roman" w:hint="eastAsia"/>
          <w:sz w:val="32"/>
          <w:szCs w:val="32"/>
        </w:rPr>
        <w:t>70</w:t>
      </w:r>
      <w:r>
        <w:rPr>
          <w:rFonts w:ascii="方正书宋简体" w:eastAsia="方正书宋简体" w:hAnsi="方正书宋简体" w:hint="eastAsia"/>
          <w:sz w:val="32"/>
          <w:szCs w:val="32"/>
        </w:rPr>
        <w:t>%</w:t>
      </w:r>
      <w:r>
        <w:rPr>
          <w:rFonts w:ascii="仿宋" w:eastAsia="仿宋" w:hAnsi="仿宋" w:hint="eastAsia"/>
          <w:sz w:val="32"/>
          <w:szCs w:val="32"/>
        </w:rPr>
        <w:t>＋上年度实际发生数×</w:t>
      </w:r>
      <w:r>
        <w:rPr>
          <w:rFonts w:ascii="Times New Roman" w:eastAsia="仿宋" w:hAnsi="Times New Roman" w:cs="Times New Roman" w:hint="eastAsia"/>
          <w:sz w:val="32"/>
          <w:szCs w:val="32"/>
        </w:rPr>
        <w:t>20</w:t>
      </w:r>
      <w:r>
        <w:rPr>
          <w:rFonts w:ascii="方正书宋简体" w:eastAsia="方正书宋简体" w:hAnsi="方正书宋简体" w:hint="eastAsia"/>
          <w:sz w:val="32"/>
          <w:szCs w:val="32"/>
        </w:rPr>
        <w:t>%</w:t>
      </w:r>
      <w:r>
        <w:rPr>
          <w:rFonts w:ascii="仿宋" w:eastAsia="仿宋" w:hAnsi="仿宋" w:hint="eastAsia"/>
          <w:sz w:val="32"/>
          <w:szCs w:val="32"/>
        </w:rPr>
        <w:t>＋当年医共体可支配实际总额×（上年度</w:t>
      </w:r>
      <w:r w:rsidR="00456CBF">
        <w:rPr>
          <w:rFonts w:ascii="仿宋" w:eastAsia="仿宋" w:hAnsi="仿宋" w:hint="eastAsia"/>
          <w:sz w:val="32"/>
          <w:szCs w:val="32"/>
        </w:rPr>
        <w:t>评价</w:t>
      </w:r>
      <w:r>
        <w:rPr>
          <w:rFonts w:ascii="仿宋" w:eastAsia="仿宋" w:hAnsi="仿宋" w:hint="eastAsia"/>
          <w:sz w:val="32"/>
          <w:szCs w:val="32"/>
        </w:rPr>
        <w:t>得分系数×</w:t>
      </w:r>
      <w:r>
        <w:rPr>
          <w:rFonts w:ascii="Times New Roman" w:eastAsia="仿宋" w:hAnsi="Times New Roman" w:cs="Times New Roman" w:hint="eastAsia"/>
          <w:sz w:val="32"/>
          <w:szCs w:val="32"/>
        </w:rPr>
        <w:t>10</w:t>
      </w:r>
      <w:r>
        <w:rPr>
          <w:rFonts w:ascii="方正书宋简体" w:eastAsia="方正书宋简体" w:hAnsi="方正书宋简体" w:hint="eastAsia"/>
          <w:sz w:val="32"/>
          <w:szCs w:val="32"/>
        </w:rPr>
        <w:t>%</w:t>
      </w:r>
      <w:r>
        <w:rPr>
          <w:rFonts w:ascii="仿宋" w:eastAsia="仿宋" w:hAnsi="仿宋" w:hint="eastAsia"/>
          <w:sz w:val="32"/>
          <w:szCs w:val="32"/>
        </w:rPr>
        <w:t>）＋调节额度</w:t>
      </w:r>
    </w:p>
    <w:p w14:paraId="57FB2FE3" w14:textId="77777777" w:rsidR="008F2392" w:rsidRDefault="00000000">
      <w:pPr>
        <w:spacing w:line="560" w:lineRule="exact"/>
        <w:ind w:firstLineChars="200" w:firstLine="640"/>
        <w:rPr>
          <w:rFonts w:ascii="仿宋" w:eastAsia="仿宋" w:hAnsi="仿宋" w:hint="eastAsia"/>
          <w:sz w:val="32"/>
          <w:szCs w:val="32"/>
        </w:rPr>
      </w:pPr>
      <w:r>
        <w:rPr>
          <w:rFonts w:ascii="Times New Roman" w:eastAsia="仿宋" w:hAnsi="Times New Roman" w:cs="Times New Roman" w:hint="eastAsia"/>
          <w:sz w:val="32"/>
          <w:szCs w:val="32"/>
        </w:rPr>
        <w:t>2</w:t>
      </w:r>
      <w:r>
        <w:rPr>
          <w:rFonts w:ascii="仿宋" w:eastAsia="仿宋" w:hAnsi="仿宋" w:hint="eastAsia"/>
          <w:sz w:val="32"/>
          <w:szCs w:val="32"/>
        </w:rPr>
        <w:t>.调节额度 ＝ 当年县域可支配实际总额×老年人群基金支出系数×（上年度县域内参保人群老年人口占比－上年度统筹区参保人群老年人口占比）＋当年县域可支配实际总额×高难度病种支出系数×（上年度县域内高难度病种发病率－上年度统筹区高难度病种发病率）</w:t>
      </w:r>
    </w:p>
    <w:p w14:paraId="5A690442" w14:textId="77777777" w:rsidR="008F2392" w:rsidRDefault="00000000">
      <w:pPr>
        <w:spacing w:line="560" w:lineRule="exact"/>
        <w:ind w:firstLineChars="200" w:firstLine="640"/>
        <w:rPr>
          <w:rFonts w:ascii="仿宋" w:eastAsia="仿宋" w:hAnsi="仿宋" w:hint="eastAsia"/>
          <w:sz w:val="32"/>
          <w:szCs w:val="32"/>
        </w:rPr>
      </w:pPr>
      <w:r>
        <w:rPr>
          <w:rFonts w:ascii="Times New Roman" w:eastAsia="仿宋" w:hAnsi="Times New Roman" w:cs="Times New Roman" w:hint="eastAsia"/>
          <w:sz w:val="32"/>
          <w:szCs w:val="32"/>
        </w:rPr>
        <w:t>3</w:t>
      </w:r>
      <w:r>
        <w:rPr>
          <w:rFonts w:ascii="仿宋" w:eastAsia="仿宋" w:hAnsi="仿宋" w:hint="eastAsia"/>
          <w:sz w:val="32"/>
          <w:szCs w:val="32"/>
        </w:rPr>
        <w:t>.相关指标</w:t>
      </w:r>
    </w:p>
    <w:p w14:paraId="09D54E4B"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1</w:t>
      </w:r>
      <w:r>
        <w:rPr>
          <w:rFonts w:ascii="仿宋" w:eastAsia="仿宋" w:hAnsi="仿宋" w:hint="eastAsia"/>
          <w:sz w:val="32"/>
          <w:szCs w:val="32"/>
        </w:rPr>
        <w:t>）上年度实际发生数：上年度医共体医保支付方式改革县参保人员就医产生的医保基金系统记账费用。</w:t>
      </w:r>
    </w:p>
    <w:p w14:paraId="57293F74" w14:textId="43656BC8"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2</w:t>
      </w:r>
      <w:r>
        <w:rPr>
          <w:rFonts w:ascii="仿宋" w:eastAsia="仿宋" w:hAnsi="仿宋" w:hint="eastAsia"/>
          <w:sz w:val="32"/>
          <w:szCs w:val="32"/>
        </w:rPr>
        <w:t>）上年度</w:t>
      </w:r>
      <w:r w:rsidR="00E54447">
        <w:rPr>
          <w:rFonts w:ascii="仿宋" w:eastAsia="仿宋" w:hAnsi="仿宋" w:hint="eastAsia"/>
          <w:sz w:val="32"/>
          <w:szCs w:val="32"/>
        </w:rPr>
        <w:t>评价</w:t>
      </w:r>
      <w:r>
        <w:rPr>
          <w:rFonts w:ascii="仿宋" w:eastAsia="仿宋" w:hAnsi="仿宋" w:hint="eastAsia"/>
          <w:sz w:val="32"/>
          <w:szCs w:val="32"/>
        </w:rPr>
        <w:t>得分系数：上年度绩效</w:t>
      </w:r>
      <w:r w:rsidR="00E54447">
        <w:rPr>
          <w:rFonts w:ascii="仿宋" w:eastAsia="仿宋" w:hAnsi="仿宋" w:hint="eastAsia"/>
          <w:sz w:val="32"/>
          <w:szCs w:val="32"/>
        </w:rPr>
        <w:t>评价</w:t>
      </w:r>
      <w:r>
        <w:rPr>
          <w:rFonts w:ascii="仿宋" w:eastAsia="仿宋" w:hAnsi="仿宋" w:hint="eastAsia"/>
          <w:sz w:val="32"/>
          <w:szCs w:val="32"/>
        </w:rPr>
        <w:t>评价得分系数，得分系数最高为</w:t>
      </w:r>
      <w:r>
        <w:rPr>
          <w:rFonts w:ascii="Times New Roman" w:eastAsia="仿宋" w:hAnsi="Times New Roman" w:cs="Times New Roman" w:hint="eastAsia"/>
          <w:sz w:val="32"/>
          <w:szCs w:val="32"/>
        </w:rPr>
        <w:t>1</w:t>
      </w:r>
      <w:r>
        <w:rPr>
          <w:rFonts w:ascii="仿宋" w:eastAsia="仿宋" w:hAnsi="仿宋" w:hint="eastAsia"/>
          <w:sz w:val="32"/>
          <w:szCs w:val="32"/>
        </w:rPr>
        <w:t>。绩效评价得分≥</w:t>
      </w:r>
      <w:r>
        <w:rPr>
          <w:rFonts w:ascii="Times New Roman" w:eastAsia="仿宋" w:hAnsi="Times New Roman" w:cs="Times New Roman" w:hint="eastAsia"/>
          <w:sz w:val="32"/>
          <w:szCs w:val="32"/>
        </w:rPr>
        <w:t>90</w:t>
      </w:r>
      <w:r>
        <w:rPr>
          <w:rFonts w:ascii="仿宋" w:eastAsia="仿宋" w:hAnsi="仿宋" w:hint="eastAsia"/>
          <w:sz w:val="32"/>
          <w:szCs w:val="32"/>
        </w:rPr>
        <w:t>分，年度</w:t>
      </w:r>
      <w:r w:rsidR="00E54447">
        <w:rPr>
          <w:rFonts w:ascii="仿宋" w:eastAsia="仿宋" w:hAnsi="仿宋" w:hint="eastAsia"/>
          <w:sz w:val="32"/>
          <w:szCs w:val="32"/>
        </w:rPr>
        <w:t>评价得分</w:t>
      </w:r>
      <w:r>
        <w:rPr>
          <w:rFonts w:ascii="仿宋" w:eastAsia="仿宋" w:hAnsi="仿宋" w:hint="eastAsia"/>
          <w:sz w:val="32"/>
          <w:szCs w:val="32"/>
        </w:rPr>
        <w:t>系数为</w:t>
      </w:r>
      <w:r>
        <w:rPr>
          <w:rFonts w:ascii="Times New Roman" w:eastAsia="仿宋" w:hAnsi="Times New Roman" w:cs="Times New Roman" w:hint="eastAsia"/>
          <w:sz w:val="32"/>
          <w:szCs w:val="32"/>
        </w:rPr>
        <w:t>1</w:t>
      </w:r>
      <w:r>
        <w:rPr>
          <w:rFonts w:ascii="仿宋" w:eastAsia="仿宋" w:hAnsi="仿宋" w:hint="eastAsia"/>
          <w:sz w:val="32"/>
          <w:szCs w:val="32"/>
        </w:rPr>
        <w:t>；绩效评价得分＜</w:t>
      </w:r>
      <w:r>
        <w:rPr>
          <w:rFonts w:ascii="Times New Roman" w:eastAsia="仿宋" w:hAnsi="Times New Roman" w:cs="Times New Roman" w:hint="eastAsia"/>
          <w:sz w:val="32"/>
          <w:szCs w:val="32"/>
        </w:rPr>
        <w:t>90</w:t>
      </w:r>
      <w:r>
        <w:rPr>
          <w:rFonts w:ascii="仿宋" w:eastAsia="仿宋" w:hAnsi="仿宋" w:hint="eastAsia"/>
          <w:sz w:val="32"/>
          <w:szCs w:val="32"/>
        </w:rPr>
        <w:t>分，年度</w:t>
      </w:r>
      <w:r w:rsidR="00E54447">
        <w:rPr>
          <w:rFonts w:ascii="仿宋" w:eastAsia="仿宋" w:hAnsi="仿宋" w:hint="eastAsia"/>
          <w:sz w:val="32"/>
          <w:szCs w:val="32"/>
        </w:rPr>
        <w:t>评价得分</w:t>
      </w:r>
      <w:r>
        <w:rPr>
          <w:rFonts w:ascii="仿宋" w:eastAsia="仿宋" w:hAnsi="仿宋" w:hint="eastAsia"/>
          <w:sz w:val="32"/>
          <w:szCs w:val="32"/>
        </w:rPr>
        <w:t xml:space="preserve">系数＝ </w:t>
      </w:r>
      <w:r>
        <w:rPr>
          <w:rFonts w:ascii="Times New Roman" w:eastAsia="仿宋" w:hAnsi="Times New Roman" w:cs="Times New Roman" w:hint="eastAsia"/>
          <w:sz w:val="32"/>
          <w:szCs w:val="32"/>
        </w:rPr>
        <w:t>1</w:t>
      </w:r>
      <w:r>
        <w:rPr>
          <w:rFonts w:ascii="仿宋" w:eastAsia="仿宋" w:hAnsi="仿宋" w:hint="eastAsia"/>
          <w:sz w:val="32"/>
          <w:szCs w:val="32"/>
        </w:rPr>
        <w:t>－【(</w:t>
      </w:r>
      <w:r>
        <w:rPr>
          <w:rFonts w:ascii="Times New Roman" w:eastAsia="仿宋" w:hAnsi="Times New Roman" w:cs="Times New Roman" w:hint="eastAsia"/>
          <w:sz w:val="32"/>
          <w:szCs w:val="32"/>
        </w:rPr>
        <w:t>90</w:t>
      </w:r>
      <w:r>
        <w:rPr>
          <w:rFonts w:ascii="仿宋" w:eastAsia="仿宋" w:hAnsi="仿宋" w:hint="eastAsia"/>
          <w:sz w:val="32"/>
          <w:szCs w:val="32"/>
        </w:rPr>
        <w:t>分－绩效评价得分)÷</w:t>
      </w:r>
      <w:r>
        <w:rPr>
          <w:rFonts w:ascii="Times New Roman" w:eastAsia="仿宋" w:hAnsi="Times New Roman" w:cs="Times New Roman" w:hint="eastAsia"/>
          <w:sz w:val="32"/>
          <w:szCs w:val="32"/>
        </w:rPr>
        <w:t>100</w:t>
      </w:r>
      <w:r>
        <w:rPr>
          <w:rFonts w:ascii="仿宋" w:eastAsia="仿宋" w:hAnsi="仿宋" w:hint="eastAsia"/>
          <w:sz w:val="32"/>
          <w:szCs w:val="32"/>
        </w:rPr>
        <w:t>】。第一年启动的</w:t>
      </w:r>
      <w:r w:rsidR="00E54447">
        <w:rPr>
          <w:rFonts w:ascii="仿宋" w:eastAsia="仿宋" w:hAnsi="仿宋" w:hint="eastAsia"/>
          <w:sz w:val="32"/>
          <w:szCs w:val="32"/>
        </w:rPr>
        <w:t>评价</w:t>
      </w:r>
      <w:r>
        <w:rPr>
          <w:rFonts w:ascii="仿宋" w:eastAsia="仿宋" w:hAnsi="仿宋" w:hint="eastAsia"/>
          <w:sz w:val="32"/>
          <w:szCs w:val="32"/>
        </w:rPr>
        <w:t>得分系数为</w:t>
      </w:r>
      <w:r>
        <w:rPr>
          <w:rFonts w:ascii="Times New Roman" w:eastAsia="仿宋" w:hAnsi="Times New Roman" w:cs="Times New Roman" w:hint="eastAsia"/>
          <w:sz w:val="32"/>
          <w:szCs w:val="32"/>
        </w:rPr>
        <w:t>1</w:t>
      </w:r>
      <w:r>
        <w:rPr>
          <w:rFonts w:ascii="仿宋" w:eastAsia="仿宋" w:hAnsi="仿宋" w:hint="eastAsia"/>
          <w:sz w:val="32"/>
          <w:szCs w:val="32"/>
        </w:rPr>
        <w:t>。</w:t>
      </w:r>
    </w:p>
    <w:p w14:paraId="6474256C"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3</w:t>
      </w:r>
      <w:r>
        <w:rPr>
          <w:rFonts w:ascii="仿宋" w:eastAsia="仿宋" w:hAnsi="仿宋" w:hint="eastAsia"/>
          <w:sz w:val="32"/>
          <w:szCs w:val="32"/>
        </w:rPr>
        <w:t>）老年人群基金支出系数：上年度老年人群基金支出占比÷上年度老年人群基金收入占比。</w:t>
      </w:r>
      <w:r>
        <w:rPr>
          <w:rFonts w:ascii="Times New Roman" w:eastAsia="仿宋" w:hAnsi="Times New Roman" w:cs="Times New Roman" w:hint="eastAsia"/>
          <w:sz w:val="32"/>
          <w:szCs w:val="32"/>
        </w:rPr>
        <w:t>2024</w:t>
      </w:r>
      <w:r>
        <w:rPr>
          <w:rFonts w:ascii="仿宋" w:eastAsia="仿宋" w:hAnsi="仿宋" w:hint="eastAsia"/>
          <w:sz w:val="32"/>
          <w:szCs w:val="32"/>
        </w:rPr>
        <w:t>年老年人群基金支出系数为</w:t>
      </w:r>
      <w:r>
        <w:rPr>
          <w:rFonts w:ascii="Times New Roman" w:eastAsia="仿宋" w:hAnsi="Times New Roman" w:cs="Times New Roman" w:hint="eastAsia"/>
          <w:sz w:val="32"/>
          <w:szCs w:val="32"/>
        </w:rPr>
        <w:t>3</w:t>
      </w:r>
      <w:r>
        <w:rPr>
          <w:rFonts w:ascii="仿宋" w:eastAsia="仿宋" w:hAnsi="仿宋" w:hint="eastAsia"/>
          <w:sz w:val="32"/>
          <w:szCs w:val="32"/>
        </w:rPr>
        <w:t>。</w:t>
      </w:r>
    </w:p>
    <w:p w14:paraId="56CC89BB"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4</w:t>
      </w:r>
      <w:r>
        <w:rPr>
          <w:rFonts w:ascii="仿宋" w:eastAsia="仿宋" w:hAnsi="仿宋" w:hint="eastAsia"/>
          <w:sz w:val="32"/>
          <w:szCs w:val="32"/>
        </w:rPr>
        <w:t>）上年度县域内参保人群老年人口占比：指医共体医保支付方式改革县参保人群中</w:t>
      </w:r>
      <w:r>
        <w:rPr>
          <w:rFonts w:ascii="Times New Roman" w:eastAsia="仿宋" w:hAnsi="Times New Roman" w:cs="Times New Roman" w:hint="eastAsia"/>
          <w:sz w:val="32"/>
          <w:szCs w:val="32"/>
        </w:rPr>
        <w:t>60</w:t>
      </w:r>
      <w:r>
        <w:rPr>
          <w:rFonts w:ascii="仿宋" w:eastAsia="仿宋" w:hAnsi="仿宋" w:hint="eastAsia"/>
          <w:sz w:val="32"/>
          <w:szCs w:val="32"/>
        </w:rPr>
        <w:t>岁以上人口占比。</w:t>
      </w:r>
    </w:p>
    <w:p w14:paraId="7FCCC18B"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5</w:t>
      </w:r>
      <w:r>
        <w:rPr>
          <w:rFonts w:ascii="仿宋" w:eastAsia="仿宋" w:hAnsi="仿宋" w:hint="eastAsia"/>
          <w:sz w:val="32"/>
          <w:szCs w:val="32"/>
        </w:rPr>
        <w:t>）上年度统筹区参保人群老年人口占比：指全市参保人群中</w:t>
      </w:r>
      <w:r>
        <w:rPr>
          <w:rFonts w:ascii="Times New Roman" w:eastAsia="仿宋" w:hAnsi="Times New Roman" w:cs="Times New Roman" w:hint="eastAsia"/>
          <w:sz w:val="32"/>
          <w:szCs w:val="32"/>
        </w:rPr>
        <w:t>60</w:t>
      </w:r>
      <w:r>
        <w:rPr>
          <w:rFonts w:ascii="仿宋" w:eastAsia="仿宋" w:hAnsi="仿宋" w:hint="eastAsia"/>
          <w:sz w:val="32"/>
          <w:szCs w:val="32"/>
        </w:rPr>
        <w:t>岁以上人口占比。</w:t>
      </w:r>
    </w:p>
    <w:p w14:paraId="6D29DFF0"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w:t>
      </w:r>
      <w:r>
        <w:rPr>
          <w:rFonts w:ascii="Times New Roman" w:eastAsia="仿宋" w:hAnsi="Times New Roman" w:cs="Times New Roman" w:hint="eastAsia"/>
          <w:sz w:val="32"/>
          <w:szCs w:val="32"/>
        </w:rPr>
        <w:t>6</w:t>
      </w:r>
      <w:r>
        <w:rPr>
          <w:rFonts w:ascii="仿宋" w:eastAsia="仿宋" w:hAnsi="仿宋" w:hint="eastAsia"/>
          <w:sz w:val="32"/>
          <w:szCs w:val="32"/>
        </w:rPr>
        <w:t>）高难度病种支出系数：上年度高难度病种基金支出占比÷上年度高难度病种发生率。</w:t>
      </w:r>
      <w:r>
        <w:rPr>
          <w:rFonts w:ascii="Times New Roman" w:eastAsia="仿宋" w:hAnsi="Times New Roman" w:cs="Times New Roman" w:hint="eastAsia"/>
          <w:sz w:val="32"/>
          <w:szCs w:val="32"/>
        </w:rPr>
        <w:t>2024</w:t>
      </w:r>
      <w:r>
        <w:rPr>
          <w:rFonts w:ascii="仿宋" w:eastAsia="仿宋" w:hAnsi="仿宋" w:hint="eastAsia"/>
          <w:sz w:val="32"/>
          <w:szCs w:val="32"/>
        </w:rPr>
        <w:t>年高难度病种支出系数为</w:t>
      </w:r>
      <w:r>
        <w:rPr>
          <w:rFonts w:ascii="Times New Roman" w:eastAsia="仿宋" w:hAnsi="Times New Roman" w:cs="Times New Roman" w:hint="eastAsia"/>
          <w:sz w:val="32"/>
          <w:szCs w:val="32"/>
        </w:rPr>
        <w:t>4</w:t>
      </w:r>
      <w:r>
        <w:rPr>
          <w:rFonts w:ascii="仿宋" w:eastAsia="仿宋" w:hAnsi="仿宋" w:hint="eastAsia"/>
          <w:sz w:val="32"/>
          <w:szCs w:val="32"/>
        </w:rPr>
        <w:t>。</w:t>
      </w:r>
    </w:p>
    <w:p w14:paraId="7A80F07F"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7</w:t>
      </w:r>
      <w:r>
        <w:rPr>
          <w:rFonts w:ascii="仿宋" w:eastAsia="仿宋" w:hAnsi="仿宋" w:hint="eastAsia"/>
          <w:sz w:val="32"/>
          <w:szCs w:val="32"/>
        </w:rPr>
        <w:t>）上年度县域内高难度病种发病率：贵阳贵安统筹区</w:t>
      </w:r>
      <w:r>
        <w:rPr>
          <w:rFonts w:ascii="Times New Roman" w:eastAsia="仿宋" w:hAnsi="Times New Roman" w:cs="Times New Roman" w:hint="eastAsia"/>
          <w:sz w:val="32"/>
          <w:szCs w:val="32"/>
        </w:rPr>
        <w:t>DIP</w:t>
      </w:r>
      <w:r>
        <w:rPr>
          <w:rFonts w:ascii="仿宋" w:eastAsia="仿宋" w:hAnsi="仿宋" w:hint="eastAsia"/>
          <w:sz w:val="32"/>
          <w:szCs w:val="32"/>
        </w:rPr>
        <w:t>目录中，医共体医保支付方式改革县参保人员就医结算病种分值前</w:t>
      </w:r>
      <w:r>
        <w:rPr>
          <w:rFonts w:ascii="Times New Roman" w:eastAsia="仿宋" w:hAnsi="Times New Roman" w:cs="Times New Roman" w:hint="eastAsia"/>
          <w:sz w:val="32"/>
          <w:szCs w:val="32"/>
        </w:rPr>
        <w:t>20</w:t>
      </w:r>
      <w:r>
        <w:rPr>
          <w:rFonts w:ascii="仿宋" w:eastAsia="仿宋" w:hAnsi="仿宋" w:hint="eastAsia"/>
          <w:sz w:val="32"/>
          <w:szCs w:val="32"/>
        </w:rPr>
        <w:t>%的病种发生率。</w:t>
      </w:r>
    </w:p>
    <w:p w14:paraId="3F973125"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8</w:t>
      </w:r>
      <w:r>
        <w:rPr>
          <w:rFonts w:ascii="仿宋" w:eastAsia="仿宋" w:hAnsi="仿宋" w:hint="eastAsia"/>
          <w:sz w:val="32"/>
          <w:szCs w:val="32"/>
        </w:rPr>
        <w:t>）上年度统筹区高难度病种发病率：贵阳贵安统筹区</w:t>
      </w:r>
      <w:r>
        <w:rPr>
          <w:rFonts w:ascii="Times New Roman" w:eastAsia="仿宋" w:hAnsi="Times New Roman" w:cs="Times New Roman" w:hint="eastAsia"/>
          <w:sz w:val="32"/>
          <w:szCs w:val="32"/>
        </w:rPr>
        <w:t>DIP</w:t>
      </w:r>
      <w:r>
        <w:rPr>
          <w:rFonts w:ascii="仿宋" w:eastAsia="仿宋" w:hAnsi="仿宋" w:hint="eastAsia"/>
          <w:sz w:val="32"/>
          <w:szCs w:val="32"/>
        </w:rPr>
        <w:t>目录中分值前</w:t>
      </w:r>
      <w:r>
        <w:rPr>
          <w:rFonts w:ascii="Times New Roman" w:eastAsia="仿宋" w:hAnsi="Times New Roman" w:cs="Times New Roman" w:hint="eastAsia"/>
          <w:sz w:val="32"/>
          <w:szCs w:val="32"/>
        </w:rPr>
        <w:t>20</w:t>
      </w:r>
      <w:r>
        <w:rPr>
          <w:rFonts w:ascii="方正书宋简体" w:eastAsia="方正书宋简体" w:hAnsi="方正书宋简体" w:hint="eastAsia"/>
          <w:sz w:val="32"/>
          <w:szCs w:val="32"/>
        </w:rPr>
        <w:t>%</w:t>
      </w:r>
      <w:r>
        <w:rPr>
          <w:rFonts w:ascii="仿宋" w:eastAsia="仿宋" w:hAnsi="仿宋" w:hint="eastAsia"/>
          <w:sz w:val="32"/>
          <w:szCs w:val="32"/>
        </w:rPr>
        <w:t>的病种发生率。</w:t>
      </w:r>
    </w:p>
    <w:p w14:paraId="26453FC5"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Times New Roman" w:eastAsia="仿宋" w:hAnsi="Times New Roman" w:cs="Times New Roman" w:hint="eastAsia"/>
          <w:sz w:val="32"/>
          <w:szCs w:val="32"/>
        </w:rPr>
        <w:t>9</w:t>
      </w:r>
      <w:r>
        <w:rPr>
          <w:rFonts w:ascii="仿宋" w:eastAsia="仿宋" w:hAnsi="仿宋" w:hint="eastAsia"/>
          <w:sz w:val="32"/>
          <w:szCs w:val="32"/>
        </w:rPr>
        <w:t>）当年县域可支配预算总额：指通过医共体支付方式改革总额付费预算，合理确定的用于医共体支付方式改革县参保人员在全国范围内医保定点医药机构因门诊、门诊慢特病和住院就医产生基本医保统筹报销费用的支付额度。</w:t>
      </w:r>
    </w:p>
    <w:p w14:paraId="49AC2E8D"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四、建立周转金制度</w:t>
      </w:r>
    </w:p>
    <w:p w14:paraId="6D82A3B9"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实行“收支两条线”，以医共体医保支付方式改革县上年度实际发生数月平均支付额为基数，预付一个月基金作为周转金，于每年</w:t>
      </w:r>
      <w:r>
        <w:rPr>
          <w:rFonts w:ascii="Times New Roman" w:eastAsia="仿宋" w:hAnsi="Times New Roman" w:cs="Times New Roman" w:hint="eastAsia"/>
          <w:sz w:val="32"/>
          <w:szCs w:val="32"/>
        </w:rPr>
        <w:t>1</w:t>
      </w:r>
      <w:r>
        <w:rPr>
          <w:rFonts w:ascii="仿宋" w:eastAsia="仿宋" w:hAnsi="仿宋" w:hint="eastAsia"/>
          <w:sz w:val="32"/>
          <w:szCs w:val="32"/>
        </w:rPr>
        <w:t>月底前拨付到位。周转金由医共体牵头医院合理分配使用，需在</w:t>
      </w:r>
      <w:r>
        <w:rPr>
          <w:rFonts w:ascii="Times New Roman" w:eastAsia="仿宋" w:hAnsi="Times New Roman" w:cs="Times New Roman" w:hint="eastAsia"/>
          <w:sz w:val="32"/>
          <w:szCs w:val="32"/>
        </w:rPr>
        <w:t>15</w:t>
      </w:r>
      <w:r>
        <w:rPr>
          <w:rFonts w:ascii="仿宋" w:eastAsia="仿宋" w:hAnsi="仿宋" w:hint="eastAsia"/>
          <w:sz w:val="32"/>
          <w:szCs w:val="32"/>
        </w:rPr>
        <w:t>个工作日内拨付至医共体成员单位，保证各成员单位正常开展医疗服务。每年</w:t>
      </w:r>
      <w:r>
        <w:rPr>
          <w:rFonts w:ascii="Times New Roman" w:eastAsia="仿宋" w:hAnsi="Times New Roman" w:cs="Times New Roman" w:hint="eastAsia"/>
          <w:sz w:val="32"/>
          <w:szCs w:val="32"/>
        </w:rPr>
        <w:t>12</w:t>
      </w:r>
      <w:r>
        <w:rPr>
          <w:rFonts w:ascii="仿宋" w:eastAsia="仿宋" w:hAnsi="仿宋" w:hint="eastAsia"/>
          <w:sz w:val="32"/>
          <w:szCs w:val="32"/>
        </w:rPr>
        <w:t>月</w:t>
      </w:r>
      <w:r>
        <w:rPr>
          <w:rFonts w:ascii="Times New Roman" w:eastAsia="仿宋" w:hAnsi="Times New Roman" w:cs="Times New Roman" w:hint="eastAsia"/>
          <w:sz w:val="32"/>
          <w:szCs w:val="32"/>
        </w:rPr>
        <w:t>20</w:t>
      </w:r>
      <w:r>
        <w:rPr>
          <w:rFonts w:ascii="仿宋" w:eastAsia="仿宋" w:hAnsi="仿宋" w:hint="eastAsia"/>
          <w:sz w:val="32"/>
          <w:szCs w:val="32"/>
        </w:rPr>
        <w:t>日前（节假日顺延），由医共体牵头医院负责汇集医共体全体成员单位年初拨付的周转金，缴回医保基金市级财政专户，未全额缴回的将暂停医保基金拨付，不予进行年度清算，直至还清欠款止。</w:t>
      </w:r>
    </w:p>
    <w:p w14:paraId="47CFDB81"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五、月度预结算</w:t>
      </w:r>
    </w:p>
    <w:p w14:paraId="0C24C1E7" w14:textId="77777777" w:rsidR="008F2392" w:rsidRDefault="00000000">
      <w:pPr>
        <w:spacing w:line="560" w:lineRule="exact"/>
        <w:ind w:firstLineChars="200" w:firstLine="640"/>
        <w:rPr>
          <w:rFonts w:ascii="仿宋" w:eastAsia="仿宋" w:hAnsi="仿宋" w:hint="eastAsia"/>
          <w:color w:val="FF0000"/>
          <w:sz w:val="32"/>
          <w:szCs w:val="32"/>
        </w:rPr>
      </w:pPr>
      <w:r>
        <w:rPr>
          <w:rFonts w:ascii="仿宋" w:eastAsia="仿宋" w:hAnsi="仿宋" w:hint="eastAsia"/>
          <w:sz w:val="32"/>
          <w:szCs w:val="32"/>
        </w:rPr>
        <w:t>月度预结算按</w:t>
      </w:r>
      <w:r>
        <w:rPr>
          <w:rFonts w:ascii="Times New Roman" w:eastAsia="仿宋" w:hAnsi="Times New Roman" w:cs="Times New Roman" w:hint="eastAsia"/>
          <w:sz w:val="32"/>
          <w:szCs w:val="32"/>
        </w:rPr>
        <w:t>DIP</w:t>
      </w:r>
      <w:r>
        <w:rPr>
          <w:rFonts w:ascii="仿宋" w:eastAsia="仿宋" w:hAnsi="仿宋" w:hint="eastAsia"/>
          <w:sz w:val="32"/>
          <w:szCs w:val="32"/>
        </w:rPr>
        <w:t>付费、床日付费、项目付费等现行医</w:t>
      </w:r>
      <w:r>
        <w:rPr>
          <w:rFonts w:ascii="仿宋" w:eastAsia="仿宋" w:hAnsi="仿宋" w:hint="eastAsia"/>
          <w:sz w:val="32"/>
          <w:szCs w:val="32"/>
        </w:rPr>
        <w:lastRenderedPageBreak/>
        <w:t>保支付方式，预结算给医共体。医共体成员单位全部完成月度费用申报后</w:t>
      </w:r>
      <w:r>
        <w:rPr>
          <w:rFonts w:ascii="Times New Roman" w:eastAsia="仿宋" w:hAnsi="Times New Roman" w:cs="Times New Roman" w:hint="eastAsia"/>
          <w:sz w:val="32"/>
          <w:szCs w:val="32"/>
        </w:rPr>
        <w:t>30</w:t>
      </w:r>
      <w:r>
        <w:rPr>
          <w:rFonts w:ascii="仿宋" w:eastAsia="仿宋" w:hAnsi="仿宋" w:hint="eastAsia"/>
          <w:sz w:val="32"/>
          <w:szCs w:val="32"/>
        </w:rPr>
        <w:t>个工作日内完成月度预结算费用拨付。年度内，累计月度预结算金额加上医共体外就医医保基金达到当年县域可支配预算总额的</w:t>
      </w:r>
      <w:r>
        <w:rPr>
          <w:rFonts w:ascii="Times New Roman" w:eastAsia="仿宋" w:hAnsi="Times New Roman" w:cs="Times New Roman" w:hint="eastAsia"/>
          <w:sz w:val="32"/>
          <w:szCs w:val="32"/>
        </w:rPr>
        <w:t>90</w:t>
      </w:r>
      <w:r>
        <w:rPr>
          <w:rFonts w:ascii="方正书宋简体" w:eastAsia="方正书宋简体" w:hAnsi="方正书宋简体" w:hint="eastAsia"/>
          <w:sz w:val="32"/>
          <w:szCs w:val="32"/>
        </w:rPr>
        <w:t>%</w:t>
      </w:r>
      <w:r>
        <w:rPr>
          <w:rFonts w:ascii="仿宋" w:eastAsia="仿宋" w:hAnsi="仿宋" w:hint="eastAsia"/>
          <w:sz w:val="32"/>
          <w:szCs w:val="32"/>
        </w:rPr>
        <w:t>时，不再进行月度预结算。当年县域可支配预算总额未拨付的</w:t>
      </w:r>
      <w:r>
        <w:rPr>
          <w:rFonts w:ascii="Times New Roman" w:eastAsia="仿宋" w:hAnsi="Times New Roman" w:cs="Times New Roman" w:hint="eastAsia"/>
          <w:sz w:val="32"/>
          <w:szCs w:val="32"/>
        </w:rPr>
        <w:t>10</w:t>
      </w:r>
      <w:r>
        <w:rPr>
          <w:rFonts w:ascii="方正书宋简体" w:eastAsia="方正书宋简体" w:hAnsi="方正书宋简体" w:hint="eastAsia"/>
          <w:sz w:val="32"/>
          <w:szCs w:val="32"/>
        </w:rPr>
        <w:t>%</w:t>
      </w:r>
      <w:r>
        <w:rPr>
          <w:rFonts w:ascii="仿宋" w:eastAsia="仿宋" w:hAnsi="仿宋" w:hint="eastAsia"/>
          <w:sz w:val="32"/>
          <w:szCs w:val="32"/>
        </w:rPr>
        <w:t>部分，优先支付医共体外就医后，剩余部分用于年终清算时，支付医共体未拨付的月度预结算费用。当</w:t>
      </w:r>
      <w:r>
        <w:rPr>
          <w:rFonts w:ascii="Times New Roman" w:eastAsia="仿宋" w:hAnsi="Times New Roman" w:cs="Times New Roman" w:hint="eastAsia"/>
          <w:sz w:val="32"/>
          <w:szCs w:val="32"/>
        </w:rPr>
        <w:t>10</w:t>
      </w:r>
      <w:r>
        <w:rPr>
          <w:rFonts w:ascii="方正书宋简体" w:eastAsia="方正书宋简体" w:hAnsi="方正书宋简体" w:hint="eastAsia"/>
          <w:sz w:val="32"/>
          <w:szCs w:val="32"/>
        </w:rPr>
        <w:t>%</w:t>
      </w:r>
      <w:r>
        <w:rPr>
          <w:rFonts w:ascii="仿宋" w:eastAsia="仿宋" w:hAnsi="仿宋" w:hint="eastAsia"/>
          <w:sz w:val="32"/>
          <w:szCs w:val="32"/>
        </w:rPr>
        <w:t>部分不足以支付医共体外就医，缺口部分由当年全市可支配实际总额先行支付，年终清算时缺口部分计入合理超支分担医保承担部分。</w:t>
      </w:r>
    </w:p>
    <w:p w14:paraId="792F6CD1" w14:textId="7295F0D8"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六、年度绩效</w:t>
      </w:r>
      <w:r w:rsidR="004941AF">
        <w:rPr>
          <w:rFonts w:ascii="黑体" w:eastAsia="黑体" w:hAnsi="黑体" w:hint="eastAsia"/>
          <w:sz w:val="32"/>
          <w:szCs w:val="32"/>
        </w:rPr>
        <w:t>评价</w:t>
      </w:r>
    </w:p>
    <w:p w14:paraId="2B6E8D15" w14:textId="70DEA999"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（一）</w:t>
      </w:r>
      <w:r w:rsidR="004941AF">
        <w:rPr>
          <w:rFonts w:ascii="楷体" w:eastAsia="楷体" w:hAnsi="楷体" w:hint="eastAsia"/>
          <w:sz w:val="32"/>
          <w:szCs w:val="32"/>
        </w:rPr>
        <w:t>评价</w:t>
      </w:r>
      <w:r>
        <w:rPr>
          <w:rFonts w:ascii="楷体" w:eastAsia="楷体" w:hAnsi="楷体" w:hint="eastAsia"/>
          <w:sz w:val="32"/>
          <w:szCs w:val="32"/>
        </w:rPr>
        <w:t>标准。</w:t>
      </w:r>
      <w:r>
        <w:rPr>
          <w:rFonts w:ascii="仿宋" w:eastAsia="仿宋" w:hAnsi="仿宋" w:hint="eastAsia"/>
          <w:sz w:val="32"/>
          <w:szCs w:val="32"/>
        </w:rPr>
        <w:t>市、县两级医保、财政、卫生健康部门负责组织对医共体医保支付方式改革县，以县为单位按</w:t>
      </w:r>
      <w:r>
        <w:rPr>
          <w:rFonts w:ascii="Times New Roman" w:eastAsia="仿宋" w:hAnsi="Times New Roman" w:cs="Times New Roman" w:hint="eastAsia"/>
          <w:sz w:val="32"/>
          <w:szCs w:val="32"/>
        </w:rPr>
        <w:t>100</w:t>
      </w:r>
      <w:r>
        <w:rPr>
          <w:rFonts w:ascii="仿宋" w:eastAsia="仿宋" w:hAnsi="仿宋" w:hint="eastAsia"/>
          <w:sz w:val="32"/>
          <w:szCs w:val="32"/>
        </w:rPr>
        <w:t>分制进行年度绩效</w:t>
      </w:r>
      <w:r w:rsidR="004941AF">
        <w:rPr>
          <w:rFonts w:ascii="仿宋" w:eastAsia="仿宋" w:hAnsi="仿宋" w:hint="eastAsia"/>
          <w:sz w:val="32"/>
          <w:szCs w:val="32"/>
        </w:rPr>
        <w:t>评价</w:t>
      </w:r>
      <w:r>
        <w:rPr>
          <w:rFonts w:ascii="仿宋" w:eastAsia="仿宋" w:hAnsi="仿宋" w:hint="eastAsia"/>
          <w:sz w:val="32"/>
          <w:szCs w:val="32"/>
        </w:rPr>
        <w:t>。</w:t>
      </w:r>
      <w:r w:rsidR="004941AF">
        <w:rPr>
          <w:rFonts w:ascii="仿宋" w:eastAsia="仿宋" w:hAnsi="仿宋" w:hint="eastAsia"/>
          <w:sz w:val="32"/>
          <w:szCs w:val="32"/>
        </w:rPr>
        <w:t>评价</w:t>
      </w:r>
      <w:r>
        <w:rPr>
          <w:rFonts w:ascii="仿宋" w:eastAsia="仿宋" w:hAnsi="仿宋" w:hint="eastAsia"/>
          <w:sz w:val="32"/>
          <w:szCs w:val="32"/>
        </w:rPr>
        <w:t>结果分为</w:t>
      </w:r>
      <w:r>
        <w:rPr>
          <w:rFonts w:ascii="Times New Roman" w:eastAsia="仿宋" w:hAnsi="Times New Roman" w:cs="Times New Roman" w:hint="eastAsia"/>
          <w:sz w:val="32"/>
          <w:szCs w:val="32"/>
        </w:rPr>
        <w:t>4</w:t>
      </w:r>
      <w:r>
        <w:rPr>
          <w:rFonts w:ascii="仿宋" w:eastAsia="仿宋" w:hAnsi="仿宋" w:hint="eastAsia"/>
          <w:sz w:val="32"/>
          <w:szCs w:val="32"/>
        </w:rPr>
        <w:t>个等次：</w:t>
      </w:r>
      <w:r>
        <w:rPr>
          <w:rFonts w:ascii="Times New Roman" w:eastAsia="仿宋" w:hAnsi="Times New Roman" w:cs="Times New Roman" w:hint="eastAsia"/>
          <w:sz w:val="32"/>
          <w:szCs w:val="32"/>
        </w:rPr>
        <w:t>90</w:t>
      </w:r>
      <w:r>
        <w:rPr>
          <w:rFonts w:ascii="仿宋" w:eastAsia="仿宋" w:hAnsi="仿宋" w:hint="eastAsia"/>
          <w:sz w:val="32"/>
          <w:szCs w:val="32"/>
        </w:rPr>
        <w:t>分以上（含）为优秀、</w:t>
      </w:r>
      <w:r>
        <w:rPr>
          <w:rFonts w:ascii="Times New Roman" w:eastAsia="仿宋" w:hAnsi="Times New Roman" w:cs="Times New Roman" w:hint="eastAsia"/>
          <w:sz w:val="32"/>
          <w:szCs w:val="32"/>
        </w:rPr>
        <w:t>80</w:t>
      </w:r>
      <w:r>
        <w:rPr>
          <w:rFonts w:ascii="仿宋" w:eastAsia="仿宋" w:hAnsi="仿宋" w:hint="eastAsia"/>
          <w:sz w:val="32"/>
          <w:szCs w:val="32"/>
        </w:rPr>
        <w:t>分（含）—</w:t>
      </w:r>
      <w:r>
        <w:rPr>
          <w:rFonts w:ascii="Times New Roman" w:eastAsia="仿宋" w:hAnsi="Times New Roman" w:cs="Times New Roman" w:hint="eastAsia"/>
          <w:sz w:val="32"/>
          <w:szCs w:val="32"/>
        </w:rPr>
        <w:t>90</w:t>
      </w:r>
      <w:r>
        <w:rPr>
          <w:rFonts w:ascii="仿宋" w:eastAsia="仿宋" w:hAnsi="仿宋" w:hint="eastAsia"/>
          <w:sz w:val="32"/>
          <w:szCs w:val="32"/>
        </w:rPr>
        <w:t>分（不含）为良好、</w:t>
      </w:r>
      <w:r>
        <w:rPr>
          <w:rFonts w:ascii="Times New Roman" w:eastAsia="仿宋" w:hAnsi="Times New Roman" w:cs="Times New Roman" w:hint="eastAsia"/>
          <w:sz w:val="32"/>
          <w:szCs w:val="32"/>
        </w:rPr>
        <w:t>60</w:t>
      </w:r>
      <w:r>
        <w:rPr>
          <w:rFonts w:ascii="仿宋" w:eastAsia="仿宋" w:hAnsi="仿宋" w:hint="eastAsia"/>
          <w:sz w:val="32"/>
          <w:szCs w:val="32"/>
        </w:rPr>
        <w:t>分（含）—</w:t>
      </w:r>
      <w:r>
        <w:rPr>
          <w:rFonts w:ascii="Times New Roman" w:eastAsia="仿宋" w:hAnsi="Times New Roman" w:cs="Times New Roman" w:hint="eastAsia"/>
          <w:sz w:val="32"/>
          <w:szCs w:val="32"/>
        </w:rPr>
        <w:t>80</w:t>
      </w:r>
      <w:r>
        <w:rPr>
          <w:rFonts w:ascii="仿宋" w:eastAsia="仿宋" w:hAnsi="仿宋" w:hint="eastAsia"/>
          <w:sz w:val="32"/>
          <w:szCs w:val="32"/>
        </w:rPr>
        <w:t>分（不含）为合格、</w:t>
      </w:r>
      <w:r>
        <w:rPr>
          <w:rFonts w:ascii="Times New Roman" w:eastAsia="仿宋" w:hAnsi="Times New Roman" w:cs="Times New Roman" w:hint="eastAsia"/>
          <w:sz w:val="32"/>
          <w:szCs w:val="32"/>
        </w:rPr>
        <w:t>60</w:t>
      </w:r>
      <w:r>
        <w:rPr>
          <w:rFonts w:ascii="仿宋" w:eastAsia="仿宋" w:hAnsi="仿宋" w:hint="eastAsia"/>
          <w:sz w:val="32"/>
          <w:szCs w:val="32"/>
        </w:rPr>
        <w:t>分以下（不含）为不合格，</w:t>
      </w:r>
      <w:r w:rsidR="004941AF">
        <w:rPr>
          <w:rFonts w:ascii="仿宋" w:eastAsia="仿宋" w:hAnsi="仿宋" w:hint="eastAsia"/>
          <w:sz w:val="32"/>
          <w:szCs w:val="32"/>
        </w:rPr>
        <w:t>评价</w:t>
      </w:r>
      <w:r>
        <w:rPr>
          <w:rFonts w:ascii="仿宋" w:eastAsia="仿宋" w:hAnsi="仿宋" w:hint="eastAsia"/>
          <w:sz w:val="32"/>
          <w:szCs w:val="32"/>
        </w:rPr>
        <w:t>结果通报县级人民政府。</w:t>
      </w:r>
    </w:p>
    <w:p w14:paraId="4B271B8C" w14:textId="50B5CF2F"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（二）</w:t>
      </w:r>
      <w:r w:rsidR="004941AF">
        <w:rPr>
          <w:rFonts w:ascii="楷体" w:eastAsia="楷体" w:hAnsi="楷体" w:hint="eastAsia"/>
          <w:sz w:val="32"/>
          <w:szCs w:val="32"/>
        </w:rPr>
        <w:t>评价</w:t>
      </w:r>
      <w:r>
        <w:rPr>
          <w:rFonts w:ascii="楷体" w:eastAsia="楷体" w:hAnsi="楷体" w:hint="eastAsia"/>
          <w:sz w:val="32"/>
          <w:szCs w:val="32"/>
        </w:rPr>
        <w:t>内容。</w:t>
      </w:r>
      <w:r>
        <w:rPr>
          <w:rFonts w:ascii="仿宋" w:eastAsia="仿宋" w:hAnsi="仿宋" w:hint="eastAsia"/>
          <w:sz w:val="32"/>
          <w:szCs w:val="32"/>
        </w:rPr>
        <w:t>从组织保障、基金管理、政策执行、就医管理、参保患者满意度等方面进行绩效</w:t>
      </w:r>
      <w:r w:rsidR="004941AF">
        <w:rPr>
          <w:rFonts w:ascii="仿宋" w:eastAsia="仿宋" w:hAnsi="仿宋" w:hint="eastAsia"/>
          <w:sz w:val="32"/>
          <w:szCs w:val="32"/>
        </w:rPr>
        <w:t>评价</w:t>
      </w:r>
      <w:r>
        <w:rPr>
          <w:rFonts w:ascii="仿宋" w:eastAsia="仿宋" w:hAnsi="仿宋" w:hint="eastAsia"/>
          <w:sz w:val="32"/>
          <w:szCs w:val="32"/>
        </w:rPr>
        <w:t>（具体</w:t>
      </w:r>
      <w:r w:rsidR="004941AF">
        <w:rPr>
          <w:rFonts w:ascii="仿宋" w:eastAsia="仿宋" w:hAnsi="仿宋" w:hint="eastAsia"/>
          <w:sz w:val="32"/>
          <w:szCs w:val="32"/>
        </w:rPr>
        <w:t>评价</w:t>
      </w:r>
      <w:r>
        <w:rPr>
          <w:rFonts w:ascii="仿宋" w:eastAsia="仿宋" w:hAnsi="仿宋" w:hint="eastAsia"/>
          <w:sz w:val="32"/>
          <w:szCs w:val="32"/>
        </w:rPr>
        <w:t>指标见附件）。</w:t>
      </w:r>
    </w:p>
    <w:p w14:paraId="36589730" w14:textId="0E4D9663"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（三）加分项。</w:t>
      </w:r>
      <w:r>
        <w:rPr>
          <w:rFonts w:ascii="仿宋" w:eastAsia="仿宋" w:hAnsi="仿宋" w:hint="eastAsia"/>
          <w:sz w:val="32"/>
          <w:szCs w:val="32"/>
        </w:rPr>
        <w:t>对中医医院牵头组建的医共体在年度绩效</w:t>
      </w:r>
      <w:r w:rsidR="004941AF">
        <w:rPr>
          <w:rFonts w:ascii="仿宋" w:eastAsia="仿宋" w:hAnsi="仿宋" w:hint="eastAsia"/>
          <w:sz w:val="32"/>
          <w:szCs w:val="32"/>
        </w:rPr>
        <w:t>评价</w:t>
      </w:r>
      <w:r>
        <w:rPr>
          <w:rFonts w:ascii="仿宋" w:eastAsia="仿宋" w:hAnsi="仿宋" w:hint="eastAsia"/>
          <w:sz w:val="32"/>
          <w:szCs w:val="32"/>
        </w:rPr>
        <w:t>时，设立政策附加分</w:t>
      </w:r>
      <w:r>
        <w:rPr>
          <w:rFonts w:ascii="Times New Roman" w:eastAsia="仿宋" w:hAnsi="Times New Roman" w:cs="Times New Roman" w:hint="eastAsia"/>
          <w:sz w:val="32"/>
          <w:szCs w:val="32"/>
        </w:rPr>
        <w:t>5</w:t>
      </w:r>
      <w:r>
        <w:rPr>
          <w:rFonts w:ascii="仿宋" w:eastAsia="仿宋" w:hAnsi="仿宋" w:hint="eastAsia"/>
          <w:sz w:val="32"/>
          <w:szCs w:val="32"/>
        </w:rPr>
        <w:t>分。</w:t>
      </w:r>
    </w:p>
    <w:p w14:paraId="7FACD14B" w14:textId="179EFAA6"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（四）减分项。</w:t>
      </w:r>
      <w:r>
        <w:rPr>
          <w:rFonts w:ascii="仿宋" w:eastAsia="仿宋" w:hAnsi="仿宋" w:hint="eastAsia"/>
          <w:sz w:val="32"/>
          <w:szCs w:val="32"/>
        </w:rPr>
        <w:t>在</w:t>
      </w:r>
      <w:r w:rsidR="004941AF">
        <w:rPr>
          <w:rFonts w:ascii="仿宋" w:eastAsia="仿宋" w:hAnsi="仿宋" w:hint="eastAsia"/>
          <w:sz w:val="32"/>
          <w:szCs w:val="32"/>
        </w:rPr>
        <w:t>评价</w:t>
      </w:r>
      <w:r>
        <w:rPr>
          <w:rFonts w:ascii="仿宋" w:eastAsia="仿宋" w:hAnsi="仿宋" w:hint="eastAsia"/>
          <w:sz w:val="32"/>
          <w:szCs w:val="32"/>
        </w:rPr>
        <w:t>内容中设立</w:t>
      </w:r>
      <w:r>
        <w:rPr>
          <w:rFonts w:ascii="Times New Roman" w:eastAsia="仿宋" w:hAnsi="Times New Roman" w:cs="Times New Roman" w:hint="eastAsia"/>
          <w:sz w:val="32"/>
          <w:szCs w:val="32"/>
        </w:rPr>
        <w:t>2</w:t>
      </w:r>
      <w:r>
        <w:rPr>
          <w:rFonts w:ascii="仿宋" w:eastAsia="仿宋" w:hAnsi="仿宋" w:hint="eastAsia"/>
          <w:sz w:val="32"/>
          <w:szCs w:val="32"/>
        </w:rPr>
        <w:t>项直接减分项，分别为被行政处罚情况和产生较大负面影响，减分项分值直接从</w:t>
      </w:r>
      <w:r w:rsidR="004941AF">
        <w:rPr>
          <w:rFonts w:ascii="仿宋" w:eastAsia="仿宋" w:hAnsi="仿宋" w:hint="eastAsia"/>
          <w:sz w:val="32"/>
          <w:szCs w:val="32"/>
        </w:rPr>
        <w:t>评价</w:t>
      </w:r>
      <w:r>
        <w:rPr>
          <w:rFonts w:ascii="仿宋" w:eastAsia="仿宋" w:hAnsi="仿宋" w:hint="eastAsia"/>
          <w:sz w:val="32"/>
          <w:szCs w:val="32"/>
        </w:rPr>
        <w:t>得分中予以扣减。</w:t>
      </w:r>
    </w:p>
    <w:p w14:paraId="23E627AE" w14:textId="59E42136"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lastRenderedPageBreak/>
        <w:t>（五）结果运用。</w:t>
      </w:r>
      <w:r>
        <w:rPr>
          <w:rFonts w:ascii="仿宋" w:eastAsia="仿宋" w:hAnsi="仿宋" w:hint="eastAsia"/>
          <w:sz w:val="32"/>
          <w:szCs w:val="32"/>
        </w:rPr>
        <w:t>年度绩效</w:t>
      </w:r>
      <w:r w:rsidR="004941AF">
        <w:rPr>
          <w:rFonts w:ascii="仿宋" w:eastAsia="仿宋" w:hAnsi="仿宋" w:hint="eastAsia"/>
          <w:sz w:val="32"/>
          <w:szCs w:val="32"/>
        </w:rPr>
        <w:t>评价</w:t>
      </w:r>
      <w:r>
        <w:rPr>
          <w:rFonts w:ascii="仿宋" w:eastAsia="仿宋" w:hAnsi="仿宋" w:hint="eastAsia"/>
          <w:sz w:val="32"/>
          <w:szCs w:val="32"/>
        </w:rPr>
        <w:t>结果运用于年终清算中的合理超支分担、结余留用和特例单议。</w:t>
      </w:r>
    </w:p>
    <w:p w14:paraId="4F8CF462"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七、结余留用和合理超支分担机制</w:t>
      </w:r>
    </w:p>
    <w:p w14:paraId="6D8839F3" w14:textId="77777777" w:rsidR="008F2392" w:rsidRDefault="00000000">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（一）启动条件</w:t>
      </w:r>
    </w:p>
    <w:p w14:paraId="1E242421" w14:textId="77777777" w:rsidR="008F2392" w:rsidRDefault="00000000">
      <w:pPr>
        <w:spacing w:line="560" w:lineRule="exact"/>
        <w:ind w:firstLineChars="200" w:firstLine="640"/>
        <w:rPr>
          <w:rFonts w:ascii="楷体" w:eastAsia="楷体" w:hAnsi="楷体" w:hint="eastAsia"/>
          <w:sz w:val="32"/>
          <w:szCs w:val="32"/>
        </w:rPr>
      </w:pPr>
      <w:r>
        <w:rPr>
          <w:rFonts w:ascii="仿宋" w:eastAsia="仿宋" w:hAnsi="仿宋" w:hint="eastAsia"/>
          <w:sz w:val="32"/>
          <w:szCs w:val="32"/>
        </w:rPr>
        <w:t>预算差额 ＝ 当年县域可支配预算总额－当年度医共体医保支付方式改革县参保人员就医产生的医保基金。预算差额≥</w:t>
      </w:r>
      <w:r>
        <w:rPr>
          <w:rFonts w:ascii="Times New Roman" w:eastAsia="仿宋" w:hAnsi="Times New Roman" w:cs="Times New Roman" w:hint="eastAsia"/>
          <w:sz w:val="32"/>
          <w:szCs w:val="32"/>
        </w:rPr>
        <w:t>0</w:t>
      </w:r>
      <w:r>
        <w:rPr>
          <w:rFonts w:ascii="仿宋" w:eastAsia="仿宋" w:hAnsi="仿宋" w:hint="eastAsia"/>
          <w:sz w:val="32"/>
          <w:szCs w:val="32"/>
        </w:rPr>
        <w:t>时，启动结余留用；预算差额＜</w:t>
      </w:r>
      <w:r>
        <w:rPr>
          <w:rFonts w:ascii="Times New Roman" w:eastAsia="仿宋" w:hAnsi="Times New Roman" w:cs="Times New Roman" w:hint="eastAsia"/>
          <w:sz w:val="32"/>
          <w:szCs w:val="32"/>
        </w:rPr>
        <w:t>0</w:t>
      </w:r>
      <w:r>
        <w:rPr>
          <w:rFonts w:ascii="仿宋" w:eastAsia="仿宋" w:hAnsi="仿宋" w:hint="eastAsia"/>
          <w:sz w:val="32"/>
          <w:szCs w:val="32"/>
        </w:rPr>
        <w:t>时，启动合理超支分担。</w:t>
      </w:r>
    </w:p>
    <w:p w14:paraId="6B8ABB69" w14:textId="77777777" w:rsidR="008F2392" w:rsidRDefault="00000000">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（二）结余留用</w:t>
      </w:r>
    </w:p>
    <w:p w14:paraId="4444988A" w14:textId="438A6801"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结余留用部分可用于医务人员绩效奖励，根据医共体年度绩效</w:t>
      </w:r>
      <w:r w:rsidR="00E54447">
        <w:rPr>
          <w:rFonts w:ascii="仿宋" w:eastAsia="仿宋" w:hAnsi="仿宋" w:hint="eastAsia"/>
          <w:sz w:val="32"/>
          <w:szCs w:val="32"/>
        </w:rPr>
        <w:t>评价</w:t>
      </w:r>
      <w:r>
        <w:rPr>
          <w:rFonts w:ascii="仿宋" w:eastAsia="仿宋" w:hAnsi="仿宋" w:hint="eastAsia"/>
          <w:sz w:val="32"/>
          <w:szCs w:val="32"/>
        </w:rPr>
        <w:t>结果确定结余留用比例，具体为：</w:t>
      </w:r>
      <w:r w:rsidR="00E54447">
        <w:rPr>
          <w:rFonts w:ascii="仿宋" w:eastAsia="仿宋" w:hAnsi="仿宋" w:hint="eastAsia"/>
          <w:sz w:val="32"/>
          <w:szCs w:val="32"/>
        </w:rPr>
        <w:t>评价</w:t>
      </w:r>
      <w:r>
        <w:rPr>
          <w:rFonts w:ascii="仿宋" w:eastAsia="仿宋" w:hAnsi="仿宋" w:hint="eastAsia"/>
          <w:sz w:val="32"/>
          <w:szCs w:val="32"/>
        </w:rPr>
        <w:t>等次优秀的医共体，予以留用</w:t>
      </w:r>
      <w:r>
        <w:rPr>
          <w:rFonts w:ascii="Times New Roman" w:eastAsia="仿宋" w:hAnsi="Times New Roman" w:cs="Times New Roman" w:hint="eastAsia"/>
          <w:sz w:val="32"/>
          <w:szCs w:val="32"/>
        </w:rPr>
        <w:t>100</w:t>
      </w:r>
      <w:r>
        <w:rPr>
          <w:rFonts w:ascii="方正书宋简体" w:eastAsia="方正书宋简体" w:hAnsi="方正书宋简体" w:hint="eastAsia"/>
          <w:sz w:val="32"/>
          <w:szCs w:val="32"/>
        </w:rPr>
        <w:t>%</w:t>
      </w:r>
      <w:r>
        <w:rPr>
          <w:rFonts w:ascii="仿宋" w:eastAsia="仿宋" w:hAnsi="仿宋" w:hint="eastAsia"/>
          <w:sz w:val="32"/>
          <w:szCs w:val="32"/>
        </w:rPr>
        <w:t>；</w:t>
      </w:r>
      <w:r w:rsidR="00E54447">
        <w:rPr>
          <w:rFonts w:ascii="仿宋" w:eastAsia="仿宋" w:hAnsi="仿宋" w:hint="eastAsia"/>
          <w:sz w:val="32"/>
          <w:szCs w:val="32"/>
        </w:rPr>
        <w:t>评价</w:t>
      </w:r>
      <w:r>
        <w:rPr>
          <w:rFonts w:ascii="仿宋" w:eastAsia="仿宋" w:hAnsi="仿宋" w:hint="eastAsia"/>
          <w:sz w:val="32"/>
          <w:szCs w:val="32"/>
        </w:rPr>
        <w:t>等次良好的医共体，予以留用</w:t>
      </w:r>
      <w:r>
        <w:rPr>
          <w:rFonts w:ascii="Times New Roman" w:eastAsia="仿宋" w:hAnsi="Times New Roman" w:cs="Times New Roman" w:hint="eastAsia"/>
          <w:sz w:val="32"/>
          <w:szCs w:val="32"/>
        </w:rPr>
        <w:t>80</w:t>
      </w:r>
      <w:r>
        <w:rPr>
          <w:rFonts w:ascii="方正书宋简体" w:eastAsia="方正书宋简体" w:hAnsi="方正书宋简体" w:hint="eastAsia"/>
          <w:sz w:val="32"/>
          <w:szCs w:val="32"/>
        </w:rPr>
        <w:t>%</w:t>
      </w:r>
      <w:r>
        <w:rPr>
          <w:rFonts w:ascii="仿宋" w:eastAsia="仿宋" w:hAnsi="仿宋" w:hint="eastAsia"/>
          <w:sz w:val="32"/>
          <w:szCs w:val="32"/>
        </w:rPr>
        <w:t>；</w:t>
      </w:r>
      <w:r w:rsidR="00E54447">
        <w:rPr>
          <w:rFonts w:ascii="仿宋" w:eastAsia="仿宋" w:hAnsi="仿宋" w:hint="eastAsia"/>
          <w:sz w:val="32"/>
          <w:szCs w:val="32"/>
        </w:rPr>
        <w:t>评价</w:t>
      </w:r>
      <w:r>
        <w:rPr>
          <w:rFonts w:ascii="仿宋" w:eastAsia="仿宋" w:hAnsi="仿宋" w:hint="eastAsia"/>
          <w:sz w:val="32"/>
          <w:szCs w:val="32"/>
        </w:rPr>
        <w:t>等次合格的医共体，予以留用</w:t>
      </w:r>
      <w:r>
        <w:rPr>
          <w:rFonts w:ascii="Times New Roman" w:eastAsia="仿宋" w:hAnsi="Times New Roman" w:cs="Times New Roman" w:hint="eastAsia"/>
          <w:sz w:val="32"/>
          <w:szCs w:val="32"/>
        </w:rPr>
        <w:t>50</w:t>
      </w:r>
      <w:r>
        <w:rPr>
          <w:rFonts w:ascii="方正书宋简体" w:eastAsia="方正书宋简体" w:hAnsi="方正书宋简体" w:hint="eastAsia"/>
          <w:sz w:val="32"/>
          <w:szCs w:val="32"/>
        </w:rPr>
        <w:t>%</w:t>
      </w:r>
      <w:r>
        <w:rPr>
          <w:rFonts w:ascii="仿宋" w:eastAsia="仿宋" w:hAnsi="仿宋" w:hint="eastAsia"/>
          <w:sz w:val="32"/>
          <w:szCs w:val="32"/>
        </w:rPr>
        <w:t>；</w:t>
      </w:r>
      <w:r w:rsidR="002822E5">
        <w:rPr>
          <w:rFonts w:ascii="仿宋" w:eastAsia="仿宋" w:hAnsi="仿宋" w:hint="eastAsia"/>
          <w:sz w:val="32"/>
          <w:szCs w:val="32"/>
        </w:rPr>
        <w:t>评价</w:t>
      </w:r>
      <w:r>
        <w:rPr>
          <w:rFonts w:ascii="仿宋" w:eastAsia="仿宋" w:hAnsi="仿宋" w:hint="eastAsia"/>
          <w:sz w:val="32"/>
          <w:szCs w:val="32"/>
        </w:rPr>
        <w:t>等次不合格的医共体，不予留用。</w:t>
      </w:r>
    </w:p>
    <w:p w14:paraId="169CC778" w14:textId="77777777" w:rsidR="008F2392" w:rsidRDefault="00000000">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（三）合理超支分担</w:t>
      </w:r>
    </w:p>
    <w:p w14:paraId="179CF833" w14:textId="0F20DD5B"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合理超支分担部分可使用当年全市可支配实际总额，根据医共体年度绩效</w:t>
      </w:r>
      <w:r w:rsidR="009B42B8">
        <w:rPr>
          <w:rFonts w:ascii="仿宋" w:eastAsia="仿宋" w:hAnsi="仿宋" w:hint="eastAsia"/>
          <w:sz w:val="32"/>
          <w:szCs w:val="32"/>
        </w:rPr>
        <w:t>评价</w:t>
      </w:r>
      <w:r>
        <w:rPr>
          <w:rFonts w:ascii="仿宋" w:eastAsia="仿宋" w:hAnsi="仿宋" w:hint="eastAsia"/>
          <w:sz w:val="32"/>
          <w:szCs w:val="32"/>
        </w:rPr>
        <w:t>结果确定合理超支分担比例。对预算差额在当年县域可支配预算总额</w:t>
      </w:r>
      <w:r>
        <w:rPr>
          <w:rFonts w:ascii="Times New Roman" w:eastAsia="仿宋" w:hAnsi="Times New Roman" w:cs="Times New Roman" w:hint="eastAsia"/>
          <w:sz w:val="32"/>
          <w:szCs w:val="32"/>
        </w:rPr>
        <w:t>10</w:t>
      </w:r>
      <w:r>
        <w:rPr>
          <w:rFonts w:ascii="方正书宋简体" w:eastAsia="方正书宋简体" w:hAnsi="方正书宋简体" w:hint="eastAsia"/>
          <w:sz w:val="32"/>
          <w:szCs w:val="32"/>
        </w:rPr>
        <w:t>%</w:t>
      </w:r>
      <w:r>
        <w:rPr>
          <w:rFonts w:ascii="仿宋" w:eastAsia="仿宋" w:hAnsi="仿宋" w:hint="eastAsia"/>
          <w:sz w:val="32"/>
          <w:szCs w:val="32"/>
        </w:rPr>
        <w:t>以内部分启动合理超支分担，</w:t>
      </w:r>
      <w:r>
        <w:rPr>
          <w:rFonts w:ascii="Times New Roman" w:eastAsia="仿宋" w:hAnsi="Times New Roman" w:cs="Times New Roman" w:hint="eastAsia"/>
          <w:sz w:val="32"/>
          <w:szCs w:val="32"/>
        </w:rPr>
        <w:t>10</w:t>
      </w:r>
      <w:r>
        <w:rPr>
          <w:rFonts w:ascii="方正书宋简体" w:eastAsia="方正书宋简体" w:hAnsi="方正书宋简体" w:hint="eastAsia"/>
          <w:sz w:val="32"/>
          <w:szCs w:val="32"/>
        </w:rPr>
        <w:t>%</w:t>
      </w:r>
      <w:r>
        <w:rPr>
          <w:rFonts w:ascii="仿宋" w:eastAsia="仿宋" w:hAnsi="仿宋" w:hint="eastAsia"/>
          <w:sz w:val="32"/>
          <w:szCs w:val="32"/>
        </w:rPr>
        <w:t>以上部分医共体自行承担。</w:t>
      </w:r>
      <w:r>
        <w:rPr>
          <w:rFonts w:ascii="仿宋" w:eastAsia="仿宋" w:hAnsi="仿宋"/>
          <w:sz w:val="32"/>
          <w:szCs w:val="32"/>
        </w:rPr>
        <w:t xml:space="preserve"> </w:t>
      </w:r>
    </w:p>
    <w:p w14:paraId="7BEA7971" w14:textId="46AE5642"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具体分担比例为：</w:t>
      </w:r>
      <w:r w:rsidR="009B42B8">
        <w:rPr>
          <w:rFonts w:ascii="仿宋" w:eastAsia="仿宋" w:hAnsi="仿宋" w:hint="eastAsia"/>
          <w:sz w:val="32"/>
          <w:szCs w:val="32"/>
        </w:rPr>
        <w:t>评价</w:t>
      </w:r>
      <w:r>
        <w:rPr>
          <w:rFonts w:ascii="仿宋" w:eastAsia="仿宋" w:hAnsi="仿宋" w:hint="eastAsia"/>
          <w:sz w:val="32"/>
          <w:szCs w:val="32"/>
        </w:rPr>
        <w:t>等次优秀的医共体，分担比例</w:t>
      </w:r>
      <w:r>
        <w:rPr>
          <w:rFonts w:ascii="Times New Roman" w:eastAsia="仿宋" w:hAnsi="Times New Roman" w:cs="Times New Roman" w:hint="eastAsia"/>
          <w:sz w:val="32"/>
          <w:szCs w:val="32"/>
        </w:rPr>
        <w:t>60</w:t>
      </w:r>
      <w:r>
        <w:rPr>
          <w:rFonts w:ascii="方正书宋简体" w:eastAsia="方正书宋简体" w:hAnsi="方正书宋简体" w:hint="eastAsia"/>
          <w:sz w:val="32"/>
          <w:szCs w:val="32"/>
        </w:rPr>
        <w:t>%</w:t>
      </w:r>
      <w:r>
        <w:rPr>
          <w:rFonts w:ascii="仿宋" w:eastAsia="仿宋" w:hAnsi="仿宋" w:hint="eastAsia"/>
          <w:sz w:val="32"/>
          <w:szCs w:val="32"/>
        </w:rPr>
        <w:t>；</w:t>
      </w:r>
      <w:r w:rsidR="009B42B8">
        <w:rPr>
          <w:rFonts w:ascii="仿宋" w:eastAsia="仿宋" w:hAnsi="仿宋" w:hint="eastAsia"/>
          <w:sz w:val="32"/>
          <w:szCs w:val="32"/>
        </w:rPr>
        <w:t>评价</w:t>
      </w:r>
      <w:r>
        <w:rPr>
          <w:rFonts w:ascii="仿宋" w:eastAsia="仿宋" w:hAnsi="仿宋" w:hint="eastAsia"/>
          <w:sz w:val="32"/>
          <w:szCs w:val="32"/>
        </w:rPr>
        <w:t>等次良好的医共体，分担比例</w:t>
      </w:r>
      <w:r>
        <w:rPr>
          <w:rFonts w:ascii="Times New Roman" w:eastAsia="仿宋" w:hAnsi="Times New Roman" w:cs="Times New Roman" w:hint="eastAsia"/>
          <w:sz w:val="32"/>
          <w:szCs w:val="32"/>
        </w:rPr>
        <w:t>50</w:t>
      </w:r>
      <w:r>
        <w:rPr>
          <w:rFonts w:ascii="方正书宋简体" w:eastAsia="方正书宋简体" w:hAnsi="方正书宋简体" w:hint="eastAsia"/>
          <w:sz w:val="32"/>
          <w:szCs w:val="32"/>
        </w:rPr>
        <w:t>%</w:t>
      </w:r>
      <w:r>
        <w:rPr>
          <w:rFonts w:ascii="仿宋" w:eastAsia="仿宋" w:hAnsi="仿宋" w:hint="eastAsia"/>
          <w:sz w:val="32"/>
          <w:szCs w:val="32"/>
        </w:rPr>
        <w:t>；</w:t>
      </w:r>
      <w:r w:rsidR="009B42B8">
        <w:rPr>
          <w:rFonts w:ascii="仿宋" w:eastAsia="仿宋" w:hAnsi="仿宋" w:hint="eastAsia"/>
          <w:sz w:val="32"/>
          <w:szCs w:val="32"/>
        </w:rPr>
        <w:t>评价</w:t>
      </w:r>
      <w:r>
        <w:rPr>
          <w:rFonts w:ascii="仿宋" w:eastAsia="仿宋" w:hAnsi="仿宋" w:hint="eastAsia"/>
          <w:sz w:val="32"/>
          <w:szCs w:val="32"/>
        </w:rPr>
        <w:t>等次合格的医共体，分担比例</w:t>
      </w:r>
      <w:r>
        <w:rPr>
          <w:rFonts w:ascii="Times New Roman" w:eastAsia="仿宋" w:hAnsi="Times New Roman" w:cs="Times New Roman" w:hint="eastAsia"/>
          <w:sz w:val="32"/>
          <w:szCs w:val="32"/>
        </w:rPr>
        <w:t>40</w:t>
      </w:r>
      <w:r>
        <w:rPr>
          <w:rFonts w:ascii="方正书宋简体" w:eastAsia="方正书宋简体" w:hAnsi="方正书宋简体" w:hint="eastAsia"/>
          <w:sz w:val="32"/>
          <w:szCs w:val="32"/>
        </w:rPr>
        <w:t>%</w:t>
      </w:r>
      <w:r>
        <w:rPr>
          <w:rFonts w:ascii="仿宋" w:eastAsia="仿宋" w:hAnsi="仿宋" w:hint="eastAsia"/>
          <w:sz w:val="32"/>
          <w:szCs w:val="32"/>
        </w:rPr>
        <w:t>；</w:t>
      </w:r>
      <w:r w:rsidR="009B42B8">
        <w:rPr>
          <w:rFonts w:ascii="仿宋" w:eastAsia="仿宋" w:hAnsi="仿宋" w:hint="eastAsia"/>
          <w:sz w:val="32"/>
          <w:szCs w:val="32"/>
        </w:rPr>
        <w:t>评价</w:t>
      </w:r>
      <w:r>
        <w:rPr>
          <w:rFonts w:ascii="仿宋" w:eastAsia="仿宋" w:hAnsi="仿宋" w:hint="eastAsia"/>
          <w:sz w:val="32"/>
          <w:szCs w:val="32"/>
        </w:rPr>
        <w:t>等次为不合格的，医共体自行承担。</w:t>
      </w:r>
    </w:p>
    <w:p w14:paraId="6D41D7BD" w14:textId="77777777" w:rsidR="008F2392" w:rsidRDefault="00000000">
      <w:pPr>
        <w:spacing w:line="560" w:lineRule="exact"/>
        <w:ind w:firstLineChars="200" w:firstLine="640"/>
        <w:rPr>
          <w:rFonts w:ascii="楷体" w:eastAsia="楷体" w:hAnsi="楷体" w:hint="eastAsia"/>
          <w:sz w:val="32"/>
          <w:szCs w:val="32"/>
        </w:rPr>
      </w:pPr>
      <w:r>
        <w:rPr>
          <w:rFonts w:ascii="仿宋" w:eastAsia="仿宋" w:hAnsi="仿宋" w:hint="eastAsia"/>
          <w:sz w:val="32"/>
          <w:szCs w:val="32"/>
        </w:rPr>
        <w:t>当年全市可支配实际总额不足以覆盖合理超支分担部</w:t>
      </w:r>
      <w:r>
        <w:rPr>
          <w:rFonts w:ascii="仿宋" w:eastAsia="仿宋" w:hAnsi="仿宋" w:hint="eastAsia"/>
          <w:sz w:val="32"/>
          <w:szCs w:val="32"/>
        </w:rPr>
        <w:lastRenderedPageBreak/>
        <w:t>分时，合理超支分担部分等比例下降，符合条件的启动特例单议，不符合条件的超支部分由医共体全额承担。</w:t>
      </w:r>
    </w:p>
    <w:p w14:paraId="11FE58E3"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八、特例单议</w:t>
      </w:r>
    </w:p>
    <w:p w14:paraId="65A4AD3E" w14:textId="233D3182"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（一）启动条件。</w:t>
      </w:r>
      <w:r>
        <w:rPr>
          <w:rFonts w:ascii="仿宋" w:eastAsia="仿宋" w:hAnsi="仿宋" w:hint="eastAsia"/>
          <w:sz w:val="32"/>
          <w:szCs w:val="32"/>
        </w:rPr>
        <w:t>原则上对年度绩效</w:t>
      </w:r>
      <w:r w:rsidR="009B42B8">
        <w:rPr>
          <w:rFonts w:ascii="仿宋" w:eastAsia="仿宋" w:hAnsi="仿宋" w:hint="eastAsia"/>
          <w:sz w:val="32"/>
          <w:szCs w:val="32"/>
        </w:rPr>
        <w:t>评价</w:t>
      </w:r>
      <w:r>
        <w:rPr>
          <w:rFonts w:ascii="Times New Roman" w:eastAsia="仿宋" w:hAnsi="Times New Roman" w:cs="Times New Roman" w:hint="eastAsia"/>
          <w:sz w:val="32"/>
          <w:szCs w:val="32"/>
        </w:rPr>
        <w:t>90</w:t>
      </w:r>
      <w:r>
        <w:rPr>
          <w:rFonts w:ascii="仿宋" w:eastAsia="仿宋" w:hAnsi="仿宋" w:hint="eastAsia"/>
          <w:sz w:val="32"/>
          <w:szCs w:val="32"/>
        </w:rPr>
        <w:t>分及以上，且已启动合理超支分担机制的医共体医保支付方式改革县，启动特例单议。</w:t>
      </w:r>
    </w:p>
    <w:p w14:paraId="799706E0"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（二）分担原则。</w:t>
      </w:r>
      <w:r>
        <w:rPr>
          <w:rFonts w:ascii="仿宋" w:eastAsia="仿宋" w:hAnsi="仿宋" w:hint="eastAsia"/>
          <w:sz w:val="32"/>
          <w:szCs w:val="32"/>
        </w:rPr>
        <w:t>合理超支分担等比例下降的缺口部分，由医保历年滚存结余基金补足，其他超支部分由县级财政统筹相关资金补足。</w:t>
      </w:r>
    </w:p>
    <w:p w14:paraId="31EFBA09"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九、年终清算</w:t>
      </w:r>
    </w:p>
    <w:p w14:paraId="54C0AC15"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（一）市级医保部门需严格按照有关规定，及时会同市级财政、卫生健康部门组织县级相关单位、医共体各成员单位开展年终清算，原则上在次年</w:t>
      </w:r>
      <w:r>
        <w:rPr>
          <w:rFonts w:ascii="Times New Roman" w:eastAsia="仿宋" w:hAnsi="Times New Roman" w:cs="Times New Roman" w:hint="eastAsia"/>
          <w:sz w:val="32"/>
          <w:szCs w:val="32"/>
        </w:rPr>
        <w:t>6</w:t>
      </w:r>
      <w:r>
        <w:rPr>
          <w:rFonts w:ascii="仿宋" w:eastAsia="仿宋" w:hAnsi="仿宋" w:hint="eastAsia"/>
          <w:sz w:val="32"/>
          <w:szCs w:val="32"/>
        </w:rPr>
        <w:t>月底前完成。</w:t>
      </w:r>
    </w:p>
    <w:p w14:paraId="7E968009"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（二）医共体医保支付方式改革县中的成员单位，同时参加按病种分值付费（</w:t>
      </w:r>
      <w:r>
        <w:rPr>
          <w:rFonts w:ascii="Times New Roman" w:eastAsia="仿宋" w:hAnsi="Times New Roman" w:cs="Times New Roman" w:hint="eastAsia"/>
          <w:sz w:val="32"/>
          <w:szCs w:val="32"/>
        </w:rPr>
        <w:t>DIP</w:t>
      </w:r>
      <w:r>
        <w:rPr>
          <w:rFonts w:ascii="仿宋" w:eastAsia="仿宋" w:hAnsi="仿宋" w:hint="eastAsia"/>
          <w:sz w:val="32"/>
          <w:szCs w:val="32"/>
        </w:rPr>
        <w:t>）方式改革的，其</w:t>
      </w:r>
      <w:r>
        <w:rPr>
          <w:rFonts w:ascii="Times New Roman" w:eastAsia="仿宋" w:hAnsi="Times New Roman" w:cs="Times New Roman" w:hint="eastAsia"/>
          <w:sz w:val="32"/>
          <w:szCs w:val="32"/>
        </w:rPr>
        <w:t>DIP</w:t>
      </w:r>
      <w:r>
        <w:rPr>
          <w:rFonts w:ascii="仿宋" w:eastAsia="仿宋" w:hAnsi="仿宋" w:hint="eastAsia"/>
          <w:sz w:val="32"/>
          <w:szCs w:val="32"/>
        </w:rPr>
        <w:t>清算结余留用或合理超支分担基金按</w:t>
      </w:r>
      <w:r>
        <w:rPr>
          <w:rFonts w:ascii="Times New Roman" w:eastAsia="仿宋" w:hAnsi="Times New Roman" w:cs="Times New Roman" w:hint="eastAsia"/>
          <w:sz w:val="32"/>
          <w:szCs w:val="32"/>
        </w:rPr>
        <w:t>DIP</w:t>
      </w:r>
      <w:r>
        <w:rPr>
          <w:rFonts w:ascii="仿宋" w:eastAsia="仿宋" w:hAnsi="仿宋" w:hint="eastAsia"/>
          <w:sz w:val="32"/>
          <w:szCs w:val="32"/>
        </w:rPr>
        <w:t>相关政策单独执行。</w:t>
      </w:r>
    </w:p>
    <w:p w14:paraId="6EBAD460"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十、保障措施</w:t>
      </w:r>
    </w:p>
    <w:p w14:paraId="10725180" w14:textId="1B6B863D"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（一）加强组织领导。</w:t>
      </w:r>
      <w:r>
        <w:rPr>
          <w:rFonts w:ascii="仿宋" w:eastAsia="仿宋" w:hAnsi="仿宋" w:hint="eastAsia"/>
          <w:sz w:val="32"/>
          <w:szCs w:val="32"/>
        </w:rPr>
        <w:t>各区（市、县）人民政府要切实加强对医共体医保支付方式改革工作的组织领导，在制定工作方案、规章制度、监管办法、</w:t>
      </w:r>
      <w:r w:rsidR="00195BDC">
        <w:rPr>
          <w:rFonts w:ascii="仿宋" w:eastAsia="仿宋" w:hAnsi="仿宋" w:hint="eastAsia"/>
          <w:sz w:val="32"/>
          <w:szCs w:val="32"/>
        </w:rPr>
        <w:t>绩效</w:t>
      </w:r>
      <w:r w:rsidR="009B42B8">
        <w:rPr>
          <w:rFonts w:ascii="仿宋" w:eastAsia="仿宋" w:hAnsi="仿宋" w:hint="eastAsia"/>
          <w:sz w:val="32"/>
          <w:szCs w:val="32"/>
        </w:rPr>
        <w:t>评价</w:t>
      </w:r>
      <w:r>
        <w:rPr>
          <w:rFonts w:ascii="仿宋" w:eastAsia="仿宋" w:hAnsi="仿宋" w:hint="eastAsia"/>
          <w:sz w:val="32"/>
          <w:szCs w:val="32"/>
        </w:rPr>
        <w:t>细则等过程中，要严格执行国家、省、市有关政策，确保医共体医保支付方式改革工作在现有医保政策框架范围内，及时报告相关重大问题。</w:t>
      </w:r>
    </w:p>
    <w:p w14:paraId="0CAD6143"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（二）落实部门职责。</w:t>
      </w:r>
      <w:r>
        <w:rPr>
          <w:rFonts w:ascii="仿宋" w:eastAsia="仿宋" w:hAnsi="仿宋" w:hint="eastAsia"/>
          <w:sz w:val="32"/>
          <w:szCs w:val="32"/>
        </w:rPr>
        <w:t>市级医保部门要公平公正做好各</w:t>
      </w:r>
      <w:r>
        <w:rPr>
          <w:rFonts w:ascii="仿宋" w:eastAsia="仿宋" w:hAnsi="仿宋" w:hint="eastAsia"/>
          <w:sz w:val="32"/>
          <w:szCs w:val="32"/>
        </w:rPr>
        <w:lastRenderedPageBreak/>
        <w:t>医共体的基金预算预付、预结和年终清算等工作，提高医保基金使用效率；加强对医共体的医保基金监管，确保医保基金安全。市级财政部门要加强基金管理，按照有关规定做好医保基金的核算拨付；会同市级医保部门研究独立核算基金、动态调整机制和医保历年滚存结余基金使用问题；督促县级财政将相关资金拨付到位。市级卫生健康部门要牵头做好医共体建设的评定和监测；加快推进分级诊疗制度建设，提升基层医疗卫生服务能力水平，促进优质医疗卫生资源下沉，规范医疗服务行为；落实医共体牵头医院对医共体成员单位规范合理使用医保基金的内部监督管理责任；督促医共体完善内部管理机制制度，使医保基金有效转化为医共体内部利益趋同，形成相互监督、和谐共存的利益医共体。</w:t>
      </w:r>
    </w:p>
    <w:p w14:paraId="7278FEEF"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（三）加强内部管理。</w:t>
      </w:r>
      <w:r>
        <w:rPr>
          <w:rFonts w:ascii="仿宋" w:eastAsia="仿宋" w:hAnsi="仿宋" w:hint="eastAsia"/>
          <w:sz w:val="32"/>
          <w:szCs w:val="32"/>
        </w:rPr>
        <w:t>医共体各成员单位要严格遵守相关法律法规和协议管理约定，加强内控制度建设，规范诊疗服务行为，减少过度检查、用药和治疗，防止医疗服务质量“缩水”，对违规支付、监守自盗、内外勾结等行为要严查严处，确保行为规范和基金安全。要建立健全目标明确、权责清晰、监管有效的管理机制，真正构建权利与责任对等、效益与服务同步、管理与发展并重的整合型县域医疗卫生服务体系。</w:t>
      </w:r>
    </w:p>
    <w:p w14:paraId="26D90E7D"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（四）注重运行监测。</w:t>
      </w:r>
      <w:r>
        <w:rPr>
          <w:rFonts w:ascii="仿宋" w:eastAsia="仿宋" w:hAnsi="仿宋" w:hint="eastAsia"/>
          <w:sz w:val="32"/>
          <w:szCs w:val="32"/>
        </w:rPr>
        <w:t>医共体牵头医院要按月将病人流向、基金流向和运行管理工作存在的问题及时上报县级医保、卫生健康部门。县级医保部门要加强动态监测和分析，对医共体医保支付方式改革工作偏离预期目标、医保基金出现亏</w:t>
      </w:r>
      <w:r>
        <w:rPr>
          <w:rFonts w:ascii="仿宋" w:eastAsia="仿宋" w:hAnsi="仿宋" w:hint="eastAsia"/>
          <w:sz w:val="32"/>
          <w:szCs w:val="32"/>
        </w:rPr>
        <w:lastRenderedPageBreak/>
        <w:t>空风险等重大问题，要及时向当地党委、政府报告，并根据情况及时采取有效措施，维护县域整体参保人员权益，确保医保基金安全。</w:t>
      </w:r>
    </w:p>
    <w:p w14:paraId="700D8808"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（五）实施综合监管。</w:t>
      </w:r>
      <w:r>
        <w:rPr>
          <w:rFonts w:ascii="仿宋" w:eastAsia="仿宋" w:hAnsi="仿宋" w:hint="eastAsia"/>
          <w:sz w:val="32"/>
          <w:szCs w:val="32"/>
        </w:rPr>
        <w:t>各区（市、县）医保、卫生健康、财政等部门要切实加强对医共体医保支付方式改革工作的监督管理，以医保基金使用为重点，加强对医共体综合监管。重点监督医共体以应对总额付费为目的无故推诿病人、降低医疗服务标准、分解住院等损害参保人利益等行为。支持经医共体成员单位书面授权牵头医院，代表医共体全体成员单位统一与医保经办机构签订定点医疗机构服务协议，完善有关协议管理内容，既要防止过度治疗，又要防止治疗不足；既要防止无序转外就医，又要防止过度留治，促进医保基金合理使用。依法依规严查严处欺诈骗保行为，提高基金使用效益和患者满意度。</w:t>
      </w:r>
    </w:p>
    <w:p w14:paraId="522884B4"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（六）优化集中带量采购。</w:t>
      </w:r>
      <w:r>
        <w:rPr>
          <w:rFonts w:ascii="仿宋" w:eastAsia="仿宋" w:hAnsi="仿宋" w:hint="eastAsia"/>
          <w:sz w:val="32"/>
          <w:szCs w:val="32"/>
        </w:rPr>
        <w:t>以医保支付为基础，探索建立以医共体为药品耗材集中带量采购单位，统一采购账户、统一目录、统一报量、统一采购配送、统一采购价格、统一支付货款的采购模式。加强医共体内各成员单位药品、医用耗材采购和使用监督，允许医共体各成员单位内部调剂带量采购额度，统筹扩大集中带量采购规模和品种；允许医共体对集中带量采购结余奖励资金进行再次分配，放大改革效应，最大限度发挥结余奖励资金使用效能，努力挤压药品和医用耗材虚高水分，减轻群众医药费用负担。</w:t>
      </w:r>
    </w:p>
    <w:p w14:paraId="7777D982" w14:textId="77777777" w:rsidR="008F2392" w:rsidRDefault="00000000">
      <w:pPr>
        <w:spacing w:line="560" w:lineRule="exact"/>
        <w:ind w:firstLineChars="200" w:firstLine="640"/>
        <w:rPr>
          <w:rFonts w:ascii="仿宋" w:eastAsia="仿宋" w:hAnsi="仿宋" w:hint="eastAsia"/>
          <w:sz w:val="32"/>
          <w:szCs w:val="32"/>
        </w:rPr>
      </w:pPr>
      <w:r>
        <w:rPr>
          <w:rFonts w:ascii="楷体" w:eastAsia="楷体" w:hAnsi="楷体" w:hint="eastAsia"/>
          <w:sz w:val="32"/>
          <w:szCs w:val="32"/>
        </w:rPr>
        <w:t>（七）加大宣传力度。</w:t>
      </w:r>
      <w:r>
        <w:rPr>
          <w:rFonts w:ascii="仿宋" w:eastAsia="仿宋" w:hAnsi="仿宋" w:hint="eastAsia"/>
          <w:sz w:val="32"/>
          <w:szCs w:val="32"/>
        </w:rPr>
        <w:t>各区（市、县）深入人民群众，</w:t>
      </w:r>
      <w:r>
        <w:rPr>
          <w:rFonts w:ascii="仿宋" w:eastAsia="仿宋" w:hAnsi="仿宋" w:hint="eastAsia"/>
          <w:sz w:val="32"/>
          <w:szCs w:val="32"/>
        </w:rPr>
        <w:lastRenderedPageBreak/>
        <w:t>讲好医保故事。聚焦社会关切、群众关心的现实话题，深入挖掘体现医保改革成效的百姓故事和真实案例，朴素展现医保事业的为民情怀。各级医保部门要立足工作实际，传播医保声音。针对参保群众、医疗机构、医务工作者等不同群体，做好医保政策解读，为医保政策推陈出新、“三医”协同改革发好声、铺好路。要丰富宣传形式，注重宣传效果。充分运用微信公众号、新媒体等新兴互联网平台，开展医保政策和医保改革成效宣传，争取广大群众和社会各界的理解和支持，为实施医共体医保支付方式改革工作营造良好的社会氛围。</w:t>
      </w:r>
    </w:p>
    <w:p w14:paraId="4BE0548D" w14:textId="77777777" w:rsidR="008F2392"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十一、相关要求</w:t>
      </w:r>
    </w:p>
    <w:p w14:paraId="781876AB"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（一）本方案自</w:t>
      </w:r>
      <w:r>
        <w:rPr>
          <w:rFonts w:ascii="Times New Roman" w:eastAsia="仿宋" w:hAnsi="Times New Roman" w:cs="Times New Roman" w:hint="eastAsia"/>
          <w:sz w:val="32"/>
          <w:szCs w:val="32"/>
        </w:rPr>
        <w:t>2024</w:t>
      </w:r>
      <w:r>
        <w:rPr>
          <w:rFonts w:ascii="仿宋" w:eastAsia="仿宋" w:hAnsi="仿宋" w:hint="eastAsia"/>
          <w:sz w:val="32"/>
          <w:szCs w:val="32"/>
        </w:rPr>
        <w:t>年度起实施，此前与本方案有不同之处的，以此方案规定为准。</w:t>
      </w:r>
    </w:p>
    <w:p w14:paraId="5D8D68F8" w14:textId="77777777" w:rsidR="008F2392" w:rsidRDefault="00000000">
      <w:pPr>
        <w:overflowPunct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（二）本方案由市医保局、市财政局、市卫生健康局按照职责分工分别负责解释。</w:t>
      </w:r>
    </w:p>
    <w:p w14:paraId="1500CCD6" w14:textId="77777777" w:rsidR="008F2392"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（三）国家、省对医疗保障政策和医保支付方式改革出台新的政策及作出新的要求，从其规定。</w:t>
      </w:r>
    </w:p>
    <w:p w14:paraId="5ABEDFF1" w14:textId="77777777" w:rsidR="008F2392" w:rsidRDefault="008F2392">
      <w:pPr>
        <w:spacing w:line="560" w:lineRule="exact"/>
        <w:ind w:firstLineChars="200" w:firstLine="640"/>
        <w:rPr>
          <w:rFonts w:ascii="仿宋" w:eastAsia="仿宋" w:hAnsi="仿宋" w:hint="eastAsia"/>
          <w:sz w:val="32"/>
          <w:szCs w:val="32"/>
        </w:rPr>
      </w:pPr>
    </w:p>
    <w:p w14:paraId="3C207C49" w14:textId="77777777" w:rsidR="00456726"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附件：</w:t>
      </w:r>
      <w:r w:rsidR="00306E19" w:rsidRPr="00306E19">
        <w:rPr>
          <w:rFonts w:ascii="仿宋" w:eastAsia="仿宋" w:hAnsi="仿宋" w:hint="eastAsia"/>
          <w:sz w:val="32"/>
          <w:szCs w:val="32"/>
        </w:rPr>
        <w:t>贵阳市紧密型县域医共体</w:t>
      </w:r>
      <w:r w:rsidR="00456726">
        <w:rPr>
          <w:rFonts w:ascii="仿宋" w:eastAsia="仿宋" w:hAnsi="仿宋" w:hint="eastAsia"/>
          <w:sz w:val="32"/>
          <w:szCs w:val="32"/>
        </w:rPr>
        <w:t>医保支付方式改革</w:t>
      </w:r>
    </w:p>
    <w:p w14:paraId="67A21536" w14:textId="71B4B213" w:rsidR="008F2392" w:rsidRDefault="00306E19" w:rsidP="00456726">
      <w:pPr>
        <w:spacing w:line="560" w:lineRule="exact"/>
        <w:ind w:firstLineChars="500" w:firstLine="1600"/>
        <w:rPr>
          <w:rFonts w:ascii="仿宋" w:eastAsia="仿宋" w:hAnsi="仿宋" w:hint="eastAsia"/>
          <w:sz w:val="32"/>
          <w:szCs w:val="32"/>
        </w:rPr>
      </w:pPr>
      <w:r w:rsidRPr="00306E19">
        <w:rPr>
          <w:rFonts w:ascii="仿宋" w:eastAsia="仿宋" w:hAnsi="仿宋" w:hint="eastAsia"/>
          <w:sz w:val="32"/>
          <w:szCs w:val="32"/>
        </w:rPr>
        <w:t>年度绩效</w:t>
      </w:r>
      <w:r w:rsidR="00D73F05">
        <w:rPr>
          <w:rFonts w:ascii="仿宋" w:eastAsia="仿宋" w:hAnsi="仿宋" w:hint="eastAsia"/>
          <w:sz w:val="32"/>
          <w:szCs w:val="32"/>
        </w:rPr>
        <w:t>评价</w:t>
      </w:r>
      <w:r w:rsidRPr="00306E19">
        <w:rPr>
          <w:rFonts w:ascii="仿宋" w:eastAsia="仿宋" w:hAnsi="仿宋" w:hint="eastAsia"/>
          <w:sz w:val="32"/>
          <w:szCs w:val="32"/>
        </w:rPr>
        <w:t>指标</w:t>
      </w:r>
    </w:p>
    <w:p w14:paraId="47DD4553" w14:textId="77777777" w:rsidR="00A708C2" w:rsidRDefault="00A708C2" w:rsidP="00A708C2">
      <w:pPr>
        <w:spacing w:line="560" w:lineRule="exact"/>
        <w:rPr>
          <w:rFonts w:ascii="仿宋" w:eastAsia="仿宋" w:hAnsi="仿宋" w:hint="eastAsia"/>
          <w:sz w:val="32"/>
          <w:szCs w:val="32"/>
        </w:rPr>
      </w:pPr>
    </w:p>
    <w:p w14:paraId="76A52649" w14:textId="77777777" w:rsidR="00A708C2" w:rsidRDefault="00A708C2" w:rsidP="00A708C2">
      <w:pPr>
        <w:spacing w:line="560" w:lineRule="exact"/>
        <w:rPr>
          <w:rFonts w:ascii="仿宋" w:eastAsia="仿宋" w:hAnsi="仿宋" w:hint="eastAsia"/>
          <w:sz w:val="32"/>
          <w:szCs w:val="32"/>
        </w:rPr>
      </w:pPr>
    </w:p>
    <w:p w14:paraId="6E61BA78" w14:textId="3183FB4C" w:rsidR="00A708C2" w:rsidRDefault="00610C63" w:rsidP="00610C63">
      <w:pPr>
        <w:spacing w:line="560" w:lineRule="exact"/>
        <w:ind w:firstLineChars="100" w:firstLine="320"/>
        <w:rPr>
          <w:rFonts w:ascii="仿宋" w:eastAsia="仿宋" w:hAnsi="仿宋" w:hint="eastAsia"/>
          <w:sz w:val="32"/>
          <w:szCs w:val="32"/>
        </w:rPr>
      </w:pPr>
      <w:r>
        <w:rPr>
          <w:rFonts w:ascii="仿宋" w:eastAsia="仿宋" w:hAnsi="仿宋" w:hint="eastAsia"/>
          <w:sz w:val="32"/>
          <w:szCs w:val="32"/>
        </w:rPr>
        <w:t>贵阳市医疗保障局  贵阳市财政局  贵阳市卫生健康局</w:t>
      </w:r>
    </w:p>
    <w:p w14:paraId="209338D7" w14:textId="422952A9" w:rsidR="00610C63" w:rsidRDefault="00610C63" w:rsidP="00610C63">
      <w:pPr>
        <w:spacing w:line="560" w:lineRule="exact"/>
        <w:ind w:firstLineChars="100" w:firstLine="320"/>
        <w:rPr>
          <w:rFonts w:ascii="仿宋" w:eastAsia="仿宋" w:hAnsi="仿宋" w:hint="eastAsia"/>
          <w:sz w:val="32"/>
          <w:szCs w:val="32"/>
        </w:rPr>
      </w:pPr>
      <w:r>
        <w:rPr>
          <w:rFonts w:ascii="仿宋" w:eastAsia="仿宋" w:hAnsi="仿宋" w:hint="eastAsia"/>
          <w:sz w:val="32"/>
          <w:szCs w:val="32"/>
        </w:rPr>
        <w:t xml:space="preserve">                                2024年</w:t>
      </w:r>
      <w:r w:rsidR="00F81941">
        <w:rPr>
          <w:rFonts w:ascii="仿宋" w:eastAsia="仿宋" w:hAnsi="仿宋" w:hint="eastAsia"/>
          <w:sz w:val="32"/>
          <w:szCs w:val="32"/>
        </w:rPr>
        <w:t>X</w:t>
      </w:r>
      <w:r>
        <w:rPr>
          <w:rFonts w:ascii="仿宋" w:eastAsia="仿宋" w:hAnsi="仿宋" w:hint="eastAsia"/>
          <w:sz w:val="32"/>
          <w:szCs w:val="32"/>
        </w:rPr>
        <w:t>月X日</w:t>
      </w:r>
    </w:p>
    <w:p w14:paraId="502AFD23" w14:textId="77777777" w:rsidR="000E4950" w:rsidRPr="00610C63" w:rsidRDefault="000E4950" w:rsidP="00610C63">
      <w:pPr>
        <w:spacing w:line="560" w:lineRule="exact"/>
        <w:ind w:firstLineChars="100" w:firstLine="320"/>
        <w:rPr>
          <w:rFonts w:ascii="仿宋" w:eastAsia="仿宋" w:hAnsi="仿宋" w:hint="eastAsia"/>
          <w:sz w:val="32"/>
          <w:szCs w:val="32"/>
        </w:rPr>
      </w:pPr>
    </w:p>
    <w:p w14:paraId="649543EC" w14:textId="4DAED264" w:rsidR="001F050C" w:rsidRDefault="00480B93" w:rsidP="00A708C2">
      <w:pPr>
        <w:spacing w:line="560" w:lineRule="exact"/>
        <w:rPr>
          <w:rFonts w:ascii="仿宋" w:eastAsia="仿宋" w:hAnsi="仿宋" w:hint="eastAsia"/>
          <w:sz w:val="32"/>
          <w:szCs w:val="32"/>
        </w:rPr>
      </w:pPr>
      <w:r>
        <w:rPr>
          <w:rFonts w:ascii="仿宋" w:eastAsia="仿宋" w:hAnsi="仿宋" w:hint="eastAsia"/>
          <w:sz w:val="32"/>
          <w:szCs w:val="32"/>
        </w:rPr>
        <w:lastRenderedPageBreak/>
        <w:t>附件：</w:t>
      </w:r>
    </w:p>
    <w:p w14:paraId="741CB79F" w14:textId="77777777" w:rsidR="00C2265A" w:rsidRDefault="00C2265A" w:rsidP="00A708C2">
      <w:pPr>
        <w:spacing w:line="560" w:lineRule="exact"/>
        <w:rPr>
          <w:rFonts w:ascii="仿宋" w:eastAsia="仿宋" w:hAnsi="仿宋" w:hint="eastAsia"/>
          <w:sz w:val="32"/>
          <w:szCs w:val="32"/>
        </w:rPr>
      </w:pPr>
    </w:p>
    <w:p w14:paraId="5B4CEE22" w14:textId="375ADD90" w:rsidR="00480B93" w:rsidRDefault="00480B93" w:rsidP="00480B93">
      <w:pPr>
        <w:spacing w:line="560" w:lineRule="exact"/>
        <w:jc w:val="center"/>
        <w:rPr>
          <w:rFonts w:ascii="方正小标宋简体" w:eastAsia="方正小标宋简体" w:hAnsi="方正小标宋简体" w:hint="eastAsia"/>
          <w:sz w:val="44"/>
          <w:szCs w:val="44"/>
        </w:rPr>
      </w:pPr>
      <w:r w:rsidRPr="00480B93">
        <w:rPr>
          <w:rFonts w:ascii="方正小标宋简体" w:eastAsia="方正小标宋简体" w:hAnsi="方正小标宋简体" w:hint="eastAsia"/>
          <w:sz w:val="44"/>
          <w:szCs w:val="44"/>
        </w:rPr>
        <w:t>贵阳市紧密型县域医疗卫生共同体</w:t>
      </w:r>
    </w:p>
    <w:p w14:paraId="56D2FA2B" w14:textId="4E54062D" w:rsidR="00480B93" w:rsidRPr="00480B93" w:rsidRDefault="00996120" w:rsidP="00480B93">
      <w:pPr>
        <w:spacing w:line="56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医保支付方式改革</w:t>
      </w:r>
      <w:r w:rsidR="00480B93" w:rsidRPr="00480B93">
        <w:rPr>
          <w:rFonts w:ascii="方正小标宋简体" w:eastAsia="方正小标宋简体" w:hAnsi="方正小标宋简体" w:hint="eastAsia"/>
          <w:sz w:val="44"/>
          <w:szCs w:val="44"/>
        </w:rPr>
        <w:t>年度绩效评价指标</w:t>
      </w:r>
    </w:p>
    <w:p w14:paraId="01500301" w14:textId="77777777" w:rsidR="00480B93" w:rsidRDefault="00480B93" w:rsidP="00A708C2">
      <w:pPr>
        <w:spacing w:line="560" w:lineRule="exact"/>
        <w:rPr>
          <w:rFonts w:ascii="仿宋" w:eastAsia="仿宋" w:hAnsi="仿宋" w:hint="eastAsia"/>
          <w:sz w:val="32"/>
          <w:szCs w:val="32"/>
        </w:rPr>
      </w:pPr>
    </w:p>
    <w:p w14:paraId="65AE1FE6" w14:textId="2AF59C7F" w:rsidR="00480B93" w:rsidRDefault="00C50D3C" w:rsidP="00480B93">
      <w:pPr>
        <w:rPr>
          <w:rFonts w:ascii="仿宋" w:eastAsia="仿宋" w:hAnsi="仿宋" w:hint="eastAsia"/>
          <w:sz w:val="32"/>
          <w:szCs w:val="32"/>
        </w:rPr>
      </w:pPr>
      <w:r w:rsidRPr="00C50D3C">
        <w:rPr>
          <w:rFonts w:hint="eastAsia"/>
          <w:noProof/>
        </w:rPr>
        <w:drawing>
          <wp:inline distT="0" distB="0" distL="0" distR="0" wp14:anchorId="260D2378" wp14:editId="1B82E3D5">
            <wp:extent cx="5278120" cy="6438900"/>
            <wp:effectExtent l="0" t="0" r="0" b="0"/>
            <wp:docPr id="14512685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8120" cy="6438900"/>
                    </a:xfrm>
                    <a:prstGeom prst="rect">
                      <a:avLst/>
                    </a:prstGeom>
                    <a:noFill/>
                    <a:ln>
                      <a:noFill/>
                    </a:ln>
                  </pic:spPr>
                </pic:pic>
              </a:graphicData>
            </a:graphic>
          </wp:inline>
        </w:drawing>
      </w:r>
    </w:p>
    <w:p w14:paraId="13A3B568" w14:textId="5D814CB8" w:rsidR="00A978D1" w:rsidRDefault="00A20E1F" w:rsidP="00480B93">
      <w:pPr>
        <w:rPr>
          <w:rFonts w:ascii="仿宋" w:eastAsia="仿宋" w:hAnsi="仿宋" w:hint="eastAsia"/>
          <w:sz w:val="32"/>
          <w:szCs w:val="32"/>
        </w:rPr>
      </w:pPr>
      <w:r w:rsidRPr="00A20E1F">
        <w:rPr>
          <w:rFonts w:hint="eastAsia"/>
          <w:noProof/>
        </w:rPr>
        <w:lastRenderedPageBreak/>
        <w:drawing>
          <wp:inline distT="0" distB="0" distL="0" distR="0" wp14:anchorId="08D1222C" wp14:editId="76D73671">
            <wp:extent cx="5278120" cy="5449570"/>
            <wp:effectExtent l="0" t="0" r="0" b="0"/>
            <wp:docPr id="14887326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8120" cy="5449570"/>
                    </a:xfrm>
                    <a:prstGeom prst="rect">
                      <a:avLst/>
                    </a:prstGeom>
                    <a:noFill/>
                    <a:ln>
                      <a:noFill/>
                    </a:ln>
                  </pic:spPr>
                </pic:pic>
              </a:graphicData>
            </a:graphic>
          </wp:inline>
        </w:drawing>
      </w:r>
    </w:p>
    <w:sectPr w:rsidR="00A978D1" w:rsidSect="004B54F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B5C0" w14:textId="77777777" w:rsidR="005E6D4F" w:rsidRDefault="005E6D4F" w:rsidP="001F050C">
      <w:pPr>
        <w:rPr>
          <w:rFonts w:hint="eastAsia"/>
        </w:rPr>
      </w:pPr>
      <w:r>
        <w:separator/>
      </w:r>
    </w:p>
  </w:endnote>
  <w:endnote w:type="continuationSeparator" w:id="0">
    <w:p w14:paraId="4F1FB751" w14:textId="77777777" w:rsidR="005E6D4F" w:rsidRDefault="005E6D4F" w:rsidP="001F05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方正书宋简体">
    <w:altName w:val="方正书宋_GBK"/>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C02F" w14:textId="673983EA" w:rsidR="004B54F3" w:rsidRPr="004B54F3" w:rsidRDefault="004B54F3" w:rsidP="004B54F3">
    <w:pPr>
      <w:pStyle w:val="af"/>
      <w:ind w:firstLineChars="100" w:firstLine="280"/>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1</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A670" w14:textId="13A8BDC0" w:rsidR="004B54F3" w:rsidRPr="004B54F3" w:rsidRDefault="004B54F3" w:rsidP="004B54F3">
    <w:pPr>
      <w:pStyle w:val="af"/>
      <w:ind w:rightChars="100" w:right="210"/>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1</w:t>
    </w:r>
    <w:r>
      <w:rPr>
        <w:rFonts w:ascii="宋体" w:eastAsia="宋体" w:hAnsi="宋体" w:hint="eastAsia"/>
        <w:sz w:val="28"/>
      </w:rPr>
      <w:fldChar w:fldCharType="end"/>
    </w:r>
    <w:r>
      <w:rPr>
        <w:rFonts w:ascii="宋体" w:eastAsia="宋体" w:hAnsi="宋体" w:hint="eastAsia"/>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C985" w14:textId="77777777" w:rsidR="004B54F3" w:rsidRDefault="004B54F3">
    <w:pPr>
      <w:pStyle w:val="af"/>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48BB0" w14:textId="77777777" w:rsidR="005E6D4F" w:rsidRDefault="005E6D4F" w:rsidP="001F050C">
      <w:pPr>
        <w:rPr>
          <w:rFonts w:hint="eastAsia"/>
        </w:rPr>
      </w:pPr>
      <w:r>
        <w:separator/>
      </w:r>
    </w:p>
  </w:footnote>
  <w:footnote w:type="continuationSeparator" w:id="0">
    <w:p w14:paraId="0BFBEAE6" w14:textId="77777777" w:rsidR="005E6D4F" w:rsidRDefault="005E6D4F" w:rsidP="001F050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9239" w14:textId="77777777" w:rsidR="004B54F3" w:rsidRDefault="004B54F3">
    <w:pPr>
      <w:pStyle w:val="ad"/>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D834" w14:textId="77777777" w:rsidR="004B54F3" w:rsidRDefault="004B54F3">
    <w:pPr>
      <w:pStyle w:val="ad"/>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1FF5" w14:textId="77777777" w:rsidR="004B54F3" w:rsidRDefault="004B54F3">
    <w:pPr>
      <w:pStyle w:val="ad"/>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94"/>
    <w:rsid w:val="996F947B"/>
    <w:rsid w:val="9FF5677A"/>
    <w:rsid w:val="AFFF520D"/>
    <w:rsid w:val="B6ADA549"/>
    <w:rsid w:val="DEDDBF40"/>
    <w:rsid w:val="EA6B5B90"/>
    <w:rsid w:val="F6EF716E"/>
    <w:rsid w:val="FAFBB3AD"/>
    <w:rsid w:val="FBEBFDA6"/>
    <w:rsid w:val="FBFFC4F6"/>
    <w:rsid w:val="FD6B230F"/>
    <w:rsid w:val="FDD09E3C"/>
    <w:rsid w:val="000056E8"/>
    <w:rsid w:val="00006A85"/>
    <w:rsid w:val="0001120F"/>
    <w:rsid w:val="00012B00"/>
    <w:rsid w:val="00013675"/>
    <w:rsid w:val="0001655D"/>
    <w:rsid w:val="00031A7D"/>
    <w:rsid w:val="0003461D"/>
    <w:rsid w:val="000414D7"/>
    <w:rsid w:val="00062144"/>
    <w:rsid w:val="00062B5C"/>
    <w:rsid w:val="00074F15"/>
    <w:rsid w:val="00075A90"/>
    <w:rsid w:val="00091CA4"/>
    <w:rsid w:val="00097B67"/>
    <w:rsid w:val="000A1C06"/>
    <w:rsid w:val="000C6201"/>
    <w:rsid w:val="000D2D69"/>
    <w:rsid w:val="000E3593"/>
    <w:rsid w:val="000E4950"/>
    <w:rsid w:val="000F34B1"/>
    <w:rsid w:val="000F6F22"/>
    <w:rsid w:val="00101E4D"/>
    <w:rsid w:val="00114CCD"/>
    <w:rsid w:val="0012299C"/>
    <w:rsid w:val="001240DA"/>
    <w:rsid w:val="00133C12"/>
    <w:rsid w:val="0014187D"/>
    <w:rsid w:val="00146D3F"/>
    <w:rsid w:val="001519E2"/>
    <w:rsid w:val="00151D50"/>
    <w:rsid w:val="00156D4D"/>
    <w:rsid w:val="00161171"/>
    <w:rsid w:val="00195BDC"/>
    <w:rsid w:val="001A399B"/>
    <w:rsid w:val="001C355B"/>
    <w:rsid w:val="001D64D9"/>
    <w:rsid w:val="001F050C"/>
    <w:rsid w:val="002002AE"/>
    <w:rsid w:val="002043D9"/>
    <w:rsid w:val="00241732"/>
    <w:rsid w:val="00254058"/>
    <w:rsid w:val="0027100E"/>
    <w:rsid w:val="0027705C"/>
    <w:rsid w:val="0028040D"/>
    <w:rsid w:val="002822E5"/>
    <w:rsid w:val="002858B5"/>
    <w:rsid w:val="00293CF2"/>
    <w:rsid w:val="0029791F"/>
    <w:rsid w:val="002A4208"/>
    <w:rsid w:val="002A4833"/>
    <w:rsid w:val="002B10D1"/>
    <w:rsid w:val="002B3C91"/>
    <w:rsid w:val="002B44AC"/>
    <w:rsid w:val="002B5509"/>
    <w:rsid w:val="002D63D5"/>
    <w:rsid w:val="002F17B7"/>
    <w:rsid w:val="00301007"/>
    <w:rsid w:val="00306E19"/>
    <w:rsid w:val="003203D7"/>
    <w:rsid w:val="003250BC"/>
    <w:rsid w:val="00345337"/>
    <w:rsid w:val="00383574"/>
    <w:rsid w:val="00390E59"/>
    <w:rsid w:val="003B4B53"/>
    <w:rsid w:val="003B7F5C"/>
    <w:rsid w:val="003E58BB"/>
    <w:rsid w:val="003E7ABA"/>
    <w:rsid w:val="003F34AE"/>
    <w:rsid w:val="004005CB"/>
    <w:rsid w:val="00410A14"/>
    <w:rsid w:val="00414D0D"/>
    <w:rsid w:val="00426A36"/>
    <w:rsid w:val="00432710"/>
    <w:rsid w:val="00441E6A"/>
    <w:rsid w:val="00456726"/>
    <w:rsid w:val="00456CBF"/>
    <w:rsid w:val="00457068"/>
    <w:rsid w:val="0047012B"/>
    <w:rsid w:val="004752EF"/>
    <w:rsid w:val="00480B93"/>
    <w:rsid w:val="00482B8A"/>
    <w:rsid w:val="00482BD6"/>
    <w:rsid w:val="004941AF"/>
    <w:rsid w:val="004A1D6D"/>
    <w:rsid w:val="004A5E85"/>
    <w:rsid w:val="004A7C74"/>
    <w:rsid w:val="004B54F3"/>
    <w:rsid w:val="004C79DB"/>
    <w:rsid w:val="004C7A8A"/>
    <w:rsid w:val="004D01D4"/>
    <w:rsid w:val="004D15C4"/>
    <w:rsid w:val="004D3F67"/>
    <w:rsid w:val="004D7FC6"/>
    <w:rsid w:val="00502309"/>
    <w:rsid w:val="00506DB3"/>
    <w:rsid w:val="005107B6"/>
    <w:rsid w:val="00513708"/>
    <w:rsid w:val="00513CFA"/>
    <w:rsid w:val="005211AD"/>
    <w:rsid w:val="00530E6B"/>
    <w:rsid w:val="0054325B"/>
    <w:rsid w:val="00563D96"/>
    <w:rsid w:val="00580AEB"/>
    <w:rsid w:val="00582C02"/>
    <w:rsid w:val="005833F6"/>
    <w:rsid w:val="0058484E"/>
    <w:rsid w:val="005A18A9"/>
    <w:rsid w:val="005A3544"/>
    <w:rsid w:val="005B2887"/>
    <w:rsid w:val="005B59A0"/>
    <w:rsid w:val="005B5FD7"/>
    <w:rsid w:val="005D0F2F"/>
    <w:rsid w:val="005E6D4F"/>
    <w:rsid w:val="005F7E32"/>
    <w:rsid w:val="006047AC"/>
    <w:rsid w:val="00610C63"/>
    <w:rsid w:val="00616B4B"/>
    <w:rsid w:val="00617A2E"/>
    <w:rsid w:val="00626F30"/>
    <w:rsid w:val="00641F3D"/>
    <w:rsid w:val="00647AAC"/>
    <w:rsid w:val="00652CA0"/>
    <w:rsid w:val="00654BB4"/>
    <w:rsid w:val="0066261D"/>
    <w:rsid w:val="00666312"/>
    <w:rsid w:val="00672863"/>
    <w:rsid w:val="00691CF3"/>
    <w:rsid w:val="00695305"/>
    <w:rsid w:val="006A5314"/>
    <w:rsid w:val="006A78F5"/>
    <w:rsid w:val="006B58EE"/>
    <w:rsid w:val="006C34EA"/>
    <w:rsid w:val="006C3B74"/>
    <w:rsid w:val="006D1098"/>
    <w:rsid w:val="006D4427"/>
    <w:rsid w:val="006E58ED"/>
    <w:rsid w:val="006F505E"/>
    <w:rsid w:val="006F7865"/>
    <w:rsid w:val="00703BA9"/>
    <w:rsid w:val="00737B54"/>
    <w:rsid w:val="007445BB"/>
    <w:rsid w:val="00773C40"/>
    <w:rsid w:val="007813C3"/>
    <w:rsid w:val="007B2B0C"/>
    <w:rsid w:val="007B5E2D"/>
    <w:rsid w:val="007C0DBA"/>
    <w:rsid w:val="007C57D0"/>
    <w:rsid w:val="007D18EF"/>
    <w:rsid w:val="007D4A53"/>
    <w:rsid w:val="007D593A"/>
    <w:rsid w:val="007F3B26"/>
    <w:rsid w:val="00847F83"/>
    <w:rsid w:val="008516F0"/>
    <w:rsid w:val="00852B73"/>
    <w:rsid w:val="008531C0"/>
    <w:rsid w:val="00853CE6"/>
    <w:rsid w:val="00863E3B"/>
    <w:rsid w:val="00864B3D"/>
    <w:rsid w:val="00866CAC"/>
    <w:rsid w:val="008715FA"/>
    <w:rsid w:val="0087708F"/>
    <w:rsid w:val="00877D7F"/>
    <w:rsid w:val="008B0E41"/>
    <w:rsid w:val="008D2C9B"/>
    <w:rsid w:val="008E3CDE"/>
    <w:rsid w:val="008F2392"/>
    <w:rsid w:val="00910E14"/>
    <w:rsid w:val="00911D35"/>
    <w:rsid w:val="00914A18"/>
    <w:rsid w:val="00914E97"/>
    <w:rsid w:val="0092402C"/>
    <w:rsid w:val="009244CB"/>
    <w:rsid w:val="009265A0"/>
    <w:rsid w:val="00932378"/>
    <w:rsid w:val="00936BE4"/>
    <w:rsid w:val="00940B0B"/>
    <w:rsid w:val="00947947"/>
    <w:rsid w:val="0095495F"/>
    <w:rsid w:val="0095603D"/>
    <w:rsid w:val="00982CDD"/>
    <w:rsid w:val="00996120"/>
    <w:rsid w:val="009A6D76"/>
    <w:rsid w:val="009B42B8"/>
    <w:rsid w:val="009D10E8"/>
    <w:rsid w:val="009D1B11"/>
    <w:rsid w:val="009F0B33"/>
    <w:rsid w:val="009F732F"/>
    <w:rsid w:val="009F7B17"/>
    <w:rsid w:val="00A20E1F"/>
    <w:rsid w:val="00A43A58"/>
    <w:rsid w:val="00A46101"/>
    <w:rsid w:val="00A47CC0"/>
    <w:rsid w:val="00A54F75"/>
    <w:rsid w:val="00A577E3"/>
    <w:rsid w:val="00A708C2"/>
    <w:rsid w:val="00A978D1"/>
    <w:rsid w:val="00AA7644"/>
    <w:rsid w:val="00AC08A4"/>
    <w:rsid w:val="00AE309A"/>
    <w:rsid w:val="00AF35D6"/>
    <w:rsid w:val="00AF7A7F"/>
    <w:rsid w:val="00B00A8E"/>
    <w:rsid w:val="00B12DA6"/>
    <w:rsid w:val="00B23F49"/>
    <w:rsid w:val="00B429ED"/>
    <w:rsid w:val="00B434BF"/>
    <w:rsid w:val="00B706CF"/>
    <w:rsid w:val="00B70DC1"/>
    <w:rsid w:val="00B77C94"/>
    <w:rsid w:val="00B9017F"/>
    <w:rsid w:val="00B92BDC"/>
    <w:rsid w:val="00B933A6"/>
    <w:rsid w:val="00B9762E"/>
    <w:rsid w:val="00BB43C8"/>
    <w:rsid w:val="00C2265A"/>
    <w:rsid w:val="00C355D6"/>
    <w:rsid w:val="00C4027D"/>
    <w:rsid w:val="00C43A52"/>
    <w:rsid w:val="00C44C89"/>
    <w:rsid w:val="00C50D3C"/>
    <w:rsid w:val="00C51455"/>
    <w:rsid w:val="00C63CC3"/>
    <w:rsid w:val="00C7623D"/>
    <w:rsid w:val="00C9202F"/>
    <w:rsid w:val="00CA3FEE"/>
    <w:rsid w:val="00CA7958"/>
    <w:rsid w:val="00CA7C31"/>
    <w:rsid w:val="00CB29C7"/>
    <w:rsid w:val="00CB64D5"/>
    <w:rsid w:val="00CD0352"/>
    <w:rsid w:val="00CD1F49"/>
    <w:rsid w:val="00CF78EA"/>
    <w:rsid w:val="00D01F30"/>
    <w:rsid w:val="00D22A9E"/>
    <w:rsid w:val="00D240E1"/>
    <w:rsid w:val="00D46890"/>
    <w:rsid w:val="00D54D73"/>
    <w:rsid w:val="00D73F05"/>
    <w:rsid w:val="00D7528C"/>
    <w:rsid w:val="00D96640"/>
    <w:rsid w:val="00DA4767"/>
    <w:rsid w:val="00DB38F6"/>
    <w:rsid w:val="00DB3E52"/>
    <w:rsid w:val="00DC37E3"/>
    <w:rsid w:val="00DD146F"/>
    <w:rsid w:val="00DD2841"/>
    <w:rsid w:val="00DD2F8D"/>
    <w:rsid w:val="00DE0ADA"/>
    <w:rsid w:val="00DE517C"/>
    <w:rsid w:val="00DF0794"/>
    <w:rsid w:val="00DF7117"/>
    <w:rsid w:val="00E04F11"/>
    <w:rsid w:val="00E30BFF"/>
    <w:rsid w:val="00E432C1"/>
    <w:rsid w:val="00E54447"/>
    <w:rsid w:val="00E77F2B"/>
    <w:rsid w:val="00EA6491"/>
    <w:rsid w:val="00EC2233"/>
    <w:rsid w:val="00EC36C3"/>
    <w:rsid w:val="00F154E7"/>
    <w:rsid w:val="00F33D0E"/>
    <w:rsid w:val="00F46AC9"/>
    <w:rsid w:val="00F53F0A"/>
    <w:rsid w:val="00F56D9E"/>
    <w:rsid w:val="00F645E5"/>
    <w:rsid w:val="00F73397"/>
    <w:rsid w:val="00F81941"/>
    <w:rsid w:val="00FC7ECB"/>
    <w:rsid w:val="00FE2AFB"/>
    <w:rsid w:val="2B3D7644"/>
    <w:rsid w:val="3DBB15B3"/>
    <w:rsid w:val="3FEFE973"/>
    <w:rsid w:val="3FFE8E6E"/>
    <w:rsid w:val="4DA744E1"/>
    <w:rsid w:val="4FD3F98F"/>
    <w:rsid w:val="57FB3264"/>
    <w:rsid w:val="5EBF8CF8"/>
    <w:rsid w:val="653860C5"/>
    <w:rsid w:val="771B5F8B"/>
    <w:rsid w:val="7737307F"/>
    <w:rsid w:val="7CEE56BB"/>
    <w:rsid w:val="7F7BCD0F"/>
    <w:rsid w:val="7F7FE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BC417"/>
  <w15:docId w15:val="{34F359EF-2904-4434-8ACB-0EC35296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明显引用 字符"/>
    <w:basedOn w:val="a0"/>
    <w:link w:val="aa"/>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styleId="ac">
    <w:name w:val="Placeholder Text"/>
    <w:basedOn w:val="a0"/>
    <w:uiPriority w:val="99"/>
    <w:semiHidden/>
    <w:qFormat/>
    <w:rPr>
      <w:color w:val="666666"/>
    </w:rPr>
  </w:style>
  <w:style w:type="paragraph" w:styleId="ad">
    <w:name w:val="header"/>
    <w:basedOn w:val="a"/>
    <w:link w:val="ae"/>
    <w:uiPriority w:val="99"/>
    <w:unhideWhenUsed/>
    <w:rsid w:val="001F050C"/>
    <w:pPr>
      <w:tabs>
        <w:tab w:val="center" w:pos="4153"/>
        <w:tab w:val="right" w:pos="8306"/>
      </w:tabs>
      <w:snapToGrid w:val="0"/>
      <w:jc w:val="center"/>
    </w:pPr>
    <w:rPr>
      <w:sz w:val="18"/>
      <w:szCs w:val="18"/>
    </w:rPr>
  </w:style>
  <w:style w:type="character" w:customStyle="1" w:styleId="ae">
    <w:name w:val="页眉 字符"/>
    <w:basedOn w:val="a0"/>
    <w:link w:val="ad"/>
    <w:uiPriority w:val="99"/>
    <w:rsid w:val="001F050C"/>
    <w:rPr>
      <w:kern w:val="2"/>
      <w:sz w:val="18"/>
      <w:szCs w:val="18"/>
    </w:rPr>
  </w:style>
  <w:style w:type="paragraph" w:styleId="af">
    <w:name w:val="footer"/>
    <w:basedOn w:val="a"/>
    <w:link w:val="af0"/>
    <w:uiPriority w:val="99"/>
    <w:unhideWhenUsed/>
    <w:rsid w:val="001F050C"/>
    <w:pPr>
      <w:tabs>
        <w:tab w:val="center" w:pos="4153"/>
        <w:tab w:val="right" w:pos="8306"/>
      </w:tabs>
      <w:snapToGrid w:val="0"/>
      <w:jc w:val="left"/>
    </w:pPr>
    <w:rPr>
      <w:sz w:val="18"/>
      <w:szCs w:val="18"/>
    </w:rPr>
  </w:style>
  <w:style w:type="character" w:customStyle="1" w:styleId="af0">
    <w:name w:val="页脚 字符"/>
    <w:basedOn w:val="a0"/>
    <w:link w:val="af"/>
    <w:uiPriority w:val="99"/>
    <w:rsid w:val="001F05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lenovo</cp:lastModifiedBy>
  <cp:revision>262</cp:revision>
  <dcterms:created xsi:type="dcterms:W3CDTF">2024-07-18T00:52:00Z</dcterms:created>
  <dcterms:modified xsi:type="dcterms:W3CDTF">2024-07-31T01:05:00Z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9915183DA259D877141FA2661CD88D0E</vt:lpwstr>
  </property>
</Properties>
</file>