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20" w:lineRule="exact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2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-SA"/>
        </w:rPr>
        <w:t>供应意向确认函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center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（适用于原接续采购中选过评产品）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20" w:lineRule="exact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江苏省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医疗保障局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20" w:firstLineChars="200"/>
        <w:jc w:val="both"/>
        <w:textAlignment w:val="baseline"/>
        <w:rPr>
          <w:rFonts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我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none" w:color="auto"/>
          <w:lang w:val="en-US" w:eastAsia="zh-CN" w:bidi="ar-SA"/>
        </w:rPr>
        <w:t>（企业名称）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品种名称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）为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原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4"/>
          <w:kern w:val="0"/>
          <w:sz w:val="32"/>
          <w:szCs w:val="32"/>
          <w:lang w:val="en-US" w:eastAsia="en-US" w:bidi="ar-SA"/>
        </w:rPr>
        <w:t>中选供应药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35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愿意按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不高于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同品种国家集采平均中选价格、本产品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全国省级及省际联盟带量采购最低中选（备选）价格（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包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含已公示未公布价格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，规格包装不同的均差比后取最低值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和各省级现执行最低挂网价格（规格包装不同的均差比后取最低值）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继续参与我省供应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并提供相关服务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37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我方承诺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上述中选产品如出现新的省级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中选价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或省级挂网价低于本次续约供应价格的，在新的中选价格执行后20个工作日内主动申请将供应价格降至新的中选价格。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我方承诺申报产品全年产能达到本次采购公告中意向采购量的2倍及以上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  <w:t>，确保在采购周期内满足中选药品的采购需求，包括约定采购量以及超过约定采购量的部分，具有履行协议必须具备的药品供应能力，对药品的质量和供应负责。如我方药品中选，将及时、足量按要求组织生产，及时向配送企业发送药品，满足医疗机构临床用药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680" w:leftChars="80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  <w:t>申报企业（盖章）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  <w:t xml:space="preserve">   法定代表人（签章）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Cs w:val="21"/>
          <w:lang w:eastAsia="en-US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  <w:t>日期：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  <w:t xml:space="preserve">  年   月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80" w:lineRule="exact"/>
        <w:ind w:left="1680" w:leftChars="800"/>
        <w:jc w:val="right"/>
        <w:textAlignment w:val="baseline"/>
        <w:rPr>
          <w:rFonts w:hint="eastAsia" w:ascii="方正仿宋_GBK" w:hAnsi="方正仿宋_GBK" w:eastAsia="方正仿宋_GBK" w:cs="方正仿宋_GBK"/>
          <w:spacing w:val="-12"/>
        </w:rPr>
        <w:sectPr>
          <w:footerReference r:id="rId3" w:type="default"/>
          <w:pgSz w:w="11906" w:h="16839"/>
          <w:pgMar w:top="2098" w:right="1474" w:bottom="1984" w:left="1587" w:header="0" w:footer="85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 w:bidi="ar-SA"/>
        </w:rPr>
        <w:t>供应意向确认函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（适用于原接续采购非中选的过评产品和新过评产品）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江苏省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医疗保障局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0" w:firstLineChars="200"/>
        <w:jc w:val="both"/>
        <w:textAlignment w:val="baseline"/>
        <w:rPr>
          <w:rFonts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  <w:lang w:val="en-US" w:eastAsia="en-US" w:bidi="ar-SA"/>
        </w:rPr>
        <w:t>我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  <w:lang w:val="en-US" w:eastAsia="zh-CN" w:bidi="ar-SA"/>
        </w:rPr>
        <w:t>方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5"/>
          <w:kern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none" w:color="auto"/>
          <w:lang w:val="en-US" w:eastAsia="zh-CN" w:bidi="ar-SA"/>
        </w:rPr>
        <w:t>（企业名称）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en-US" w:bidi="ar-SA"/>
        </w:rPr>
        <w:tab/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u w:val="single" w:color="auto"/>
          <w:lang w:val="en-US" w:eastAsia="zh-CN" w:bidi="ar-SA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（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品种名称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愿意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按不高于本产品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全国省级及省际联盟带量采购最低中选（备选）价格（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包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含已公示未公布价格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，规格包装不同的均差比后取最低值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）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和各省级现执行最低挂网价格（规格包装不同的均差比后取最低值）、我省该品种原接续中选产品本次中选最高价，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-2"/>
          <w:kern w:val="0"/>
          <w:sz w:val="32"/>
          <w:szCs w:val="32"/>
          <w:lang w:val="en-US" w:eastAsia="en-US" w:bidi="ar-SA"/>
        </w:rPr>
        <w:t>参与我省供应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并提供相关服务。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我方承诺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上述中选产品如出现新的省级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  <w:t>中选价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或省级挂网价低于本次续约供应价格的，在新的中选价格执行后20个工作日内主动申请将供应价格降至新的中选价格。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shd w:val="clear" w:color="auto" w:fill="auto"/>
          <w:lang w:val="en-US" w:eastAsia="zh-CN" w:bidi="ar"/>
        </w:rPr>
        <w:t>我方承诺申报产品全年产能达到本次采购公告中意向采购量的2倍及以上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  <w:t>，确保在采购周期内满足中选药品的采购需求，包括约定采购量以及超过约定采购量的部分，具有履行协议必须具备的药品供应能力，对药品的质量和供应负责。如我方药品中选，将及时、足量按要求组织生产，及时向配送企业发送药品，满足医疗机构临床用药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  <w:t>申报企业（盖章）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jc w:val="center"/>
        <w:textAlignment w:val="auto"/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  <w:t xml:space="preserve">   法定代表人（签章）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80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snapToGrid w:val="0"/>
          <w:color w:val="000000"/>
          <w:spacing w:val="-12"/>
          <w:kern w:val="0"/>
          <w:szCs w:val="21"/>
          <w:lang w:eastAsia="en-US"/>
        </w:rPr>
      </w:pP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  <w:t>日期：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方正仿宋_GBK"/>
          <w:snapToGrid/>
          <w:color w:val="000000"/>
          <w:kern w:val="2"/>
          <w:sz w:val="32"/>
          <w:szCs w:val="32"/>
          <w:lang w:eastAsia="zh-CN" w:bidi="ar"/>
        </w:rPr>
        <w:t xml:space="preserve">  年   月   日</w:t>
      </w:r>
    </w:p>
    <w:p>
      <w:pPr>
        <w:rPr>
          <w:rFonts w:ascii="Calibri" w:hAnsi="Calibri" w:eastAsia="宋体" w:cs="Arial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decimal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Arial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Arial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2576195</wp:posOffset>
              </wp:positionH>
              <wp:positionV relativeFrom="paragraph">
                <wp:posOffset>-177800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4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85pt;margin-top:-1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DFAdLMwwERK&#10;fenRCu2+HfjsTXEGTWf6OfGWb2qUsmU+PDCHwUD5eDrhHkspDVKawaKkMu7Lv85jPPoFLyUNBi2n&#10;Gu+KEvleo48ADKPhRmM/Gvqo7gwmF71BLZ2JCy7I0SydUZ/xnlYxB1xMc2TKaRjNu9APO94jF6tV&#10;F3S0rj5U/QVMoWVhq3eWxzRRKm9XxwBpO8WjQL0q6FTcYA67ng1vJg76n/su6vE/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iHlb9gAAAALAQAADwAAAAAAAAABACAAAAAiAAAAZHJzL2Rvd25y&#10;ZXYueG1sUEsBAhQAFAAAAAgAh07iQL10G3Y3AgAAb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44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4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4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4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4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44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4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4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YzdkMjU3ODNhMzBjZmRhNDk5ZTcwODk0MTNkZjkifQ=="/>
  </w:docVars>
  <w:rsids>
    <w:rsidRoot w:val="00000000"/>
    <w:rsid w:val="3EC84795"/>
    <w:rsid w:val="59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2023-02-02T00:50:00Z</dcterms:created>
  <dc:creator>zhaodi</dc:creator>
  <cp:lastModifiedBy>赵 笛</cp:lastModifiedBy>
  <dcterms:modified xsi:type="dcterms:W3CDTF">2024-05-23T01:29:53Z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D780F185C1134072A55265BCF79F98A7</vt:lpwstr>
  </property>
</Properties>
</file>