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宋体"/>
          <w:b/>
          <w:bCs/>
          <w:sz w:val="32"/>
          <w:szCs w:val="28"/>
        </w:rPr>
      </w:pPr>
      <w:r>
        <w:rPr>
          <w:rFonts w:ascii="仿宋" w:hAnsi="仿宋" w:eastAsia="仿宋" w:cs="宋体"/>
          <w:b/>
          <w:bCs/>
          <w:sz w:val="32"/>
          <w:szCs w:val="28"/>
        </w:rPr>
        <w:t>申请人须知</w:t>
      </w:r>
    </w:p>
    <w:p>
      <w:pPr>
        <w:spacing w:line="360" w:lineRule="auto"/>
        <w:rPr>
          <w:rFonts w:ascii="仿宋" w:hAnsi="仿宋" w:eastAsia="仿宋" w:cs="宋体"/>
          <w:bCs/>
          <w:sz w:val="28"/>
          <w:szCs w:val="28"/>
        </w:rPr>
      </w:pPr>
      <w:r>
        <w:rPr>
          <w:rFonts w:hint="eastAsia" w:ascii="仿宋" w:hAnsi="仿宋" w:eastAsia="仿宋" w:cs="宋体"/>
          <w:bCs/>
          <w:sz w:val="28"/>
          <w:szCs w:val="28"/>
        </w:rPr>
        <w:t>1、遴选响应文件签署和盖章要求：遴选响应文件需打印或用不退色墨水书写，由申请人的法定代表人或其授权代表在遴选文件规定的地方签字，并进行逐页盖章或加盖骑缝章。</w:t>
      </w:r>
    </w:p>
    <w:p>
      <w:pPr>
        <w:spacing w:line="360" w:lineRule="auto"/>
        <w:rPr>
          <w:rFonts w:ascii="仿宋" w:hAnsi="仿宋" w:eastAsia="仿宋" w:cs="宋体"/>
          <w:b/>
          <w:bCs/>
          <w:sz w:val="28"/>
          <w:szCs w:val="28"/>
        </w:rPr>
      </w:pPr>
      <w:r>
        <w:rPr>
          <w:rFonts w:hint="eastAsia" w:ascii="仿宋" w:hAnsi="仿宋" w:eastAsia="仿宋" w:cs="宋体"/>
          <w:bCs/>
          <w:sz w:val="28"/>
          <w:szCs w:val="28"/>
        </w:rPr>
        <w:t>2、遴选小组对申请人的遴选响应文件进行商务审查，以确定其是否满足遴选文件的实质性要求，并形成商务审查结果。申请人有任何一项不符合《商务审查表》要求的，</w:t>
      </w:r>
      <w:r>
        <w:rPr>
          <w:rFonts w:hint="eastAsia" w:ascii="仿宋" w:hAnsi="仿宋" w:eastAsia="仿宋" w:cs="宋体"/>
          <w:b/>
          <w:bCs/>
          <w:sz w:val="28"/>
          <w:szCs w:val="28"/>
        </w:rPr>
        <w:t>遴选响应无效。</w:t>
      </w:r>
    </w:p>
    <w:p>
      <w:pPr>
        <w:spacing w:line="360" w:lineRule="auto"/>
        <w:jc w:val="center"/>
        <w:rPr>
          <w:rFonts w:ascii="仿宋" w:hAnsi="仿宋" w:eastAsia="仿宋" w:cs="宋体"/>
          <w:bCs/>
          <w:sz w:val="28"/>
          <w:szCs w:val="28"/>
        </w:rPr>
      </w:pPr>
      <w:r>
        <w:rPr>
          <w:rFonts w:hint="eastAsia" w:ascii="仿宋" w:hAnsi="仿宋" w:eastAsia="仿宋" w:cs="宋体"/>
          <w:bCs/>
          <w:sz w:val="28"/>
          <w:szCs w:val="28"/>
        </w:rPr>
        <w:t>商务审查表</w:t>
      </w:r>
    </w:p>
    <w:tbl>
      <w:tblPr>
        <w:tblStyle w:val="9"/>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4042"/>
        <w:gridCol w:w="3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7426"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宋体"/>
                <w:kern w:val="0"/>
                <w:sz w:val="28"/>
                <w:szCs w:val="28"/>
              </w:rPr>
              <w:t>审查内容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1</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遴选报价是否超过遴选文件规定预算金额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2</w:t>
            </w:r>
          </w:p>
        </w:tc>
        <w:tc>
          <w:tcPr>
            <w:tcW w:w="7426" w:type="dxa"/>
            <w:gridSpan w:val="2"/>
            <w:tcBorders>
              <w:top w:val="nil"/>
              <w:left w:val="single" w:color="000000" w:sz="4" w:space="0"/>
              <w:bottom w:val="single" w:color="000000"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遴选文件的签署、盖章是否合格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10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3</w:t>
            </w:r>
          </w:p>
        </w:tc>
        <w:tc>
          <w:tcPr>
            <w:tcW w:w="7426" w:type="dxa"/>
            <w:gridSpan w:val="2"/>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是否提供满足遴选文件中要求的申请人资格要求的承诺函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144" w:type="dxa"/>
            <w:gridSpan w:val="2"/>
            <w:tcBorders>
              <w:top w:val="single" w:color="auto" w:sz="4" w:space="0"/>
              <w:left w:val="single" w:color="auto" w:sz="4" w:space="0"/>
              <w:bottom w:val="single" w:color="auto" w:sz="4" w:space="0"/>
              <w:right w:val="nil"/>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结论</w:t>
            </w:r>
          </w:p>
        </w:tc>
        <w:tc>
          <w:tcPr>
            <w:tcW w:w="338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合格/不合格</w:t>
            </w:r>
          </w:p>
        </w:tc>
      </w:tr>
    </w:tbl>
    <w:p>
      <w:pPr>
        <w:spacing w:line="360" w:lineRule="auto"/>
        <w:rPr>
          <w:rFonts w:ascii="仿宋" w:hAnsi="仿宋" w:eastAsia="仿宋" w:cs="宋体"/>
          <w:bCs/>
          <w:sz w:val="28"/>
          <w:szCs w:val="28"/>
        </w:rPr>
      </w:pPr>
      <w:r>
        <w:rPr>
          <w:rFonts w:hint="eastAsia" w:ascii="仿宋" w:hAnsi="仿宋" w:eastAsia="仿宋" w:cs="宋体"/>
          <w:bCs/>
          <w:sz w:val="28"/>
          <w:szCs w:val="28"/>
        </w:rPr>
        <w:t>3、遴选响应文件有关事项的澄清或者说明：评审过程中，遴选小组会将以书面形式要求申请人对其遴选响应文件中含义不明确、同类问题表述不一致或者有明显文字和计算错误的内容，作出必要的澄清、说明或者补正。申请人的澄清、说明或者补正应当采用书面形式，并加盖公章，或者由法定代表人或其授权的代表签字。申请人的澄清、说明或者补正不得超出遴选文件的范围或者改变遴选文件的实质性内容。澄清文件将作为遴选文件内容的一部分。</w:t>
      </w:r>
    </w:p>
    <w:p>
      <w:pPr>
        <w:spacing w:line="360" w:lineRule="auto"/>
        <w:rPr>
          <w:rFonts w:ascii="仿宋" w:hAnsi="仿宋" w:eastAsia="仿宋" w:cs="宋体"/>
          <w:bCs/>
          <w:sz w:val="28"/>
          <w:szCs w:val="28"/>
        </w:rPr>
      </w:pPr>
      <w:r>
        <w:rPr>
          <w:rFonts w:hint="eastAsia" w:ascii="仿宋" w:hAnsi="仿宋" w:eastAsia="仿宋" w:cs="宋体"/>
          <w:bCs/>
          <w:sz w:val="28"/>
          <w:szCs w:val="28"/>
        </w:rPr>
        <w:t>4、本项目采用的评标方法为综合评分法。采用综合评分法时，评审结果按评审后得分由高到低顺序排列。得分相同的，按遴选响应报价由低到高顺序排列。得分且遴选响应报价相同的并列。遴选响应文件满足遴选文件全部实质性要求，且按照评审因素的量化指标评审得分最高的申请人为</w:t>
      </w:r>
      <w:r>
        <w:rPr>
          <w:rFonts w:hint="eastAsia" w:ascii="仿宋" w:hAnsi="仿宋" w:eastAsia="仿宋" w:cs="宋体"/>
          <w:b/>
          <w:bCs w:val="0"/>
          <w:sz w:val="28"/>
          <w:szCs w:val="28"/>
        </w:rPr>
        <w:t>排名第一的</w:t>
      </w:r>
      <w:r>
        <w:rPr>
          <w:rFonts w:hint="eastAsia" w:ascii="仿宋" w:hAnsi="仿宋" w:eastAsia="仿宋" w:cs="宋体"/>
          <w:b/>
          <w:bCs w:val="0"/>
          <w:color w:val="auto"/>
          <w:sz w:val="28"/>
          <w:szCs w:val="28"/>
        </w:rPr>
        <w:t>成交候选人</w:t>
      </w:r>
      <w:r>
        <w:rPr>
          <w:rFonts w:hint="eastAsia" w:ascii="仿宋" w:hAnsi="仿宋" w:eastAsia="仿宋" w:cs="宋体"/>
          <w:bCs/>
          <w:color w:val="auto"/>
          <w:sz w:val="28"/>
          <w:szCs w:val="28"/>
        </w:rPr>
        <w:t>。</w:t>
      </w:r>
      <w:r>
        <w:rPr>
          <w:rFonts w:hint="eastAsia" w:ascii="仿宋" w:hAnsi="仿宋" w:eastAsia="仿宋" w:cs="宋体"/>
          <w:b/>
          <w:bCs/>
          <w:color w:val="auto"/>
          <w:sz w:val="28"/>
          <w:szCs w:val="28"/>
        </w:rPr>
        <w:t>由</w:t>
      </w:r>
      <w:r>
        <w:rPr>
          <w:rFonts w:hint="eastAsia" w:ascii="仿宋" w:hAnsi="仿宋" w:eastAsia="仿宋" w:cs="宋体"/>
          <w:b/>
          <w:bCs/>
          <w:sz w:val="28"/>
          <w:szCs w:val="28"/>
        </w:rPr>
        <w:t>各业务处室最终决定成交申请人。</w:t>
      </w:r>
      <w:r>
        <w:rPr>
          <w:rFonts w:hint="eastAsia" w:ascii="仿宋" w:hAnsi="仿宋" w:eastAsia="仿宋" w:cs="宋体"/>
          <w:bCs/>
          <w:sz w:val="28"/>
          <w:szCs w:val="28"/>
        </w:rPr>
        <w:t>评分分值计算保留小数点后两位，第三位四舍五入。</w:t>
      </w:r>
    </w:p>
    <w:p>
      <w:pPr>
        <w:spacing w:line="360" w:lineRule="auto"/>
        <w:rPr>
          <w:rFonts w:ascii="仿宋" w:hAnsi="仿宋" w:eastAsia="仿宋" w:cs="宋体"/>
          <w:bCs/>
          <w:sz w:val="28"/>
          <w:szCs w:val="28"/>
        </w:rPr>
      </w:pPr>
      <w:r>
        <w:rPr>
          <w:rFonts w:hint="eastAsia" w:ascii="仿宋" w:hAnsi="仿宋" w:eastAsia="仿宋" w:cs="宋体"/>
          <w:bCs/>
          <w:sz w:val="28"/>
          <w:szCs w:val="28"/>
        </w:rPr>
        <w:t>5、成交供应商拒绝与采购人签订合同的，采购人可以按照评审报告推荐的成交候选人名单排序，确定下一候选人为成交供应商，也可以重新开展政府采购活动。</w:t>
      </w:r>
    </w:p>
    <w:p>
      <w:pPr>
        <w:widowControl/>
        <w:jc w:val="left"/>
        <w:rPr>
          <w:rFonts w:ascii="仿宋" w:hAnsi="仿宋" w:eastAsia="仿宋" w:cs="宋体"/>
          <w:bCs/>
          <w:sz w:val="28"/>
          <w:szCs w:val="28"/>
        </w:rPr>
      </w:pPr>
      <w:r>
        <w:rPr>
          <w:rFonts w:ascii="仿宋" w:hAnsi="仿宋" w:eastAsia="仿宋" w:cs="宋体"/>
          <w:bCs/>
          <w:sz w:val="28"/>
          <w:szCs w:val="28"/>
        </w:rPr>
        <w:br w:type="page"/>
      </w:r>
    </w:p>
    <w:p>
      <w:pPr>
        <w:ind w:firstLine="960" w:firstLineChars="300"/>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2024年北京市营养创新平台建设项目评分标准</w:t>
      </w:r>
    </w:p>
    <w:tbl>
      <w:tblPr>
        <w:tblStyle w:val="9"/>
        <w:tblpPr w:leftFromText="180" w:rightFromText="180" w:vertAnchor="page" w:horzAnchor="page" w:tblpXSpec="center" w:tblpY="3048"/>
        <w:tblOverlap w:val="never"/>
        <w:tblW w:w="100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2126"/>
        <w:gridCol w:w="831"/>
        <w:gridCol w:w="5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tcBorders>
              <w:top w:val="single" w:color="000000" w:sz="8" w:space="0"/>
              <w:left w:val="single" w:color="000000" w:sz="8" w:space="0"/>
              <w:bottom w:val="single" w:color="000000" w:sz="4" w:space="0"/>
              <w:right w:val="single" w:color="000000" w:sz="8" w:space="0"/>
            </w:tcBorders>
            <w:shd w:val="clear" w:color="auto" w:fill="FFFFFF"/>
            <w:noWrap w:val="0"/>
            <w:vAlign w:val="center"/>
          </w:tcPr>
          <w:p>
            <w:pPr>
              <w:spacing w:before="100" w:after="100"/>
              <w:jc w:val="both"/>
              <w:rPr>
                <w:rFonts w:hint="eastAsia" w:ascii="宋体" w:hAnsi="宋体" w:eastAsia="宋体" w:cs="宋体"/>
                <w:b/>
                <w:sz w:val="21"/>
                <w:szCs w:val="21"/>
              </w:rPr>
            </w:pPr>
            <w:r>
              <w:rPr>
                <w:rFonts w:hint="eastAsia" w:ascii="宋体" w:hAnsi="宋体" w:eastAsia="宋体" w:cs="Times New Roman"/>
                <w:b/>
                <w:sz w:val="21"/>
                <w:szCs w:val="21"/>
              </w:rPr>
              <w:t>内容</w:t>
            </w:r>
          </w:p>
        </w:tc>
        <w:tc>
          <w:tcPr>
            <w:tcW w:w="2126" w:type="dxa"/>
            <w:tcBorders>
              <w:top w:val="single" w:color="000000" w:sz="8" w:space="0"/>
              <w:left w:val="nil"/>
              <w:bottom w:val="single" w:color="000000" w:sz="4" w:space="0"/>
              <w:right w:val="single" w:color="000000" w:sz="8" w:space="0"/>
            </w:tcBorders>
            <w:shd w:val="clear" w:color="auto" w:fill="FFFFFF"/>
            <w:noWrap w:val="0"/>
            <w:vAlign w:val="center"/>
          </w:tcPr>
          <w:p>
            <w:pPr>
              <w:spacing w:before="100" w:after="100"/>
              <w:jc w:val="center"/>
              <w:rPr>
                <w:rFonts w:ascii="宋体" w:hAnsi="宋体" w:eastAsia="宋体" w:cs="宋体"/>
                <w:b/>
                <w:sz w:val="21"/>
                <w:szCs w:val="21"/>
              </w:rPr>
            </w:pPr>
            <w:r>
              <w:rPr>
                <w:rFonts w:hint="eastAsia" w:ascii="宋体" w:hAnsi="宋体" w:eastAsia="宋体" w:cs="Times New Roman"/>
                <w:b/>
                <w:sz w:val="21"/>
                <w:szCs w:val="21"/>
              </w:rPr>
              <w:t>评分内容</w:t>
            </w:r>
          </w:p>
        </w:tc>
        <w:tc>
          <w:tcPr>
            <w:tcW w:w="831" w:type="dxa"/>
            <w:tcBorders>
              <w:top w:val="single" w:color="000000" w:sz="8" w:space="0"/>
              <w:left w:val="nil"/>
              <w:bottom w:val="single" w:color="000000" w:sz="4" w:space="0"/>
              <w:right w:val="single" w:color="000000" w:sz="8" w:space="0"/>
            </w:tcBorders>
            <w:shd w:val="clear" w:color="auto" w:fill="FFFFFF"/>
            <w:noWrap w:val="0"/>
            <w:vAlign w:val="center"/>
          </w:tcPr>
          <w:p>
            <w:pPr>
              <w:spacing w:before="100" w:after="100"/>
              <w:jc w:val="center"/>
              <w:rPr>
                <w:rFonts w:ascii="宋体" w:hAnsi="宋体" w:eastAsia="宋体" w:cs="宋体"/>
                <w:b/>
                <w:sz w:val="21"/>
                <w:szCs w:val="21"/>
              </w:rPr>
            </w:pPr>
            <w:r>
              <w:rPr>
                <w:rFonts w:hint="eastAsia" w:ascii="宋体" w:hAnsi="宋体" w:eastAsia="宋体" w:cs="Times New Roman"/>
                <w:b/>
                <w:sz w:val="21"/>
                <w:szCs w:val="21"/>
              </w:rPr>
              <w:t>分值</w:t>
            </w:r>
          </w:p>
        </w:tc>
        <w:tc>
          <w:tcPr>
            <w:tcW w:w="5948" w:type="dxa"/>
            <w:tcBorders>
              <w:top w:val="single" w:color="000000" w:sz="8" w:space="0"/>
              <w:left w:val="single" w:color="000000" w:sz="2" w:space="0"/>
              <w:bottom w:val="single" w:color="000000" w:sz="4" w:space="0"/>
              <w:right w:val="single" w:color="000000" w:sz="8" w:space="0"/>
            </w:tcBorders>
            <w:shd w:val="clear" w:color="auto" w:fill="FFFFFF"/>
            <w:noWrap w:val="0"/>
            <w:vAlign w:val="center"/>
          </w:tcPr>
          <w:p>
            <w:pPr>
              <w:spacing w:before="100" w:after="100"/>
              <w:jc w:val="center"/>
              <w:rPr>
                <w:rFonts w:ascii="宋体" w:hAnsi="宋体" w:eastAsia="宋体" w:cs="宋体"/>
                <w:b/>
                <w:sz w:val="21"/>
                <w:szCs w:val="21"/>
              </w:rPr>
            </w:pPr>
            <w:r>
              <w:rPr>
                <w:rFonts w:hint="eastAsia" w:ascii="宋体" w:hAnsi="宋体" w:eastAsia="宋体" w:cs="Times New Roman"/>
                <w:b/>
                <w:sz w:val="21"/>
                <w:szCs w:val="21"/>
              </w:rPr>
              <w:t>评标标准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jc w:val="center"/>
        </w:trPr>
        <w:tc>
          <w:tcPr>
            <w:tcW w:w="1188" w:type="dxa"/>
            <w:vMerge w:val="restart"/>
            <w:tcBorders>
              <w:top w:val="single" w:color="000000" w:sz="8" w:space="0"/>
              <w:left w:val="single" w:color="000000" w:sz="8" w:space="0"/>
              <w:right w:val="single" w:color="000000" w:sz="8" w:space="0"/>
            </w:tcBorders>
            <w:shd w:val="clear" w:color="auto" w:fill="FFFFFF"/>
            <w:noWrap w:val="0"/>
            <w:vAlign w:val="center"/>
          </w:tcPr>
          <w:p>
            <w:pPr>
              <w:spacing w:before="100" w:after="100"/>
              <w:jc w:val="center"/>
              <w:rPr>
                <w:rFonts w:hint="eastAsia" w:ascii="仿宋_GB2312" w:hAnsi="宋体" w:eastAsia="仿宋_GB2312" w:cs="宋体"/>
                <w:sz w:val="21"/>
                <w:szCs w:val="21"/>
                <w:lang w:eastAsia="zh-CN"/>
              </w:rPr>
            </w:pPr>
            <w:r>
              <w:rPr>
                <w:rFonts w:hint="eastAsia" w:ascii="仿宋_GB2312" w:hAnsi="宋体" w:eastAsia="仿宋_GB2312" w:cs="Times New Roman"/>
                <w:sz w:val="21"/>
                <w:szCs w:val="21"/>
              </w:rPr>
              <w:t>商务部分</w:t>
            </w:r>
            <w:r>
              <w:rPr>
                <w:rFonts w:hint="eastAsia" w:ascii="仿宋_GB2312" w:hAnsi="宋体" w:eastAsia="仿宋_GB2312" w:cs="Times New Roman"/>
                <w:sz w:val="21"/>
                <w:szCs w:val="21"/>
                <w:lang w:eastAsia="zh-CN"/>
              </w:rPr>
              <w:t>（</w:t>
            </w:r>
            <w:r>
              <w:rPr>
                <w:rFonts w:hint="eastAsia" w:ascii="仿宋_GB2312" w:hAnsi="宋体" w:eastAsia="仿宋_GB2312" w:cs="Times New Roman"/>
                <w:sz w:val="21"/>
                <w:szCs w:val="21"/>
                <w:lang w:val="en-US" w:eastAsia="zh-CN"/>
              </w:rPr>
              <w:t>45分</w:t>
            </w:r>
            <w:r>
              <w:rPr>
                <w:rFonts w:hint="eastAsia" w:ascii="仿宋_GB2312" w:hAnsi="宋体" w:eastAsia="仿宋_GB2312" w:cs="Times New Roman"/>
                <w:sz w:val="21"/>
                <w:szCs w:val="21"/>
                <w:lang w:eastAsia="zh-CN"/>
              </w:rPr>
              <w:t>）</w:t>
            </w:r>
          </w:p>
        </w:tc>
        <w:tc>
          <w:tcPr>
            <w:tcW w:w="2126" w:type="dxa"/>
            <w:tcBorders>
              <w:top w:val="single" w:color="000000" w:sz="8"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宋体" w:eastAsia="仿宋_GB2312" w:cs="宋体"/>
                <w:kern w:val="0"/>
                <w:sz w:val="21"/>
                <w:szCs w:val="21"/>
                <w:lang w:eastAsia="zh-CN"/>
              </w:rPr>
            </w:pPr>
            <w:r>
              <w:rPr>
                <w:rFonts w:hint="eastAsia" w:ascii="仿宋_GB2312" w:hAnsi="宋体" w:eastAsia="仿宋_GB2312" w:cs="宋体"/>
                <w:kern w:val="0"/>
                <w:sz w:val="21"/>
                <w:szCs w:val="21"/>
                <w:lang w:eastAsia="zh-CN"/>
              </w:rPr>
              <w:t>承担国家行政机关相关项目</w:t>
            </w:r>
          </w:p>
        </w:tc>
        <w:tc>
          <w:tcPr>
            <w:tcW w:w="831" w:type="dxa"/>
            <w:tcBorders>
              <w:top w:val="single" w:color="000000" w:sz="8" w:space="0"/>
              <w:left w:val="nil"/>
              <w:bottom w:val="single" w:color="000000" w:sz="4" w:space="0"/>
              <w:right w:val="single" w:color="000000" w:sz="8" w:space="0"/>
            </w:tcBorders>
            <w:shd w:val="clear" w:color="auto" w:fill="FFFFFF"/>
            <w:noWrap w:val="0"/>
            <w:vAlign w:val="center"/>
          </w:tcPr>
          <w:p>
            <w:pPr>
              <w:spacing w:before="100" w:after="1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5948" w:type="dxa"/>
            <w:tcBorders>
              <w:top w:val="single" w:color="000000" w:sz="8" w:space="0"/>
              <w:left w:val="single" w:color="000000" w:sz="2" w:space="0"/>
              <w:bottom w:val="single" w:color="000000" w:sz="4" w:space="0"/>
              <w:right w:val="single" w:color="000000" w:sz="8" w:space="0"/>
            </w:tcBorders>
            <w:shd w:val="clear" w:color="auto" w:fill="FFFFFF"/>
            <w:noWrap w:val="0"/>
            <w:vAlign w:val="center"/>
          </w:tcPr>
          <w:p>
            <w:pPr>
              <w:rPr>
                <w:rFonts w:hint="eastAsia" w:ascii="Calibri" w:hAnsi="Calibri" w:eastAsia="宋体" w:cs="Times New Roman"/>
                <w:kern w:val="0"/>
                <w:sz w:val="20"/>
                <w:szCs w:val="24"/>
                <w:lang w:val="en-US" w:eastAsia="zh-CN" w:bidi="ar-SA"/>
              </w:rPr>
            </w:pPr>
            <w:r>
              <w:rPr>
                <w:rFonts w:hint="eastAsia" w:ascii="仿宋_GB2312" w:hAnsi="仿宋_GB2312" w:eastAsia="仿宋_GB2312" w:cs="仿宋_GB2312"/>
                <w:kern w:val="0"/>
                <w:sz w:val="21"/>
                <w:szCs w:val="21"/>
              </w:rPr>
              <w:t>根据</w:t>
            </w:r>
            <w:r>
              <w:rPr>
                <w:rFonts w:hint="eastAsia" w:ascii="仿宋_GB2312" w:hAnsi="仿宋_GB2312" w:eastAsia="仿宋_GB2312" w:cs="仿宋_GB2312"/>
                <w:kern w:val="0"/>
                <w:sz w:val="21"/>
                <w:szCs w:val="21"/>
                <w:lang w:eastAsia="zh-CN"/>
              </w:rPr>
              <w:t>供应商</w:t>
            </w:r>
            <w:r>
              <w:rPr>
                <w:rFonts w:hint="eastAsia" w:ascii="仿宋_GB2312" w:hAnsi="仿宋_GB2312" w:eastAsia="仿宋_GB2312" w:cs="仿宋_GB2312"/>
                <w:kern w:val="0"/>
                <w:sz w:val="21"/>
                <w:szCs w:val="21"/>
              </w:rPr>
              <w:t>近</w:t>
            </w:r>
            <w:r>
              <w:rPr>
                <w:rFonts w:hint="eastAsia" w:ascii="仿宋_GB2312" w:hAnsi="仿宋_GB2312" w:eastAsia="仿宋_GB2312" w:cs="仿宋_GB2312"/>
                <w:kern w:val="0"/>
                <w:sz w:val="21"/>
                <w:szCs w:val="21"/>
                <w:lang w:eastAsia="zh-CN"/>
              </w:rPr>
              <w:t>五</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lang w:eastAsia="zh-CN"/>
              </w:rPr>
              <w:t>2019</w:t>
            </w:r>
            <w:r>
              <w:rPr>
                <w:rFonts w:hint="eastAsia" w:ascii="仿宋_GB2312" w:hAnsi="仿宋_GB2312" w:eastAsia="仿宋_GB2312" w:cs="仿宋_GB2312"/>
                <w:kern w:val="0"/>
                <w:sz w:val="21"/>
                <w:szCs w:val="21"/>
              </w:rPr>
              <w:t>年起至本</w:t>
            </w:r>
            <w:r>
              <w:rPr>
                <w:rFonts w:hint="eastAsia" w:ascii="仿宋_GB2312" w:hAnsi="仿宋_GB2312" w:eastAsia="仿宋_GB2312" w:cs="仿宋_GB2312"/>
                <w:kern w:val="0"/>
                <w:sz w:val="21"/>
                <w:szCs w:val="21"/>
                <w:lang w:eastAsia="zh-CN"/>
              </w:rPr>
              <w:t>遴选</w:t>
            </w:r>
            <w:r>
              <w:rPr>
                <w:rFonts w:hint="eastAsia" w:ascii="仿宋_GB2312" w:hAnsi="仿宋_GB2312" w:eastAsia="仿宋_GB2312" w:cs="仿宋_GB2312"/>
                <w:kern w:val="0"/>
                <w:sz w:val="21"/>
                <w:szCs w:val="21"/>
              </w:rPr>
              <w:t>公告发布前，以合同签订日期为准）承担</w:t>
            </w:r>
            <w:r>
              <w:rPr>
                <w:rFonts w:hint="eastAsia" w:ascii="仿宋_GB2312" w:hAnsi="仿宋_GB2312" w:eastAsia="仿宋_GB2312" w:cs="仿宋_GB2312"/>
                <w:kern w:val="0"/>
                <w:sz w:val="21"/>
                <w:szCs w:val="21"/>
                <w:lang w:eastAsia="zh-CN"/>
              </w:rPr>
              <w:t>国家行政机关食品相关领域的</w:t>
            </w:r>
            <w:r>
              <w:rPr>
                <w:rFonts w:hint="eastAsia" w:ascii="仿宋_GB2312" w:hAnsi="仿宋_GB2312" w:eastAsia="仿宋_GB2312" w:cs="仿宋_GB2312"/>
                <w:kern w:val="0"/>
                <w:sz w:val="21"/>
                <w:szCs w:val="21"/>
              </w:rPr>
              <w:t>项目业绩进行评价</w:t>
            </w:r>
            <w:r>
              <w:rPr>
                <w:rFonts w:hint="eastAsia" w:ascii="仿宋_GB2312" w:hAnsi="仿宋_GB2312" w:eastAsia="仿宋_GB2312" w:cs="仿宋_GB2312"/>
                <w:kern w:val="0"/>
                <w:sz w:val="21"/>
                <w:szCs w:val="21"/>
                <w:lang w:eastAsia="zh-CN"/>
              </w:rPr>
              <w:t>。</w:t>
            </w:r>
          </w:p>
          <w:p>
            <w:pP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每承接1个</w:t>
            </w:r>
            <w:r>
              <w:rPr>
                <w:rFonts w:hint="eastAsia" w:ascii="仿宋_GB2312" w:hAnsi="仿宋_GB2312" w:eastAsia="仿宋_GB2312" w:cs="仿宋_GB2312"/>
                <w:kern w:val="0"/>
                <w:sz w:val="21"/>
                <w:szCs w:val="21"/>
                <w:lang w:eastAsia="zh-CN"/>
              </w:rPr>
              <w:t>类似规模的项目业绩得</w:t>
            </w:r>
            <w:r>
              <w:rPr>
                <w:rFonts w:hint="eastAsia" w:ascii="仿宋_GB2312" w:hAnsi="仿宋_GB2312" w:eastAsia="仿宋_GB2312" w:cs="仿宋_GB2312"/>
                <w:kern w:val="0"/>
                <w:sz w:val="21"/>
                <w:szCs w:val="21"/>
                <w:lang w:val="en-US" w:eastAsia="zh-CN"/>
              </w:rPr>
              <w:t>5分，</w:t>
            </w:r>
            <w:r>
              <w:rPr>
                <w:rFonts w:hint="eastAsia" w:ascii="仿宋_GB2312" w:hAnsi="仿宋_GB2312" w:eastAsia="仿宋_GB2312" w:cs="仿宋_GB2312"/>
                <w:kern w:val="0"/>
                <w:sz w:val="21"/>
                <w:szCs w:val="21"/>
                <w:lang w:eastAsia="zh-CN"/>
              </w:rPr>
              <w:t>最多得</w:t>
            </w:r>
            <w:r>
              <w:rPr>
                <w:rFonts w:hint="eastAsia" w:ascii="仿宋_GB2312" w:hAnsi="仿宋_GB2312" w:eastAsia="仿宋_GB2312" w:cs="仿宋_GB2312"/>
                <w:kern w:val="0"/>
                <w:sz w:val="21"/>
                <w:szCs w:val="21"/>
              </w:rPr>
              <w:t>10分。注：</w:t>
            </w:r>
            <w:r>
              <w:rPr>
                <w:rFonts w:hint="eastAsia" w:ascii="仿宋_GB2312" w:hAnsi="仿宋_GB2312" w:eastAsia="仿宋_GB2312" w:cs="仿宋_GB2312"/>
                <w:kern w:val="0"/>
                <w:sz w:val="21"/>
                <w:szCs w:val="21"/>
                <w:lang w:eastAsia="zh-CN"/>
              </w:rPr>
              <w:t>供应商</w:t>
            </w:r>
            <w:r>
              <w:rPr>
                <w:rFonts w:hint="eastAsia" w:ascii="仿宋_GB2312" w:hAnsi="仿宋_GB2312" w:eastAsia="仿宋_GB2312" w:cs="仿宋_GB2312"/>
                <w:kern w:val="0"/>
                <w:sz w:val="21"/>
                <w:szCs w:val="21"/>
              </w:rPr>
              <w:t>需提供项目合同复印件（至少应包括合同首页、内容页、签字盖章页）作为证明业绩证明材料，如未提供业绩证明材料或提供的材料不齐全的，业绩将不予认可</w:t>
            </w:r>
            <w:r>
              <w:rPr>
                <w:rFonts w:hint="eastAsia" w:ascii="仿宋_GB2312" w:hAnsi="仿宋_GB2312" w:eastAsia="仿宋_GB2312" w:cs="仿宋_GB2312"/>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left w:val="single" w:color="000000" w:sz="8" w:space="0"/>
              <w:right w:val="single" w:color="000000" w:sz="8" w:space="0"/>
            </w:tcBorders>
            <w:shd w:val="clear" w:color="auto" w:fill="FFFFFF"/>
            <w:noWrap w:val="0"/>
            <w:vAlign w:val="center"/>
          </w:tcPr>
          <w:p>
            <w:pPr>
              <w:spacing w:before="100" w:after="100"/>
              <w:jc w:val="center"/>
              <w:rPr>
                <w:rFonts w:hint="eastAsia" w:ascii="仿宋_GB2312" w:hAnsi="宋体" w:eastAsia="仿宋_GB2312" w:cs="宋体"/>
                <w:sz w:val="21"/>
                <w:szCs w:val="21"/>
                <w:lang w:eastAsia="zh-CN"/>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承担类似项目业绩</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 w:val="21"/>
                <w:szCs w:val="21"/>
              </w:rPr>
              <w:t>根据</w:t>
            </w:r>
            <w:r>
              <w:rPr>
                <w:rFonts w:hint="eastAsia" w:ascii="仿宋_GB2312" w:hAnsi="仿宋_GB2312" w:eastAsia="仿宋_GB2312" w:cs="仿宋_GB2312"/>
                <w:kern w:val="0"/>
                <w:sz w:val="21"/>
                <w:szCs w:val="21"/>
                <w:lang w:eastAsia="zh-CN"/>
              </w:rPr>
              <w:t>供应商</w:t>
            </w:r>
            <w:r>
              <w:rPr>
                <w:rFonts w:hint="eastAsia" w:ascii="仿宋_GB2312" w:hAnsi="仿宋_GB2312" w:eastAsia="仿宋_GB2312" w:cs="仿宋_GB2312"/>
                <w:kern w:val="0"/>
                <w:sz w:val="21"/>
                <w:szCs w:val="21"/>
              </w:rPr>
              <w:t>近</w:t>
            </w:r>
            <w:r>
              <w:rPr>
                <w:rFonts w:hint="eastAsia" w:ascii="仿宋_GB2312" w:hAnsi="仿宋_GB2312" w:eastAsia="仿宋_GB2312" w:cs="仿宋_GB2312"/>
                <w:kern w:val="0"/>
                <w:sz w:val="21"/>
                <w:szCs w:val="21"/>
                <w:lang w:eastAsia="zh-CN"/>
              </w:rPr>
              <w:t>五</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lang w:eastAsia="zh-CN"/>
              </w:rPr>
              <w:t>2019</w:t>
            </w:r>
            <w:r>
              <w:rPr>
                <w:rFonts w:hint="eastAsia" w:ascii="仿宋_GB2312" w:hAnsi="仿宋_GB2312" w:eastAsia="仿宋_GB2312" w:cs="仿宋_GB2312"/>
                <w:kern w:val="0"/>
                <w:sz w:val="21"/>
                <w:szCs w:val="21"/>
              </w:rPr>
              <w:t>年起至本</w:t>
            </w:r>
            <w:r>
              <w:rPr>
                <w:rFonts w:hint="eastAsia" w:ascii="仿宋_GB2312" w:hAnsi="仿宋_GB2312" w:eastAsia="仿宋_GB2312" w:cs="仿宋_GB2312"/>
                <w:kern w:val="0"/>
                <w:sz w:val="21"/>
                <w:szCs w:val="21"/>
                <w:lang w:eastAsia="zh-CN"/>
              </w:rPr>
              <w:t>遴选</w:t>
            </w:r>
            <w:r>
              <w:rPr>
                <w:rFonts w:hint="eastAsia" w:ascii="仿宋_GB2312" w:hAnsi="仿宋_GB2312" w:eastAsia="仿宋_GB2312" w:cs="仿宋_GB2312"/>
                <w:kern w:val="0"/>
                <w:sz w:val="21"/>
                <w:szCs w:val="21"/>
              </w:rPr>
              <w:t>公告发布前，以合同签订日期为准）承担与本项目类似的</w:t>
            </w:r>
            <w:r>
              <w:rPr>
                <w:rFonts w:hint="eastAsia" w:ascii="仿宋_GB2312" w:hAnsi="仿宋_GB2312" w:eastAsia="仿宋_GB2312" w:cs="仿宋_GB2312"/>
                <w:kern w:val="0"/>
                <w:sz w:val="21"/>
                <w:szCs w:val="21"/>
                <w:lang w:eastAsia="zh-CN"/>
              </w:rPr>
              <w:t>食品相关领域</w:t>
            </w:r>
            <w:r>
              <w:rPr>
                <w:rFonts w:hint="eastAsia" w:ascii="仿宋_GB2312" w:hAnsi="仿宋_GB2312" w:eastAsia="仿宋_GB2312" w:cs="仿宋_GB2312"/>
                <w:kern w:val="0"/>
                <w:sz w:val="21"/>
                <w:szCs w:val="21"/>
              </w:rPr>
              <w:t>项目</w:t>
            </w:r>
            <w:r>
              <w:rPr>
                <w:rFonts w:hint="eastAsia" w:ascii="仿宋_GB2312" w:hAnsi="仿宋_GB2312" w:eastAsia="仿宋_GB2312" w:cs="仿宋_GB2312"/>
                <w:sz w:val="21"/>
                <w:szCs w:val="21"/>
              </w:rPr>
              <w:t>业绩进行评价</w:t>
            </w:r>
            <w:r>
              <w:rPr>
                <w:rFonts w:hint="eastAsia" w:ascii="仿宋_GB2312" w:hAnsi="仿宋_GB2312" w:eastAsia="仿宋_GB2312" w:cs="仿宋_GB2312"/>
                <w:sz w:val="21"/>
                <w:szCs w:val="21"/>
                <w:lang w:eastAsia="zh-CN"/>
              </w:rPr>
              <w:t>。</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每承接1个</w:t>
            </w:r>
            <w:r>
              <w:rPr>
                <w:rFonts w:hint="eastAsia" w:ascii="仿宋_GB2312" w:hAnsi="仿宋_GB2312" w:eastAsia="仿宋_GB2312" w:cs="仿宋_GB2312"/>
                <w:sz w:val="21"/>
                <w:szCs w:val="21"/>
                <w:lang w:eastAsia="zh-CN"/>
              </w:rPr>
              <w:t>类似规模的项目业绩得</w:t>
            </w:r>
            <w:r>
              <w:rPr>
                <w:rFonts w:hint="eastAsia" w:ascii="仿宋_GB2312" w:hAnsi="仿宋_GB2312" w:eastAsia="仿宋_GB2312" w:cs="仿宋_GB2312"/>
                <w:sz w:val="21"/>
                <w:szCs w:val="21"/>
                <w:lang w:val="en-US" w:eastAsia="zh-CN"/>
              </w:rPr>
              <w:t>2分，</w:t>
            </w:r>
            <w:r>
              <w:rPr>
                <w:rFonts w:hint="eastAsia" w:ascii="仿宋_GB2312" w:hAnsi="仿宋_GB2312" w:eastAsia="仿宋_GB2312" w:cs="仿宋_GB2312"/>
                <w:sz w:val="21"/>
                <w:szCs w:val="21"/>
                <w:lang w:eastAsia="zh-CN"/>
              </w:rPr>
              <w:t>最多得</w:t>
            </w:r>
            <w:r>
              <w:rPr>
                <w:rFonts w:hint="eastAsia" w:ascii="仿宋_GB2312" w:hAnsi="仿宋_GB2312" w:eastAsia="仿宋_GB2312" w:cs="仿宋_GB2312"/>
                <w:sz w:val="21"/>
                <w:szCs w:val="21"/>
              </w:rPr>
              <w:t>10分。</w:t>
            </w:r>
            <w:r>
              <w:rPr>
                <w:rFonts w:hint="eastAsia" w:ascii="仿宋_GB2312" w:hAnsi="仿宋_GB2312" w:eastAsia="仿宋_GB2312" w:cs="仿宋_GB2312"/>
                <w:kern w:val="0"/>
                <w:sz w:val="21"/>
                <w:szCs w:val="21"/>
              </w:rPr>
              <w:t>注：</w:t>
            </w:r>
            <w:r>
              <w:rPr>
                <w:rFonts w:hint="eastAsia" w:ascii="仿宋_GB2312" w:hAnsi="仿宋_GB2312" w:eastAsia="仿宋_GB2312" w:cs="仿宋_GB2312"/>
                <w:kern w:val="0"/>
                <w:sz w:val="21"/>
                <w:szCs w:val="21"/>
                <w:lang w:eastAsia="zh-CN"/>
              </w:rPr>
              <w:t>供应商</w:t>
            </w:r>
            <w:r>
              <w:rPr>
                <w:rFonts w:hint="eastAsia" w:ascii="仿宋_GB2312" w:hAnsi="仿宋_GB2312" w:eastAsia="仿宋_GB2312" w:cs="仿宋_GB2312"/>
                <w:kern w:val="0"/>
                <w:sz w:val="21"/>
                <w:szCs w:val="21"/>
              </w:rPr>
              <w:t>需提供项目合同复印件（至少应包括合同首页、内容页、签字盖章页）作为证明业绩证明材料，如未提供业绩证明材料或提供的材料不齐全的，业绩将不予认可</w:t>
            </w:r>
            <w:r>
              <w:rPr>
                <w:rFonts w:hint="eastAsia" w:ascii="仿宋_GB2312" w:hAnsi="仿宋_GB2312" w:eastAsia="仿宋_GB2312" w:cs="仿宋_GB2312"/>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left w:val="single" w:color="000000" w:sz="8" w:space="0"/>
              <w:right w:val="single" w:color="000000" w:sz="8" w:space="0"/>
            </w:tcBorders>
            <w:shd w:val="clear" w:color="auto" w:fill="auto"/>
            <w:noWrap w:val="0"/>
            <w:vAlign w:val="center"/>
          </w:tcPr>
          <w:p>
            <w:pPr>
              <w:widowControl/>
              <w:jc w:val="left"/>
              <w:rPr>
                <w:rFonts w:hint="eastAsia" w:ascii="仿宋_GB2312" w:hAnsi="宋体" w:eastAsia="仿宋_GB2312" w:cs="宋体"/>
                <w:sz w:val="21"/>
                <w:szCs w:val="21"/>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lang w:eastAsia="zh-CN"/>
              </w:rPr>
              <w:t>专业水平</w:t>
            </w:r>
            <w:r>
              <w:rPr>
                <w:rFonts w:hint="eastAsia" w:ascii="仿宋_GB2312" w:hAnsi="宋体" w:eastAsia="仿宋_GB2312" w:cs="Times New Roman"/>
                <w:sz w:val="21"/>
                <w:szCs w:val="21"/>
              </w:rPr>
              <w:t>评价</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w:t>
            </w:r>
            <w:r>
              <w:rPr>
                <w:rFonts w:hint="eastAsia" w:ascii="仿宋_GB2312" w:hAnsi="仿宋_GB2312" w:eastAsia="仿宋_GB2312" w:cs="仿宋_GB2312"/>
                <w:sz w:val="21"/>
                <w:szCs w:val="21"/>
                <w:lang w:eastAsia="zh-CN"/>
              </w:rPr>
              <w:t>供应商专业水平</w:t>
            </w:r>
            <w:r>
              <w:rPr>
                <w:rFonts w:hint="eastAsia" w:ascii="仿宋_GB2312" w:hAnsi="仿宋_GB2312" w:eastAsia="仿宋_GB2312" w:cs="仿宋_GB2312"/>
                <w:sz w:val="21"/>
                <w:szCs w:val="21"/>
              </w:rPr>
              <w:t>情况进行评价，</w:t>
            </w:r>
            <w:r>
              <w:rPr>
                <w:rFonts w:hint="eastAsia" w:ascii="仿宋_GB2312" w:hAnsi="仿宋_GB2312" w:eastAsia="仿宋_GB2312" w:cs="仿宋_GB2312"/>
                <w:sz w:val="21"/>
                <w:szCs w:val="21"/>
                <w:lang w:eastAsia="zh-CN"/>
              </w:rPr>
              <w:t>需提供团队及人员名单等。</w:t>
            </w:r>
            <w:r>
              <w:rPr>
                <w:rFonts w:hint="eastAsia" w:ascii="仿宋_GB2312" w:hAnsi="仿宋_GB2312" w:eastAsia="仿宋_GB2312" w:cs="仿宋_GB2312"/>
                <w:sz w:val="21"/>
                <w:szCs w:val="21"/>
              </w:rPr>
              <w:t>其中：</w:t>
            </w:r>
            <w:bookmarkStart w:id="0" w:name="_GoBack"/>
            <w:bookmarkEnd w:id="0"/>
          </w:p>
          <w:p>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1.团队能够覆盖营养创新相关领域，实现区域营养创新平台工作目标</w:t>
            </w:r>
            <w:r>
              <w:rPr>
                <w:rFonts w:hint="eastAsia" w:ascii="仿宋_GB2312" w:hAnsi="仿宋_GB2312" w:eastAsia="仿宋_GB2312" w:cs="仿宋_GB2312"/>
                <w:sz w:val="21"/>
                <w:szCs w:val="21"/>
                <w:highlight w:val="none"/>
              </w:rPr>
              <w:t>：</w:t>
            </w:r>
            <w:r>
              <w:rPr>
                <w:rFonts w:hint="eastAsia" w:ascii="仿宋_GB2312" w:hAnsi="仿宋_GB2312" w:eastAsia="仿宋_GB2312" w:cs="仿宋_GB2312"/>
                <w:sz w:val="21"/>
                <w:szCs w:val="21"/>
                <w:highlight w:val="none"/>
                <w:lang w:val="en-US" w:eastAsia="zh-CN"/>
              </w:rPr>
              <w:t>12</w:t>
            </w:r>
            <w:r>
              <w:rPr>
                <w:rFonts w:hint="eastAsia" w:ascii="仿宋_GB2312" w:hAnsi="仿宋_GB2312" w:eastAsia="仿宋_GB2312" w:cs="仿宋_GB2312"/>
                <w:sz w:val="21"/>
                <w:szCs w:val="21"/>
                <w:highlight w:val="none"/>
              </w:rPr>
              <w:t>分；</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highlight w:val="none"/>
                <w:lang w:val="en-US" w:eastAsia="zh-CN"/>
              </w:rPr>
              <w:t>2.</w:t>
            </w:r>
            <w:r>
              <w:rPr>
                <w:rFonts w:hint="eastAsia" w:ascii="仿宋_GB2312" w:hAnsi="仿宋_GB2312" w:eastAsia="仿宋_GB2312" w:cs="仿宋_GB2312"/>
                <w:sz w:val="21"/>
                <w:szCs w:val="21"/>
                <w:highlight w:val="none"/>
                <w:lang w:eastAsia="zh-CN"/>
              </w:rPr>
              <w:t>供应商食品</w:t>
            </w:r>
            <w:r>
              <w:rPr>
                <w:rFonts w:hint="eastAsia" w:ascii="仿宋_GB2312" w:hAnsi="仿宋_GB2312" w:eastAsia="仿宋_GB2312" w:cs="仿宋_GB2312"/>
                <w:sz w:val="21"/>
                <w:szCs w:val="21"/>
                <w:highlight w:val="none"/>
              </w:rPr>
              <w:t>专业</w:t>
            </w:r>
            <w:r>
              <w:rPr>
                <w:rFonts w:hint="eastAsia" w:ascii="仿宋_GB2312" w:hAnsi="仿宋_GB2312" w:eastAsia="仿宋_GB2312" w:cs="仿宋_GB2312"/>
                <w:sz w:val="21"/>
                <w:szCs w:val="21"/>
                <w:highlight w:val="none"/>
                <w:lang w:eastAsia="zh-CN"/>
              </w:rPr>
              <w:t>技术人员</w:t>
            </w:r>
            <w:r>
              <w:rPr>
                <w:rFonts w:hint="eastAsia" w:ascii="仿宋_GB2312" w:hAnsi="仿宋_GB2312" w:eastAsia="仿宋_GB2312" w:cs="仿宋_GB2312"/>
                <w:sz w:val="21"/>
                <w:szCs w:val="21"/>
                <w:highlight w:val="none"/>
              </w:rPr>
              <w:t>不少于</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人</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lang w:val="en-US" w:eastAsia="zh-CN"/>
              </w:rPr>
              <w:t>8</w:t>
            </w:r>
            <w:r>
              <w:rPr>
                <w:rFonts w:hint="eastAsia" w:ascii="仿宋_GB2312" w:hAnsi="仿宋_GB2312" w:eastAsia="仿宋_GB2312" w:cs="仿宋_GB2312"/>
                <w:sz w:val="21"/>
                <w:szCs w:val="21"/>
                <w:highlight w:val="none"/>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left w:val="single" w:color="000000" w:sz="8" w:space="0"/>
              <w:bottom w:val="single" w:color="000000" w:sz="4" w:space="0"/>
              <w:right w:val="single" w:color="000000" w:sz="8" w:space="0"/>
            </w:tcBorders>
            <w:shd w:val="clear" w:color="auto" w:fill="auto"/>
            <w:noWrap w:val="0"/>
            <w:vAlign w:val="center"/>
          </w:tcPr>
          <w:p>
            <w:pPr>
              <w:widowControl/>
              <w:jc w:val="left"/>
              <w:rPr>
                <w:rFonts w:hint="eastAsia" w:ascii="仿宋_GB2312" w:hAnsi="宋体" w:eastAsia="仿宋_GB2312" w:cs="宋体"/>
                <w:sz w:val="21"/>
                <w:szCs w:val="21"/>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拟投入的项目负责人评价</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项目负责人具有</w:t>
            </w:r>
            <w:r>
              <w:rPr>
                <w:rFonts w:hint="eastAsia" w:ascii="仿宋_GB2312" w:hAnsi="仿宋_GB2312" w:eastAsia="仿宋_GB2312" w:cs="仿宋_GB2312"/>
                <w:sz w:val="21"/>
                <w:szCs w:val="21"/>
                <w:lang w:eastAsia="zh-CN"/>
              </w:rPr>
              <w:t>高级</w:t>
            </w:r>
            <w:r>
              <w:rPr>
                <w:rFonts w:hint="eastAsia" w:ascii="仿宋_GB2312" w:hAnsi="仿宋_GB2312" w:eastAsia="仿宋_GB2312" w:cs="仿宋_GB2312"/>
                <w:sz w:val="21"/>
                <w:szCs w:val="21"/>
              </w:rPr>
              <w:t>职称，且曾经参与</w:t>
            </w:r>
            <w:r>
              <w:rPr>
                <w:rFonts w:hint="eastAsia" w:ascii="仿宋_GB2312" w:hAnsi="仿宋_GB2312" w:eastAsia="仿宋_GB2312" w:cs="仿宋_GB2312"/>
                <w:sz w:val="21"/>
                <w:szCs w:val="21"/>
                <w:lang w:eastAsia="zh-CN"/>
              </w:rPr>
              <w:t>国家类似项目</w:t>
            </w:r>
            <w:r>
              <w:rPr>
                <w:rFonts w:hint="eastAsia" w:ascii="仿宋_GB2312" w:hAnsi="仿宋_GB2312" w:eastAsia="仿宋_GB2312" w:cs="仿宋_GB2312"/>
                <w:sz w:val="21"/>
                <w:szCs w:val="21"/>
              </w:rPr>
              <w:t>工作</w:t>
            </w:r>
            <w:r>
              <w:rPr>
                <w:rFonts w:hint="eastAsia" w:ascii="仿宋_GB2312" w:hAnsi="仿宋_GB2312" w:eastAsia="仿宋_GB2312" w:cs="仿宋_GB2312"/>
                <w:sz w:val="21"/>
                <w:szCs w:val="21"/>
                <w:lang w:eastAsia="zh-CN"/>
              </w:rPr>
              <w:t>经验。</w:t>
            </w:r>
            <w:r>
              <w:rPr>
                <w:rFonts w:hint="eastAsia" w:ascii="仿宋_GB2312" w:hAnsi="仿宋_GB2312" w:eastAsia="仿宋_GB2312" w:cs="仿宋_GB2312"/>
                <w:sz w:val="21"/>
                <w:szCs w:val="21"/>
              </w:rPr>
              <w:t>符合上述全部要求的得5分，</w:t>
            </w:r>
            <w:r>
              <w:rPr>
                <w:rFonts w:hint="eastAsia" w:ascii="仿宋_GB2312" w:hAnsi="仿宋_GB2312" w:eastAsia="仿宋_GB2312" w:cs="仿宋_GB2312"/>
                <w:sz w:val="21"/>
                <w:szCs w:val="21"/>
                <w:lang w:eastAsia="zh-CN"/>
              </w:rPr>
              <w:t>每不满足</w:t>
            </w:r>
            <w:r>
              <w:rPr>
                <w:rFonts w:hint="eastAsia" w:ascii="仿宋_GB2312" w:hAnsi="仿宋_GB2312" w:eastAsia="仿宋_GB2312" w:cs="仿宋_GB2312"/>
                <w:sz w:val="21"/>
                <w:szCs w:val="21"/>
                <w:lang w:val="en-US" w:eastAsia="zh-CN"/>
              </w:rPr>
              <w:t>1项要求扣2.5分，扣完为止。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restart"/>
            <w:tcBorders>
              <w:top w:val="nil"/>
              <w:left w:val="single" w:color="000000" w:sz="8" w:space="0"/>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宋体" w:eastAsia="仿宋_GB2312" w:cs="宋体"/>
                <w:sz w:val="21"/>
                <w:szCs w:val="21"/>
              </w:rPr>
            </w:pPr>
            <w:r>
              <w:rPr>
                <w:rFonts w:hint="eastAsia" w:ascii="仿宋_GB2312" w:hAnsi="宋体" w:eastAsia="仿宋_GB2312" w:cs="Times New Roman"/>
                <w:sz w:val="21"/>
                <w:szCs w:val="21"/>
              </w:rPr>
              <w:t>技术部分</w:t>
            </w:r>
            <w:r>
              <w:rPr>
                <w:rFonts w:hint="eastAsia" w:ascii="仿宋_GB2312" w:hAnsi="宋体" w:eastAsia="仿宋_GB2312" w:cs="Times New Roman"/>
                <w:sz w:val="21"/>
                <w:szCs w:val="21"/>
                <w:lang w:eastAsia="zh-CN"/>
              </w:rPr>
              <w:t>（</w:t>
            </w:r>
            <w:r>
              <w:rPr>
                <w:rFonts w:hint="eastAsia" w:ascii="仿宋_GB2312" w:hAnsi="宋体" w:eastAsia="仿宋_GB2312" w:cs="Times New Roman"/>
                <w:sz w:val="21"/>
                <w:szCs w:val="21"/>
                <w:lang w:val="en-US" w:eastAsia="zh-CN"/>
              </w:rPr>
              <w:t>55分</w:t>
            </w:r>
            <w:r>
              <w:rPr>
                <w:rFonts w:hint="eastAsia" w:ascii="仿宋_GB2312" w:hAnsi="宋体" w:eastAsia="仿宋_GB2312" w:cs="Times New Roman"/>
                <w:sz w:val="21"/>
                <w:szCs w:val="21"/>
                <w:lang w:eastAsia="zh-CN"/>
              </w:rPr>
              <w:t>）</w:t>
            </w: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针对本项目特点的专业化实施方案评价</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针对本项目遴选需求提供①本项目方案</w:t>
            </w:r>
            <w:r>
              <w:rPr>
                <w:rFonts w:hint="eastAsia" w:ascii="仿宋_GB2312" w:hAnsi="仿宋_GB2312" w:eastAsia="仿宋_GB2312" w:cs="仿宋_GB2312"/>
                <w:sz w:val="21"/>
                <w:szCs w:val="21"/>
                <w:lang w:val="en-US" w:eastAsia="zh-CN"/>
              </w:rPr>
              <w:t>②预期效果</w:t>
            </w:r>
            <w:r>
              <w:rPr>
                <w:rFonts w:hint="eastAsia" w:ascii="仿宋_GB2312" w:hAnsi="仿宋_GB2312" w:eastAsia="仿宋_GB2312" w:cs="仿宋_GB2312"/>
                <w:sz w:val="21"/>
                <w:szCs w:val="21"/>
                <w:lang w:eastAsia="zh-CN"/>
              </w:rPr>
              <w:t>。每项内容满分</w:t>
            </w:r>
            <w:r>
              <w:rPr>
                <w:rFonts w:hint="eastAsia" w:ascii="仿宋_GB2312" w:hAnsi="仿宋_GB2312" w:eastAsia="仿宋_GB2312" w:cs="仿宋_GB2312"/>
                <w:sz w:val="21"/>
                <w:szCs w:val="21"/>
                <w:lang w:val="en-US" w:eastAsia="zh-CN"/>
              </w:rPr>
              <w:t>10分，内容进行了详细的论述且满足遴选需求得10分，内容虽阐述但未贴合项目实际情况或内容未包括具体实施细节及措施得5分，内容未进行阐述或不满足遴选需求得0分。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noWrap w:val="0"/>
            <w:vAlign w:val="center"/>
          </w:tcPr>
          <w:p>
            <w:pPr>
              <w:widowControl/>
              <w:jc w:val="left"/>
              <w:rPr>
                <w:rFonts w:hint="eastAsia" w:ascii="仿宋_GB2312" w:hAnsi="宋体" w:eastAsia="仿宋_GB2312" w:cs="宋体"/>
                <w:sz w:val="21"/>
                <w:szCs w:val="21"/>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对项目重点、难点的理解</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对项目建设背景及项目建设需求理解充分，对需求分析准确，对项目认识深入、并结合</w:t>
            </w:r>
            <w:r>
              <w:rPr>
                <w:rFonts w:hint="eastAsia" w:ascii="仿宋_GB2312" w:hAnsi="仿宋_GB2312" w:eastAsia="仿宋_GB2312" w:cs="仿宋_GB2312"/>
                <w:sz w:val="21"/>
                <w:szCs w:val="21"/>
                <w:lang w:eastAsia="zh-CN"/>
              </w:rPr>
              <w:t>服务需求对供应商</w:t>
            </w:r>
            <w:r>
              <w:rPr>
                <w:rFonts w:hint="eastAsia" w:ascii="仿宋_GB2312" w:hAnsi="仿宋_GB2312" w:eastAsia="仿宋_GB2312" w:cs="仿宋_GB2312"/>
                <w:sz w:val="21"/>
                <w:szCs w:val="21"/>
              </w:rPr>
              <w:t>资质、经验等特点进行详细的分析，且满足</w:t>
            </w:r>
            <w:r>
              <w:rPr>
                <w:rFonts w:hint="eastAsia" w:ascii="仿宋_GB2312" w:hAnsi="仿宋_GB2312" w:eastAsia="仿宋_GB2312" w:cs="仿宋_GB2312"/>
                <w:sz w:val="21"/>
                <w:szCs w:val="21"/>
                <w:lang w:eastAsia="zh-CN"/>
              </w:rPr>
              <w:t>遴选</w:t>
            </w:r>
            <w:r>
              <w:rPr>
                <w:rFonts w:hint="eastAsia" w:ascii="仿宋_GB2312" w:hAnsi="仿宋_GB2312" w:eastAsia="仿宋_GB2312" w:cs="仿宋_GB2312"/>
                <w:sz w:val="21"/>
                <w:szCs w:val="21"/>
              </w:rPr>
              <w:t>要求。需包含业务需求（2分）、</w:t>
            </w:r>
            <w:r>
              <w:rPr>
                <w:rFonts w:hint="eastAsia" w:ascii="仿宋_GB2312" w:hAnsi="仿宋_GB2312" w:eastAsia="仿宋_GB2312" w:cs="仿宋_GB2312"/>
                <w:sz w:val="21"/>
                <w:szCs w:val="21"/>
                <w:lang w:eastAsia="zh-CN"/>
              </w:rPr>
              <w:t>风险评估</w:t>
            </w:r>
            <w:r>
              <w:rPr>
                <w:rFonts w:hint="eastAsia" w:ascii="仿宋_GB2312" w:hAnsi="仿宋_GB2312" w:eastAsia="仿宋_GB2312" w:cs="仿宋_GB2312"/>
                <w:sz w:val="21"/>
                <w:szCs w:val="21"/>
              </w:rPr>
              <w:t>需求（2分）、</w:t>
            </w:r>
            <w:r>
              <w:rPr>
                <w:rFonts w:hint="eastAsia" w:ascii="仿宋_GB2312" w:hAnsi="仿宋_GB2312" w:eastAsia="仿宋_GB2312" w:cs="仿宋_GB2312"/>
                <w:sz w:val="21"/>
                <w:szCs w:val="21"/>
                <w:lang w:eastAsia="zh-CN"/>
              </w:rPr>
              <w:t>师资</w:t>
            </w:r>
            <w:r>
              <w:rPr>
                <w:rFonts w:hint="eastAsia" w:ascii="仿宋_GB2312" w:hAnsi="仿宋_GB2312" w:eastAsia="仿宋_GB2312" w:cs="仿宋_GB2312"/>
                <w:sz w:val="21"/>
                <w:szCs w:val="21"/>
              </w:rPr>
              <w:t>需求（2分）、</w:t>
            </w:r>
            <w:r>
              <w:rPr>
                <w:rFonts w:hint="eastAsia" w:ascii="仿宋_GB2312" w:hAnsi="仿宋_GB2312" w:eastAsia="仿宋_GB2312" w:cs="仿宋_GB2312"/>
                <w:sz w:val="21"/>
                <w:szCs w:val="21"/>
                <w:lang w:eastAsia="zh-CN"/>
              </w:rPr>
              <w:t>风险评估效果</w:t>
            </w:r>
            <w:r>
              <w:rPr>
                <w:rFonts w:hint="eastAsia" w:ascii="仿宋_GB2312" w:hAnsi="仿宋_GB2312" w:eastAsia="仿宋_GB2312" w:cs="仿宋_GB2312"/>
                <w:sz w:val="21"/>
                <w:szCs w:val="21"/>
              </w:rPr>
              <w:t>需求（2分）、</w:t>
            </w:r>
            <w:r>
              <w:rPr>
                <w:rFonts w:hint="eastAsia" w:ascii="仿宋_GB2312" w:hAnsi="仿宋_GB2312" w:eastAsia="仿宋_GB2312" w:cs="仿宋_GB2312"/>
                <w:sz w:val="21"/>
                <w:szCs w:val="21"/>
                <w:lang w:eastAsia="zh-CN"/>
              </w:rPr>
              <w:t>项目管理</w:t>
            </w:r>
            <w:r>
              <w:rPr>
                <w:rFonts w:hint="eastAsia" w:ascii="仿宋_GB2312" w:hAnsi="仿宋_GB2312" w:eastAsia="仿宋_GB2312" w:cs="仿宋_GB2312"/>
                <w:sz w:val="21"/>
                <w:szCs w:val="21"/>
              </w:rPr>
              <w:t>需求（2分）。</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完全满足上述描述的得10分，有一项未阐述或不满足上述描述的扣2分，扣完为止。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noWrap w:val="0"/>
            <w:vAlign w:val="center"/>
          </w:tcPr>
          <w:p>
            <w:pPr>
              <w:widowControl/>
              <w:jc w:val="left"/>
              <w:rPr>
                <w:rFonts w:hint="eastAsia" w:ascii="仿宋_GB2312" w:hAnsi="宋体" w:eastAsia="仿宋_GB2312" w:cs="宋体"/>
                <w:sz w:val="21"/>
                <w:szCs w:val="21"/>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进度安排评价</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供应商需提供针对本项目的进度安排计划，本项内容满分</w:t>
            </w:r>
            <w:r>
              <w:rPr>
                <w:rFonts w:hint="eastAsia" w:ascii="仿宋_GB2312" w:hAnsi="仿宋_GB2312" w:eastAsia="仿宋_GB2312" w:cs="仿宋_GB2312"/>
                <w:sz w:val="21"/>
                <w:szCs w:val="21"/>
                <w:lang w:val="en-US" w:eastAsia="zh-CN"/>
              </w:rPr>
              <w:t>10分，内容进行了详细的论述且满足需求得10分，内容虽阐述但未贴合项目实际情况或内容未包括具体实施细节及措施得5分，内容未进行阐述或不满足遴选需求得0分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noWrap w:val="0"/>
            <w:vAlign w:val="center"/>
          </w:tcPr>
          <w:p>
            <w:pPr>
              <w:widowControl/>
              <w:jc w:val="left"/>
              <w:rPr>
                <w:rFonts w:hint="eastAsia" w:ascii="仿宋_GB2312" w:hAnsi="宋体" w:eastAsia="仿宋_GB2312" w:cs="宋体"/>
                <w:sz w:val="21"/>
                <w:szCs w:val="21"/>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在服务过程中配合、沟通方案评价</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供应商须提供沟通机制，内容包括①服务人员安排②沟通方案，要求</w:t>
            </w:r>
            <w:r>
              <w:rPr>
                <w:rFonts w:hint="eastAsia" w:ascii="仿宋_GB2312" w:hAnsi="仿宋_GB2312" w:eastAsia="仿宋_GB2312" w:cs="仿宋_GB2312"/>
                <w:sz w:val="21"/>
                <w:szCs w:val="21"/>
              </w:rPr>
              <w:t>有专人定期沟通，配合</w:t>
            </w:r>
            <w:r>
              <w:rPr>
                <w:rFonts w:hint="eastAsia" w:ascii="仿宋_GB2312" w:hAnsi="仿宋_GB2312" w:eastAsia="仿宋_GB2312" w:cs="仿宋_GB2312"/>
                <w:sz w:val="21"/>
                <w:szCs w:val="21"/>
                <w:lang w:eastAsia="zh-CN"/>
              </w:rPr>
              <w:t>。</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每项内容满分</w:t>
            </w:r>
            <w:r>
              <w:rPr>
                <w:rFonts w:hint="eastAsia" w:ascii="仿宋_GB2312" w:hAnsi="仿宋_GB2312" w:eastAsia="仿宋_GB2312" w:cs="仿宋_GB2312"/>
                <w:sz w:val="21"/>
                <w:szCs w:val="21"/>
                <w:lang w:val="en-US" w:eastAsia="zh-CN"/>
              </w:rPr>
              <w:t>5分，内容进行了详细的论述且满足需求得5分，内容虽阐述但未贴合项目实际情况或内容未包括具体实施细节及措施得3分，内容未进行阐述或不满足需求得0分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8" w:type="dxa"/>
            <w:vMerge w:val="continue"/>
            <w:tcBorders>
              <w:top w:val="nil"/>
              <w:left w:val="single" w:color="000000" w:sz="8" w:space="0"/>
              <w:bottom w:val="single" w:color="000000" w:sz="4" w:space="0"/>
              <w:right w:val="single" w:color="000000" w:sz="8" w:space="0"/>
            </w:tcBorders>
            <w:shd w:val="clear" w:color="auto" w:fill="auto"/>
            <w:noWrap w:val="0"/>
            <w:vAlign w:val="center"/>
          </w:tcPr>
          <w:p>
            <w:pPr>
              <w:widowControl/>
              <w:jc w:val="left"/>
              <w:rPr>
                <w:rFonts w:hint="eastAsia" w:ascii="仿宋_GB2312" w:hAnsi="宋体" w:eastAsia="仿宋_GB2312" w:cs="宋体"/>
                <w:sz w:val="21"/>
                <w:szCs w:val="21"/>
              </w:rPr>
            </w:pPr>
          </w:p>
        </w:tc>
        <w:tc>
          <w:tcPr>
            <w:tcW w:w="2126"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rPr>
                <w:rFonts w:hint="eastAsia" w:ascii="仿宋_GB2312" w:hAnsi="宋体" w:eastAsia="仿宋_GB2312" w:cs="宋体"/>
                <w:sz w:val="21"/>
                <w:szCs w:val="21"/>
              </w:rPr>
            </w:pPr>
            <w:r>
              <w:rPr>
                <w:rFonts w:hint="eastAsia" w:ascii="仿宋_GB2312" w:hAnsi="宋体" w:eastAsia="仿宋_GB2312" w:cs="Times New Roman"/>
                <w:sz w:val="21"/>
                <w:szCs w:val="21"/>
              </w:rPr>
              <w:t>结合本项目的实际情况，提供的合理化建议评价</w:t>
            </w:r>
          </w:p>
        </w:tc>
        <w:tc>
          <w:tcPr>
            <w:tcW w:w="831" w:type="dxa"/>
            <w:tcBorders>
              <w:top w:val="single" w:color="000000" w:sz="4" w:space="0"/>
              <w:left w:val="nil"/>
              <w:bottom w:val="single" w:color="000000" w:sz="4" w:space="0"/>
              <w:right w:val="single" w:color="000000" w:sz="8" w:space="0"/>
            </w:tcBorders>
            <w:shd w:val="clear" w:color="auto" w:fill="FFFFFF"/>
            <w:noWrap w:val="0"/>
            <w:vAlign w:val="center"/>
          </w:tcPr>
          <w:p>
            <w:pPr>
              <w:spacing w:before="100" w:after="1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5948" w:type="dxa"/>
            <w:tcBorders>
              <w:top w:val="single" w:color="000000" w:sz="4" w:space="0"/>
              <w:left w:val="single" w:color="000000" w:sz="2" w:space="0"/>
              <w:bottom w:val="single" w:color="000000" w:sz="4" w:space="0"/>
              <w:right w:val="single" w:color="000000" w:sz="8" w:space="0"/>
            </w:tcBorders>
            <w:shd w:val="clear" w:color="auto" w:fill="FFFFFF"/>
            <w:noWrap w:val="0"/>
            <w:vAlign w:val="center"/>
          </w:tcPr>
          <w:p>
            <w:pP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供应商须针对本项目提供合理化建议，本项内容满分</w:t>
            </w:r>
            <w:r>
              <w:rPr>
                <w:rFonts w:hint="eastAsia" w:ascii="仿宋_GB2312" w:hAnsi="仿宋_GB2312" w:eastAsia="仿宋_GB2312" w:cs="仿宋_GB2312"/>
                <w:sz w:val="21"/>
                <w:szCs w:val="21"/>
                <w:lang w:val="en-US" w:eastAsia="zh-CN"/>
              </w:rPr>
              <w:t>5分，建议需具有可操作性，每提供一条建议得1分，满分5分</w:t>
            </w:r>
          </w:p>
        </w:tc>
      </w:tr>
    </w:tbl>
    <w:p>
      <w:pPr>
        <w:widowControl w:val="0"/>
        <w:spacing w:after="120"/>
        <w:ind w:left="420" w:leftChars="200" w:firstLine="400" w:firstLineChars="200"/>
        <w:jc w:val="both"/>
        <w:rPr>
          <w:rFonts w:hint="eastAsia" w:ascii="Calibri" w:hAnsi="Calibri" w:eastAsia="宋体" w:cs="Times New Roman"/>
          <w:kern w:val="0"/>
          <w:sz w:val="20"/>
          <w:szCs w:val="24"/>
          <w:lang w:val="en-US" w:eastAsia="zh-CN" w:bidi="ar-SA"/>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val="en-US" w:eastAsia="zh-CN"/>
        </w:rPr>
      </w:pPr>
    </w:p>
    <w:p>
      <w:pPr>
        <w:widowControl w:val="0"/>
        <w:numPr>
          <w:ilvl w:val="0"/>
          <w:numId w:val="0"/>
        </w:numPr>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469" w:beforeLines="150" w:line="600" w:lineRule="exact"/>
        <w:ind w:left="0" w:leftChars="0" w:right="0" w:rightChars="0" w:firstLine="0" w:firstLineChars="0"/>
        <w:jc w:val="center"/>
        <w:textAlignment w:val="auto"/>
        <w:outlineLvl w:val="9"/>
        <w:rPr>
          <w:rFonts w:hint="eastAsia" w:ascii="Times New Roman" w:hAnsi="Times New Roman" w:eastAsia="华文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469" w:beforeLines="150" w:line="600" w:lineRule="exact"/>
        <w:ind w:left="0" w:leftChars="0" w:right="0" w:rightChars="0" w:firstLine="0" w:firstLineChars="0"/>
        <w:jc w:val="center"/>
        <w:textAlignment w:val="auto"/>
        <w:outlineLvl w:val="9"/>
        <w:rPr>
          <w:rFonts w:hint="eastAsia" w:ascii="Times New Roman" w:hAnsi="Times New Roman" w:eastAsia="华文仿宋" w:cs="Times New Roman"/>
          <w:sz w:val="32"/>
          <w:szCs w:val="32"/>
          <w:lang w:eastAsia="zh-CN"/>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hint="eastAsia" w:ascii="仿宋_GB2312" w:hAnsi="仿宋_GB2312" w:eastAsia="仿宋_GB2312" w:cs="仿宋_GB2312"/>
          <w:color w:val="auto"/>
          <w:sz w:val="32"/>
          <w:szCs w:val="32"/>
          <w:lang w:val="en-US"/>
        </w:rPr>
      </w:pPr>
    </w:p>
    <w:p>
      <w:pPr>
        <w:rPr>
          <w:rFonts w:ascii="Times New Roman" w:hAnsi="Times New Roman" w:eastAsia="宋体" w:cs="Times New Roman"/>
          <w:szCs w:val="20"/>
          <w:lang w:val="en-US"/>
        </w:rPr>
      </w:pPr>
    </w:p>
    <w:p>
      <w:pPr>
        <w:spacing w:line="360" w:lineRule="auto"/>
        <w:jc w:val="both"/>
        <w:rPr>
          <w:rFonts w:ascii="仿宋" w:hAnsi="仿宋" w:eastAsia="仿宋" w:cs="宋体"/>
          <w:b/>
          <w:bCs/>
          <w:sz w:val="32"/>
          <w:szCs w:val="28"/>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5C"/>
    <w:rsid w:val="000A22BF"/>
    <w:rsid w:val="00193EAA"/>
    <w:rsid w:val="002813AC"/>
    <w:rsid w:val="00296944"/>
    <w:rsid w:val="002D2684"/>
    <w:rsid w:val="003B2C36"/>
    <w:rsid w:val="003D1C53"/>
    <w:rsid w:val="003E70D5"/>
    <w:rsid w:val="004D73E0"/>
    <w:rsid w:val="004F644E"/>
    <w:rsid w:val="00504DC9"/>
    <w:rsid w:val="00515BAC"/>
    <w:rsid w:val="006337E9"/>
    <w:rsid w:val="006F7B9A"/>
    <w:rsid w:val="0072607C"/>
    <w:rsid w:val="007A7660"/>
    <w:rsid w:val="008A2C42"/>
    <w:rsid w:val="0099485C"/>
    <w:rsid w:val="00B33D64"/>
    <w:rsid w:val="00B927D3"/>
    <w:rsid w:val="00BA4C9E"/>
    <w:rsid w:val="00CA49E3"/>
    <w:rsid w:val="00D875C2"/>
    <w:rsid w:val="00DB1122"/>
    <w:rsid w:val="00FF1677"/>
    <w:rsid w:val="0185358B"/>
    <w:rsid w:val="16EEA37C"/>
    <w:rsid w:val="1F5F6CB5"/>
    <w:rsid w:val="473506D4"/>
    <w:rsid w:val="5E6F175A"/>
    <w:rsid w:val="5FEEBBDF"/>
    <w:rsid w:val="6CBB1553"/>
    <w:rsid w:val="6FFDBA49"/>
    <w:rsid w:val="740F61DF"/>
    <w:rsid w:val="773F7BE2"/>
    <w:rsid w:val="7FF53369"/>
    <w:rsid w:val="AF7D0788"/>
    <w:rsid w:val="CF765CAD"/>
    <w:rsid w:val="FE97147C"/>
    <w:rsid w:val="FEBE60BE"/>
    <w:rsid w:val="FF7FB776"/>
    <w:rsid w:val="FFAFFCBF"/>
    <w:rsid w:val="FFB32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Indent"/>
    <w:basedOn w:val="1"/>
    <w:qFormat/>
    <w:uiPriority w:val="0"/>
    <w:pPr>
      <w:spacing w:after="120"/>
      <w:ind w:left="420" w:leftChars="200"/>
    </w:pPr>
    <w:rPr>
      <w:rFonts w:ascii="Times New Roman" w:hAnsi="Times New Roman"/>
      <w:kern w:val="0"/>
      <w:sz w:val="20"/>
      <w:szCs w:val="24"/>
    </w:r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unhideWhenUsed/>
    <w:qFormat/>
    <w:uiPriority w:val="99"/>
    <w:rPr>
      <w:b/>
      <w:bCs/>
    </w:rPr>
  </w:style>
  <w:style w:type="paragraph" w:styleId="8">
    <w:name w:val="Body Text First Indent 2"/>
    <w:basedOn w:val="3"/>
    <w:qFormat/>
    <w:uiPriority w:val="0"/>
    <w:pPr>
      <w:ind w:firstLine="420" w:firstLineChars="200"/>
    </w:pPr>
    <w:rPr>
      <w:rFonts w:ascii="Calibri" w:hAnsi="Calibri"/>
    </w:rPr>
  </w:style>
  <w:style w:type="character" w:styleId="11">
    <w:name w:val="annotation reference"/>
    <w:basedOn w:val="10"/>
    <w:unhideWhenUsed/>
    <w:qFormat/>
    <w:uiPriority w:val="99"/>
    <w:rPr>
      <w:sz w:val="21"/>
      <w:szCs w:val="21"/>
    </w:rPr>
  </w:style>
  <w:style w:type="paragraph" w:customStyle="1" w:styleId="12">
    <w:name w:val="List Paragraph"/>
    <w:basedOn w:val="1"/>
    <w:link w:val="15"/>
    <w:qFormat/>
    <w:uiPriority w:val="34"/>
    <w:pPr>
      <w:ind w:firstLine="420" w:firstLineChars="200"/>
    </w:pPr>
    <w:rPr>
      <w:rFonts w:ascii="Calibri" w:hAnsi="Calibri"/>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列出段落 Char"/>
    <w:link w:val="12"/>
    <w:qFormat/>
    <w:uiPriority w:val="34"/>
    <w:rPr>
      <w:rFonts w:ascii="Calibri" w:hAnsi="Calibri"/>
    </w:rPr>
  </w:style>
  <w:style w:type="character" w:customStyle="1" w:styleId="16">
    <w:name w:val="批注文字 Char"/>
    <w:basedOn w:val="10"/>
    <w:link w:val="2"/>
    <w:semiHidden/>
    <w:qFormat/>
    <w:uiPriority w:val="99"/>
  </w:style>
  <w:style w:type="character" w:customStyle="1" w:styleId="17">
    <w:name w:val="批注主题 Char"/>
    <w:basedOn w:val="16"/>
    <w:link w:val="7"/>
    <w:semiHidden/>
    <w:qFormat/>
    <w:uiPriority w:val="99"/>
    <w:rPr>
      <w:b/>
      <w:bCs/>
    </w:rPr>
  </w:style>
  <w:style w:type="character" w:customStyle="1" w:styleId="18">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322</Words>
  <Characters>1837</Characters>
  <Lines>15</Lines>
  <Paragraphs>4</Paragraphs>
  <TotalTime>0</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2022-04-21T12:00:00Z</dcterms:created>
  <dc:creator>强文晓</dc:creator>
  <cp:lastModifiedBy>zhangting</cp:lastModifiedBy>
  <dcterms:modified xsi:type="dcterms:W3CDTF">2024-03-15T08:31:13Z</dcterms:modified>
  <dc:title>申请人须知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BB20B17547AF2C876249F265DF249A5E</vt:lpwstr>
  </property>
</Properties>
</file>