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p>
    <w:p>
      <w:pPr>
        <w:spacing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山东省医疗保障局</w:t>
      </w:r>
    </w:p>
    <w:p>
      <w:pPr>
        <w:spacing w:line="600" w:lineRule="exact"/>
        <w:jc w:val="center"/>
        <w:rPr>
          <w:rFonts w:hint="default" w:ascii="Times New Roman" w:hAnsi="Times New Roman" w:eastAsia="仿宋_GB2312" w:cs="Times New Roman"/>
          <w:sz w:val="44"/>
          <w:szCs w:val="44"/>
        </w:rPr>
      </w:pPr>
      <w:r>
        <w:rPr>
          <w:rFonts w:hint="default" w:ascii="Times New Roman" w:hAnsi="Times New Roman" w:eastAsia="方正小标宋简体" w:cs="Times New Roman"/>
          <w:sz w:val="44"/>
          <w:szCs w:val="44"/>
        </w:rPr>
        <w:t>关于新增药学类医疗服务项目价格的通知</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（征求意见稿）</w:t>
      </w:r>
    </w:p>
    <w:p>
      <w:pPr>
        <w:jc w:val="center"/>
        <w:rPr>
          <w:rFonts w:hint="default" w:ascii="Times New Roman" w:hAnsi="Times New Roman" w:eastAsia="仿宋_GB2312" w:cs="Times New Roman"/>
          <w:sz w:val="32"/>
          <w:szCs w:val="32"/>
        </w:rPr>
      </w:pP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各市医疗保障局，驻济省（部）属公立医疗机构、军队医疗机构：</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国家医保局办公室《关于落实2023年度医疗服务价格动态调整促进服务高质量发展的通知》（医保办函〔2023〕66号）要求，体现药学服务价值，促进临床合理用药和安全用药，结合我省实际，新增部分药学类医疗服务项目价格。现将有关事项通知如下：</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一、立项原则</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以临床价值为导向，医疗服务产出为目标，聚焦体现药学技术劳务价值，提升患者药学服务获得感，将面向患者、内容独立、直接提供的临床药学服务作为药学类医疗服务价格项目。</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二、医疗服务项目价格</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药学类医疗服务价格项目是指医疗机构符合规定资质的临床药师应用药学专业知识和技术，以促进合理与经济用药为目的，提供面向患者、内容独立、直接提供的药物治疗服务项目（不包括中医中治）。传统的处方审核调剂等医院应尽事项，以及属于医院药房内部管理的服务事项，作为公立医院综合运行成本考虑，不单独设立医疗服务价格项目。山东省新增药学类医疗服务价格项目表详见附件1，项目执行范围限全省具备药学服务能力的三级公立医疗机构；符合条件的驻济省（部）属三级公立医疗机构和军队医疗机构按附表所列价格执行。</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三、工作要求</w:t>
      </w:r>
    </w:p>
    <w:p>
      <w:pPr>
        <w:pStyle w:val="5"/>
        <w:widowControl/>
        <w:spacing w:beforeAutospacing="0" w:afterAutospacing="0" w:line="60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（一）各市医疗保障局要结合当地实际及时做好药学类医疗服务项目价格衔接。及时在医疗保障信息平台医疗服务价格子系统中更新，严格按时间执行。</w:t>
      </w:r>
    </w:p>
    <w:p>
      <w:pPr>
        <w:pStyle w:val="5"/>
        <w:widowControl/>
        <w:spacing w:beforeAutospacing="0" w:afterAutospacing="0" w:line="600"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（二）各级医保部门要加强对本市政策实施的跟踪监测，</w:t>
      </w:r>
      <w:r>
        <w:rPr>
          <w:rFonts w:hint="default" w:ascii="Times New Roman" w:hAnsi="Times New Roman" w:eastAsia="仿宋_GB2312" w:cs="Times New Roman"/>
          <w:sz w:val="32"/>
          <w:szCs w:val="32"/>
        </w:rPr>
        <w:t>医疗机构应每季度对药学类服务项目服务量、安全性、经济性按附件2进行统计，于下季度首月10日前上报本市医疗保障部门，省属医疗机构上报省医疗保障局。执行过程中，</w:t>
      </w:r>
      <w:r>
        <w:rPr>
          <w:rFonts w:hint="default" w:ascii="Times New Roman" w:hAnsi="Times New Roman" w:eastAsia="仿宋_GB2312" w:cs="Times New Roman"/>
          <w:kern w:val="2"/>
          <w:sz w:val="32"/>
          <w:szCs w:val="32"/>
        </w:rPr>
        <w:t>遇有新情况及时报告省医保局。</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各医疗机构要坚持以临床需求为导向，以合理用药为目的，进一步统一思想，提高认识，加强药学人员的管理，提升临床药学服务水平，严格执行药学服务标准规范和临床药师制度规定，细化临床药师服务内容与方式，规范临床药师服务行为，推进药学服务规范化建设，保障临床合理用药。要在收费场所显著位置做好价格公示，接受社会监督。</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（四）加强政策执行监管，建立药品集采政策执行情况与药学类医疗服务价格政策协同机制，对集采政策执行不到位、整改不彻底的医疗机构，情节严重的，采取降低收费标准、暂停收费等措施进行处</w:t>
      </w:r>
      <w:bookmarkStart w:id="0" w:name="_GoBack"/>
      <w:bookmarkEnd w:id="0"/>
      <w:r>
        <w:rPr>
          <w:rFonts w:hint="default" w:ascii="Times New Roman" w:hAnsi="Times New Roman" w:eastAsia="仿宋_GB2312" w:cs="Times New Roman"/>
          <w:sz w:val="32"/>
          <w:szCs w:val="32"/>
        </w:rPr>
        <w:t>置。</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本通知自202X年 月 日起施行，有效期至202X年 月 日。其他相关政策按现行规定执行。</w:t>
      </w:r>
    </w:p>
    <w:p>
      <w:pPr>
        <w:ind w:firstLine="640" w:firstLineChars="200"/>
        <w:rPr>
          <w:rFonts w:hint="default" w:ascii="Times New Roman" w:hAnsi="Times New Roman" w:eastAsia="仿宋_GB2312" w:cs="Times New Roman"/>
          <w:sz w:val="32"/>
          <w:szCs w:val="32"/>
        </w:rPr>
      </w:pPr>
    </w:p>
    <w:p>
      <w:pPr>
        <w:ind w:left="1598" w:leftChars="304" w:hanging="960" w:hanging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山东省新增药学类医疗服务项目价格表</w:t>
      </w:r>
    </w:p>
    <w:p>
      <w:pPr>
        <w:ind w:left="638" w:leftChars="304" w:firstLine="960" w:firstLineChars="3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2.药学类医疗服务价格项目监测评估指标</w:t>
      </w:r>
    </w:p>
    <w:p>
      <w:pPr>
        <w:ind w:firstLine="640" w:firstLineChars="200"/>
        <w:rPr>
          <w:rFonts w:hint="default" w:ascii="Times New Roman" w:hAnsi="Times New Roman" w:eastAsia="仿宋_GB2312" w:cs="Times New Roman"/>
          <w:sz w:val="32"/>
          <w:szCs w:val="32"/>
          <w:lang w:eastAsia="zh-CN"/>
        </w:rPr>
      </w:pPr>
    </w:p>
    <w:p>
      <w:pPr>
        <w:spacing w:line="600" w:lineRule="exact"/>
        <w:ind w:left="5747" w:leftChars="2432" w:hanging="640" w:hanging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spacing w:line="600" w:lineRule="exact"/>
        <w:ind w:left="5746" w:leftChars="2584" w:hanging="320" w:hangingChars="100"/>
        <w:rPr>
          <w:rFonts w:hint="default" w:ascii="Times New Roman" w:hAnsi="Times New Roman" w:eastAsia="仿宋_GB2312" w:cs="Times New Roman"/>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_GB2312" w:cs="Times New Roman"/>
          <w:sz w:val="32"/>
          <w:szCs w:val="32"/>
        </w:rPr>
        <w:t xml:space="preserve">山东省医疗保障局                      202X年 月  日                                  </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山东省新增药学类医疗服务项目价格表</w:t>
      </w:r>
    </w:p>
    <w:tbl>
      <w:tblPr>
        <w:tblStyle w:val="8"/>
        <w:tblW w:w="137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485"/>
        <w:gridCol w:w="1424"/>
        <w:gridCol w:w="5408"/>
        <w:gridCol w:w="894"/>
        <w:gridCol w:w="712"/>
        <w:gridCol w:w="878"/>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73" w:type="dxa"/>
            <w:vAlign w:val="center"/>
          </w:tcPr>
          <w:p>
            <w:pPr>
              <w:jc w:val="center"/>
              <w:rPr>
                <w:rFonts w:hint="default" w:ascii="Times New Roman" w:hAnsi="Times New Roman" w:cs="Times New Roman" w:eastAsiaTheme="majorEastAsia"/>
                <w:b/>
                <w:bCs/>
                <w:sz w:val="24"/>
              </w:rPr>
            </w:pPr>
            <w:r>
              <w:rPr>
                <w:rFonts w:hint="default" w:ascii="Times New Roman" w:hAnsi="Times New Roman" w:cs="Times New Roman" w:eastAsiaTheme="majorEastAsia"/>
                <w:b/>
                <w:bCs/>
                <w:sz w:val="24"/>
              </w:rPr>
              <w:t>序号</w:t>
            </w:r>
          </w:p>
        </w:tc>
        <w:tc>
          <w:tcPr>
            <w:tcW w:w="1485" w:type="dxa"/>
            <w:vAlign w:val="center"/>
          </w:tcPr>
          <w:p>
            <w:pPr>
              <w:jc w:val="center"/>
              <w:rPr>
                <w:rFonts w:hint="default" w:ascii="Times New Roman" w:hAnsi="Times New Roman" w:cs="Times New Roman" w:eastAsiaTheme="majorEastAsia"/>
                <w:b/>
                <w:bCs/>
                <w:sz w:val="24"/>
              </w:rPr>
            </w:pPr>
            <w:r>
              <w:rPr>
                <w:rFonts w:hint="default" w:ascii="Times New Roman" w:hAnsi="Times New Roman" w:cs="Times New Roman" w:eastAsiaTheme="majorEastAsia"/>
                <w:b/>
                <w:bCs/>
                <w:sz w:val="24"/>
              </w:rPr>
              <w:t>项目编码</w:t>
            </w:r>
          </w:p>
        </w:tc>
        <w:tc>
          <w:tcPr>
            <w:tcW w:w="1424" w:type="dxa"/>
            <w:vAlign w:val="center"/>
          </w:tcPr>
          <w:p>
            <w:pPr>
              <w:jc w:val="center"/>
              <w:rPr>
                <w:rFonts w:hint="default" w:ascii="Times New Roman" w:hAnsi="Times New Roman" w:cs="Times New Roman" w:eastAsiaTheme="majorEastAsia"/>
                <w:b/>
                <w:bCs/>
                <w:sz w:val="24"/>
              </w:rPr>
            </w:pPr>
            <w:r>
              <w:rPr>
                <w:rFonts w:hint="default" w:ascii="Times New Roman" w:hAnsi="Times New Roman" w:cs="Times New Roman" w:eastAsiaTheme="majorEastAsia"/>
                <w:b/>
                <w:bCs/>
                <w:sz w:val="24"/>
              </w:rPr>
              <w:t>项目名称</w:t>
            </w:r>
          </w:p>
        </w:tc>
        <w:tc>
          <w:tcPr>
            <w:tcW w:w="5408" w:type="dxa"/>
            <w:vAlign w:val="center"/>
          </w:tcPr>
          <w:p>
            <w:pPr>
              <w:jc w:val="center"/>
              <w:rPr>
                <w:rFonts w:hint="default" w:ascii="Times New Roman" w:hAnsi="Times New Roman" w:cs="Times New Roman" w:eastAsiaTheme="majorEastAsia"/>
                <w:b/>
                <w:bCs/>
                <w:sz w:val="24"/>
              </w:rPr>
            </w:pPr>
            <w:r>
              <w:rPr>
                <w:rFonts w:hint="default" w:ascii="Times New Roman" w:hAnsi="Times New Roman" w:cs="Times New Roman" w:eastAsiaTheme="majorEastAsia"/>
                <w:b/>
                <w:bCs/>
                <w:sz w:val="24"/>
              </w:rPr>
              <w:t>项目内涵</w:t>
            </w:r>
          </w:p>
        </w:tc>
        <w:tc>
          <w:tcPr>
            <w:tcW w:w="894" w:type="dxa"/>
            <w:vAlign w:val="center"/>
          </w:tcPr>
          <w:p>
            <w:pPr>
              <w:jc w:val="center"/>
              <w:rPr>
                <w:rFonts w:hint="default" w:ascii="Times New Roman" w:hAnsi="Times New Roman" w:cs="Times New Roman" w:eastAsiaTheme="majorEastAsia"/>
                <w:b/>
                <w:bCs/>
                <w:sz w:val="24"/>
              </w:rPr>
            </w:pPr>
            <w:r>
              <w:rPr>
                <w:rFonts w:hint="default" w:ascii="Times New Roman" w:hAnsi="Times New Roman" w:cs="Times New Roman" w:eastAsiaTheme="majorEastAsia"/>
                <w:b/>
                <w:bCs/>
                <w:sz w:val="24"/>
              </w:rPr>
              <w:t>除外内容</w:t>
            </w:r>
          </w:p>
        </w:tc>
        <w:tc>
          <w:tcPr>
            <w:tcW w:w="712" w:type="dxa"/>
            <w:vAlign w:val="center"/>
          </w:tcPr>
          <w:p>
            <w:pPr>
              <w:jc w:val="center"/>
              <w:rPr>
                <w:rFonts w:hint="default" w:ascii="Times New Roman" w:hAnsi="Times New Roman" w:cs="Times New Roman" w:eastAsiaTheme="majorEastAsia"/>
                <w:b/>
                <w:bCs/>
                <w:sz w:val="24"/>
              </w:rPr>
            </w:pPr>
            <w:r>
              <w:rPr>
                <w:rFonts w:hint="default" w:ascii="Times New Roman" w:hAnsi="Times New Roman" w:cs="Times New Roman" w:eastAsiaTheme="majorEastAsia"/>
                <w:b/>
                <w:bCs/>
                <w:sz w:val="24"/>
              </w:rPr>
              <w:t>计价单位</w:t>
            </w:r>
          </w:p>
        </w:tc>
        <w:tc>
          <w:tcPr>
            <w:tcW w:w="878" w:type="dxa"/>
            <w:vAlign w:val="center"/>
          </w:tcPr>
          <w:p>
            <w:pPr>
              <w:jc w:val="center"/>
              <w:rPr>
                <w:rFonts w:hint="default" w:ascii="Times New Roman" w:hAnsi="Times New Roman" w:cs="Times New Roman" w:eastAsiaTheme="majorEastAsia"/>
                <w:b/>
                <w:bCs/>
                <w:sz w:val="24"/>
              </w:rPr>
            </w:pPr>
            <w:r>
              <w:rPr>
                <w:rFonts w:hint="default" w:ascii="Times New Roman" w:hAnsi="Times New Roman" w:cs="Times New Roman" w:eastAsiaTheme="majorEastAsia"/>
                <w:b/>
                <w:bCs/>
                <w:sz w:val="24"/>
              </w:rPr>
              <w:t>价格（元）</w:t>
            </w:r>
          </w:p>
        </w:tc>
        <w:tc>
          <w:tcPr>
            <w:tcW w:w="2455" w:type="dxa"/>
            <w:vAlign w:val="center"/>
          </w:tcPr>
          <w:p>
            <w:pPr>
              <w:jc w:val="center"/>
              <w:rPr>
                <w:rFonts w:hint="default" w:ascii="Times New Roman" w:hAnsi="Times New Roman" w:cs="Times New Roman" w:eastAsiaTheme="majorEastAsia"/>
                <w:b/>
                <w:bCs/>
                <w:sz w:val="24"/>
              </w:rPr>
            </w:pPr>
            <w:r>
              <w:rPr>
                <w:rFonts w:hint="default" w:ascii="Times New Roman" w:hAnsi="Times New Roman" w:cs="Times New Roman" w:eastAsiaTheme="majorEastAsia"/>
                <w:b/>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7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110200007</w:t>
            </w:r>
          </w:p>
        </w:tc>
        <w:tc>
          <w:tcPr>
            <w:tcW w:w="142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药学门诊诊察费</w:t>
            </w:r>
          </w:p>
        </w:tc>
        <w:tc>
          <w:tcPr>
            <w:tcW w:w="54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具有主管药师及以上专业技术职称任职资格、从事临床药学工作3年及以上；或具有副主任药师及以上专业技术职称任职资格、从事临床药学工作2年及以上的药师，在门诊固定场所为确有需要的患者，开展用药指导、干预或提出用药意见，并有相应记录</w:t>
            </w:r>
          </w:p>
        </w:tc>
        <w:tc>
          <w:tcPr>
            <w:tcW w:w="8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71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次</w:t>
            </w:r>
          </w:p>
        </w:tc>
        <w:tc>
          <w:tcPr>
            <w:tcW w:w="8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24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患者自愿选择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110200007a</w:t>
            </w:r>
          </w:p>
        </w:tc>
        <w:tc>
          <w:tcPr>
            <w:tcW w:w="142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主管药师</w:t>
            </w:r>
          </w:p>
        </w:tc>
        <w:tc>
          <w:tcPr>
            <w:tcW w:w="54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8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71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次</w:t>
            </w:r>
          </w:p>
        </w:tc>
        <w:tc>
          <w:tcPr>
            <w:tcW w:w="8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8</w:t>
            </w:r>
          </w:p>
        </w:tc>
        <w:tc>
          <w:tcPr>
            <w:tcW w:w="24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110200007b</w:t>
            </w:r>
          </w:p>
        </w:tc>
        <w:tc>
          <w:tcPr>
            <w:tcW w:w="142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副主任药师</w:t>
            </w:r>
          </w:p>
        </w:tc>
        <w:tc>
          <w:tcPr>
            <w:tcW w:w="54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8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71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次</w:t>
            </w:r>
          </w:p>
        </w:tc>
        <w:tc>
          <w:tcPr>
            <w:tcW w:w="8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18</w:t>
            </w:r>
          </w:p>
        </w:tc>
        <w:tc>
          <w:tcPr>
            <w:tcW w:w="24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110200007c</w:t>
            </w:r>
          </w:p>
        </w:tc>
        <w:tc>
          <w:tcPr>
            <w:tcW w:w="142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主任药师</w:t>
            </w:r>
          </w:p>
        </w:tc>
        <w:tc>
          <w:tcPr>
            <w:tcW w:w="54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8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71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次</w:t>
            </w:r>
          </w:p>
        </w:tc>
        <w:tc>
          <w:tcPr>
            <w:tcW w:w="8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28</w:t>
            </w:r>
          </w:p>
        </w:tc>
        <w:tc>
          <w:tcPr>
            <w:tcW w:w="24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7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110200005</w:t>
            </w:r>
          </w:p>
        </w:tc>
        <w:tc>
          <w:tcPr>
            <w:tcW w:w="142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住院诊察费</w:t>
            </w:r>
          </w:p>
        </w:tc>
        <w:tc>
          <w:tcPr>
            <w:tcW w:w="54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8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71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8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24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110200005a</w:t>
            </w:r>
          </w:p>
        </w:tc>
        <w:tc>
          <w:tcPr>
            <w:tcW w:w="142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住院诊察费（临床药学）</w:t>
            </w:r>
          </w:p>
        </w:tc>
        <w:tc>
          <w:tcPr>
            <w:tcW w:w="54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符合规定资质的临床药师参与临床医师查房，对患者的疾病发展现状、用药情况、检查检验结果等进行综合评估，协同制定个体化药物治疗方案；为住院患者提供用药重整服务；对住院患者治疗的疗效、用药安全性等方面实施药学监护，必要时进行干预，并有相应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8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71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日</w:t>
            </w:r>
          </w:p>
        </w:tc>
        <w:tc>
          <w:tcPr>
            <w:tcW w:w="8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14</w:t>
            </w:r>
          </w:p>
        </w:tc>
        <w:tc>
          <w:tcPr>
            <w:tcW w:w="24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符合规定资质的临床药师参与临床医师住院巡诊，每日加收14元；住院天数≤30天的，加收费用最高不超过42元；住院天数&gt;30天的，加收费用最高不超过140元。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7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111000002</w:t>
            </w:r>
          </w:p>
        </w:tc>
        <w:tc>
          <w:tcPr>
            <w:tcW w:w="142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院内会诊</w:t>
            </w:r>
          </w:p>
        </w:tc>
        <w:tc>
          <w:tcPr>
            <w:tcW w:w="54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包括临床药学</w:t>
            </w:r>
          </w:p>
        </w:tc>
        <w:tc>
          <w:tcPr>
            <w:tcW w:w="8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71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8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24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符合规定资质的药师根据临床科室或医务部门的邀请，出于诊疗需要对患者的药物治疗方案进行优化和药学监护，并有相应记录。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111000002e</w:t>
            </w:r>
          </w:p>
        </w:tc>
        <w:tc>
          <w:tcPr>
            <w:tcW w:w="142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主管药师</w:t>
            </w:r>
          </w:p>
        </w:tc>
        <w:tc>
          <w:tcPr>
            <w:tcW w:w="54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8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71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人次</w:t>
            </w:r>
          </w:p>
        </w:tc>
        <w:tc>
          <w:tcPr>
            <w:tcW w:w="8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10</w:t>
            </w:r>
          </w:p>
        </w:tc>
        <w:tc>
          <w:tcPr>
            <w:tcW w:w="24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111000002f</w:t>
            </w:r>
          </w:p>
        </w:tc>
        <w:tc>
          <w:tcPr>
            <w:tcW w:w="142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副主任药师</w:t>
            </w:r>
          </w:p>
        </w:tc>
        <w:tc>
          <w:tcPr>
            <w:tcW w:w="54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8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71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人次</w:t>
            </w:r>
          </w:p>
        </w:tc>
        <w:tc>
          <w:tcPr>
            <w:tcW w:w="8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30</w:t>
            </w:r>
          </w:p>
        </w:tc>
        <w:tc>
          <w:tcPr>
            <w:tcW w:w="24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7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111000002g</w:t>
            </w:r>
          </w:p>
        </w:tc>
        <w:tc>
          <w:tcPr>
            <w:tcW w:w="142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主任药师</w:t>
            </w:r>
          </w:p>
        </w:tc>
        <w:tc>
          <w:tcPr>
            <w:tcW w:w="540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8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c>
          <w:tcPr>
            <w:tcW w:w="71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人次</w:t>
            </w:r>
          </w:p>
        </w:tc>
        <w:tc>
          <w:tcPr>
            <w:tcW w:w="87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40</w:t>
            </w:r>
          </w:p>
        </w:tc>
        <w:tc>
          <w:tcPr>
            <w:tcW w:w="24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p>
        </w:tc>
      </w:tr>
    </w:tbl>
    <w:p>
      <w:pPr>
        <w:jc w:val="cente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24"/>
        </w:rPr>
        <w:t xml:space="preserve">  </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附件2</w:t>
      </w:r>
    </w:p>
    <w:tbl>
      <w:tblPr>
        <w:tblStyle w:val="7"/>
        <w:tblW w:w="14625" w:type="dxa"/>
        <w:tblInd w:w="0" w:type="dxa"/>
        <w:tblLayout w:type="fixed"/>
        <w:tblCellMar>
          <w:top w:w="0" w:type="dxa"/>
          <w:left w:w="0" w:type="dxa"/>
          <w:bottom w:w="0" w:type="dxa"/>
          <w:right w:w="0" w:type="dxa"/>
        </w:tblCellMar>
      </w:tblPr>
      <w:tblGrid>
        <w:gridCol w:w="1176"/>
        <w:gridCol w:w="3167"/>
        <w:gridCol w:w="9154"/>
        <w:gridCol w:w="1128"/>
      </w:tblGrid>
      <w:tr>
        <w:tblPrEx>
          <w:tblLayout w:type="fixed"/>
        </w:tblPrEx>
        <w:trPr>
          <w:trHeight w:val="720" w:hRule="atLeast"/>
        </w:trPr>
        <w:tc>
          <w:tcPr>
            <w:tcW w:w="14625" w:type="dxa"/>
            <w:gridSpan w:val="4"/>
            <w:tcBorders>
              <w:top w:val="nil"/>
              <w:left w:val="nil"/>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40"/>
                <w:szCs w:val="40"/>
              </w:rPr>
            </w:pPr>
            <w:r>
              <w:rPr>
                <w:rFonts w:hint="default" w:ascii="Times New Roman" w:hAnsi="Times New Roman" w:eastAsia="仿宋_GB2312" w:cs="Times New Roman"/>
                <w:sz w:val="32"/>
                <w:szCs w:val="32"/>
              </w:rPr>
              <w:t xml:space="preserve"> </w:t>
            </w:r>
            <w:r>
              <w:rPr>
                <w:rFonts w:hint="default" w:ascii="Times New Roman" w:hAnsi="Times New Roman" w:eastAsia="方正小标宋简体" w:cs="Times New Roman"/>
                <w:color w:val="000000"/>
                <w:kern w:val="0"/>
                <w:sz w:val="44"/>
                <w:szCs w:val="44"/>
                <w:lang w:bidi="ar"/>
              </w:rPr>
              <w:t>药学类医疗服务价格项目监测评估指标</w:t>
            </w:r>
          </w:p>
        </w:tc>
      </w:tr>
      <w:tr>
        <w:tblPrEx>
          <w:tblLayout w:type="fixed"/>
        </w:tblPrEx>
        <w:trPr>
          <w:trHeight w:val="60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一级指标</w:t>
            </w:r>
          </w:p>
        </w:tc>
        <w:tc>
          <w:tcPr>
            <w:tcW w:w="3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二级指标</w:t>
            </w:r>
          </w:p>
        </w:tc>
        <w:tc>
          <w:tcPr>
            <w:tcW w:w="9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指标说明</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数据提供</w:t>
            </w:r>
          </w:p>
        </w:tc>
      </w:tr>
      <w:tr>
        <w:tblPrEx>
          <w:tblLayout w:type="fixed"/>
        </w:tblPrEx>
        <w:trPr>
          <w:trHeight w:val="600" w:hRule="atLeast"/>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服务量</w:t>
            </w:r>
          </w:p>
        </w:tc>
        <w:tc>
          <w:tcPr>
            <w:tcW w:w="3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药学门诊接诊人次</w:t>
            </w:r>
          </w:p>
        </w:tc>
        <w:tc>
          <w:tcPr>
            <w:tcW w:w="9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“药物门诊诊查”项目开展例数</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医院</w:t>
            </w:r>
          </w:p>
        </w:tc>
      </w:tr>
      <w:tr>
        <w:tblPrEx>
          <w:tblLayout w:type="fixed"/>
        </w:tblPrEx>
        <w:trPr>
          <w:trHeight w:val="60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color w:val="000000"/>
                <w:sz w:val="24"/>
              </w:rPr>
            </w:pPr>
          </w:p>
        </w:tc>
        <w:tc>
          <w:tcPr>
            <w:tcW w:w="3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住院诊察服务人次</w:t>
            </w:r>
          </w:p>
        </w:tc>
        <w:tc>
          <w:tcPr>
            <w:tcW w:w="9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“住院诊察费（临床药学加收）”项目开展例数</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医院</w:t>
            </w:r>
          </w:p>
        </w:tc>
      </w:tr>
      <w:tr>
        <w:tblPrEx>
          <w:tblLayout w:type="fixed"/>
        </w:tblPrEx>
        <w:trPr>
          <w:trHeight w:val="60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color w:val="000000"/>
                <w:sz w:val="24"/>
              </w:rPr>
            </w:pPr>
          </w:p>
        </w:tc>
        <w:tc>
          <w:tcPr>
            <w:tcW w:w="3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院内会诊服务人次</w:t>
            </w:r>
          </w:p>
        </w:tc>
        <w:tc>
          <w:tcPr>
            <w:tcW w:w="9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“院内会诊（临床药学加收）”项目开展例数</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医院</w:t>
            </w:r>
          </w:p>
        </w:tc>
      </w:tr>
      <w:tr>
        <w:tblPrEx>
          <w:tblLayout w:type="fixed"/>
        </w:tblPrEx>
        <w:trPr>
          <w:trHeight w:val="561" w:hRule="atLeast"/>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安全性</w:t>
            </w:r>
          </w:p>
        </w:tc>
        <w:tc>
          <w:tcPr>
            <w:tcW w:w="3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干预例数</w:t>
            </w:r>
          </w:p>
        </w:tc>
        <w:tc>
          <w:tcPr>
            <w:tcW w:w="9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纠正不合理用药例数</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医院</w:t>
            </w:r>
          </w:p>
        </w:tc>
      </w:tr>
      <w:tr>
        <w:tblPrEx>
          <w:tblLayout w:type="fixed"/>
        </w:tblPrEx>
        <w:trPr>
          <w:trHeight w:val="561"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color w:val="000000"/>
                <w:sz w:val="24"/>
              </w:rPr>
            </w:pPr>
          </w:p>
        </w:tc>
        <w:tc>
          <w:tcPr>
            <w:tcW w:w="3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不良反应处理例数</w:t>
            </w:r>
          </w:p>
        </w:tc>
        <w:tc>
          <w:tcPr>
            <w:tcW w:w="9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发现不良反应及时上报处理例数</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医院</w:t>
            </w:r>
          </w:p>
        </w:tc>
      </w:tr>
      <w:tr>
        <w:tblPrEx>
          <w:tblLayout w:type="fixed"/>
        </w:tblPrEx>
        <w:trPr>
          <w:trHeight w:val="561" w:hRule="atLeast"/>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经济性</w:t>
            </w:r>
          </w:p>
        </w:tc>
        <w:tc>
          <w:tcPr>
            <w:tcW w:w="3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使用国家基本药物例数</w:t>
            </w:r>
          </w:p>
        </w:tc>
        <w:tc>
          <w:tcPr>
            <w:tcW w:w="9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药学门诊和药师参与住院诊察过程中使用国家基本药物例数</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医院</w:t>
            </w:r>
          </w:p>
        </w:tc>
      </w:tr>
      <w:tr>
        <w:tblPrEx>
          <w:tblLayout w:type="fixed"/>
        </w:tblPrEx>
        <w:trPr>
          <w:trHeight w:val="561"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color w:val="000000"/>
                <w:sz w:val="24"/>
              </w:rPr>
            </w:pPr>
          </w:p>
        </w:tc>
        <w:tc>
          <w:tcPr>
            <w:tcW w:w="316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使用集采药品例数</w:t>
            </w:r>
          </w:p>
        </w:tc>
        <w:tc>
          <w:tcPr>
            <w:tcW w:w="9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药学门诊和药师参与住院诊察过程中使用集采药品例数</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医院</w:t>
            </w:r>
          </w:p>
        </w:tc>
      </w:tr>
      <w:tr>
        <w:tblPrEx>
          <w:tblLayout w:type="fixed"/>
        </w:tblPrEx>
        <w:trPr>
          <w:trHeight w:val="561"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color w:val="000000"/>
                <w:sz w:val="24"/>
              </w:rPr>
            </w:pPr>
          </w:p>
        </w:tc>
        <w:tc>
          <w:tcPr>
            <w:tcW w:w="3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仿宋" w:cs="Times New Roman"/>
                <w:color w:val="000000"/>
                <w:sz w:val="24"/>
              </w:rPr>
            </w:pPr>
          </w:p>
        </w:tc>
        <w:tc>
          <w:tcPr>
            <w:tcW w:w="9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所有处方的处方合格率</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医院</w:t>
            </w:r>
          </w:p>
        </w:tc>
      </w:tr>
    </w:tbl>
    <w:p>
      <w:pPr>
        <w:tabs>
          <w:tab w:val="left" w:pos="8073"/>
        </w:tabs>
        <w:jc w:val="left"/>
        <w:rPr>
          <w:rFonts w:hint="default" w:ascii="Times New Roman" w:hAnsi="Times New Roman" w:eastAsia="仿宋_GB2312" w:cs="Times New Roman"/>
          <w:sz w:val="32"/>
          <w:szCs w:val="32"/>
        </w:rPr>
      </w:pPr>
    </w:p>
    <w:p>
      <w:pPr>
        <w:tabs>
          <w:tab w:val="left" w:pos="8073"/>
        </w:tabs>
        <w:jc w:val="left"/>
        <w:rPr>
          <w:rFonts w:hint="default" w:ascii="Times New Roman" w:hAnsi="Times New Roman" w:eastAsia="仿宋_GB2312" w:cs="Times New Roman"/>
          <w:sz w:val="32"/>
          <w:szCs w:val="32"/>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方正小标宋简体">
    <w:altName w:val="汉仪书宋二KW"/>
    <w:panose1 w:val="02010601030101010101"/>
    <w:charset w:val="00"/>
    <w:family w:val="script"/>
    <w:pitch w:val="default"/>
    <w:sig w:usb0="00000000" w:usb1="00000000" w:usb2="00000000" w:usb3="00000000" w:csb0="00040000" w:csb1="00000000"/>
  </w:font>
  <w:font w:name="仿宋_GB2312">
    <w:altName w:val="汉仪仿宋KW"/>
    <w:panose1 w:val="02010609030101010101"/>
    <w:charset w:val="00"/>
    <w:family w:val="auto"/>
    <w:pitch w:val="default"/>
    <w:sig w:usb0="00000000" w:usb1="00000000" w:usb2="00000000" w:usb3="00000000" w:csb0="00040000" w:csb1="00000000"/>
  </w:font>
  <w:font w:name="黑体">
    <w:altName w:val="汉仪中黑KW"/>
    <w:panose1 w:val="00000000000000000000"/>
    <w:charset w:val="00"/>
    <w:family w:val="auto"/>
    <w:pitch w:val="default"/>
    <w:sig w:usb0="00000000" w:usb1="00000000" w:usb2="00000000" w:usb3="00000000" w:csb0="00040001" w:csb1="00000000"/>
  </w:font>
  <w:font w:name="楷体">
    <w:altName w:val="汉仪楷体KW"/>
    <w:panose1 w:val="00000000000000000000"/>
    <w:charset w:val="00"/>
    <w:family w:val="auto"/>
    <w:pitch w:val="default"/>
    <w:sig w:usb0="00000000" w:usb1="00000000" w:usb2="00000000" w:usb3="00000000" w:csb0="00040001" w:csb1="00000000"/>
  </w:font>
  <w:font w:name="汉仪仿宋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仿宋">
    <w:altName w:val="汉仪仿宋KW"/>
    <w:panose1 w:val="00000000000000000000"/>
    <w:charset w:val="00"/>
    <w:family w:val="auto"/>
    <w:pitch w:val="default"/>
    <w:sig w:usb0="00000000" w:usb1="00000000" w:usb2="00000000" w:usb3="00000000" w:csb0="00000000" w:csb1="00000000"/>
  </w:font>
  <w:font w:name="仿宋_">
    <w:altName w:val="苹方-简"/>
    <w:panose1 w:val="00000000000000000000"/>
    <w:charset w:val="00"/>
    <w:family w:val="auto"/>
    <w:pitch w:val="default"/>
    <w:sig w:usb0="00000000" w:usb1="00000000" w:usb2="00000000" w:usb3="00000000" w:csb0="00000000" w:csb1="00000000"/>
  </w:font>
  <w:font w:name="仿宋_G">
    <w:altName w:val="苹方-简"/>
    <w:panose1 w:val="00000000000000000000"/>
    <w:charset w:val="00"/>
    <w:family w:val="auto"/>
    <w:pitch w:val="default"/>
    <w:sig w:usb0="00000000" w:usb1="00000000" w:usb2="00000000" w:usb3="00000000" w:csb0="00000000" w:csb1="00000000"/>
  </w:font>
  <w:font w:name="仿宋_GB">
    <w:altName w:val="苹方-简"/>
    <w:panose1 w:val="00000000000000000000"/>
    <w:charset w:val="00"/>
    <w:family w:val="auto"/>
    <w:pitch w:val="default"/>
    <w:sig w:usb0="00000000" w:usb1="00000000" w:usb2="00000000" w:usb3="00000000" w:csb0="00000000" w:csb1="00000000"/>
  </w:font>
  <w:font w:name="仿宋_GB2">
    <w:altName w:val="苹方-简"/>
    <w:panose1 w:val="00000000000000000000"/>
    <w:charset w:val="00"/>
    <w:family w:val="auto"/>
    <w:pitch w:val="default"/>
    <w:sig w:usb0="00000000" w:usb1="00000000" w:usb2="00000000" w:usb3="00000000" w:csb0="00000000" w:csb1="00000000"/>
  </w:font>
  <w:font w:name="仿宋_GB23">
    <w:altName w:val="苹方-简"/>
    <w:panose1 w:val="00000000000000000000"/>
    <w:charset w:val="00"/>
    <w:family w:val="auto"/>
    <w:pitch w:val="default"/>
    <w:sig w:usb0="00000000" w:usb1="00000000" w:usb2="00000000" w:usb3="00000000" w:csb0="00000000" w:csb1="00000000"/>
  </w:font>
  <w:font w:name="仿宋_GB231">
    <w:altName w:val="苹方-简"/>
    <w:panose1 w:val="00000000000000000000"/>
    <w:charset w:val="00"/>
    <w:family w:val="auto"/>
    <w:pitch w:val="default"/>
    <w:sig w:usb0="00000000" w:usb1="00000000" w:usb2="00000000" w:usb3="00000000" w:csb0="00000000" w:csb1="00000000"/>
  </w:font>
  <w:font w:name="仿">
    <w:altName w:val="苹方-简"/>
    <w:panose1 w:val="00000000000000000000"/>
    <w:charset w:val="00"/>
    <w:family w:val="auto"/>
    <w:pitch w:val="default"/>
    <w:sig w:usb0="00000000" w:usb1="00000000" w:usb2="00000000" w:usb3="00000000" w:csb0="00000000" w:csb1="00000000"/>
  </w:font>
  <w:font w:name="仿宋_GB2312">
    <w:altName w:val="汉仪仿宋KW"/>
    <w:panose1 w:val="00000000000000000000"/>
    <w:charset w:val="86"/>
    <w:family w:val="modern"/>
    <w:pitch w:val="default"/>
    <w:sig w:usb0="00000000" w:usb1="00000000" w:usb2="00000010" w:usb3="00000000" w:csb0="00040000" w:csb1="00000000"/>
  </w:font>
  <w:font w:name="方正小标宋简体">
    <w:altName w:val="汉仪书宋二KW"/>
    <w:panose1 w:val="00000000000000000000"/>
    <w:charset w:val="86"/>
    <w:family w:val="script"/>
    <w:pitch w:val="default"/>
    <w:sig w:usb0="00000000" w:usb1="00000000" w:usb2="00000010" w:usb3="00000000" w:csb0="00040000" w:csb1="00000000"/>
  </w:font>
  <w:font w:name="黑体">
    <w:altName w:val="汉仪中黑KW"/>
    <w:panose1 w:val="02010600030101010101"/>
    <w:charset w:val="86"/>
    <w:family w:val="modern"/>
    <w:pitch w:val="default"/>
    <w:sig w:usb0="00000000" w:usb1="00000000" w:usb2="00000016" w:usb3="00000000" w:csb0="00040001" w:csb1="00000000"/>
  </w:font>
  <w:font w:name="楷体">
    <w:altName w:val="汉仪楷体KW"/>
    <w:panose1 w:val="00000000000000000000"/>
    <w:charset w:val="86"/>
    <w:family w:val="modern"/>
    <w:pitch w:val="default"/>
    <w:sig w:usb0="00000000" w:usb1="00000000" w:usb2="00000016" w:usb3="00000000" w:csb0="00040001" w:csb1="00000000"/>
  </w:font>
  <w:font w:name="Calibri Light">
    <w:altName w:val="Helvetica Neue"/>
    <w:panose1 w:val="00000000000000000000"/>
    <w:charset w:val="00"/>
    <w:family w:val="swiss"/>
    <w:pitch w:val="default"/>
    <w:sig w:usb0="00000000" w:usb1="00000000" w:usb2="00000000" w:usb3="00000000" w:csb0="0000019F" w:csb1="00000000"/>
  </w:font>
  <w:font w:name="微软雅黑">
    <w:altName w:val="汉仪旗黑KW"/>
    <w:panose1 w:val="00000000000000000000"/>
    <w:charset w:val="00"/>
    <w:family w:val="auto"/>
    <w:pitch w:val="default"/>
    <w:sig w:usb0="00000000" w:usb1="00000000" w:usb2="00000000" w:usb3="00000000" w:csb0="00000000" w:csb1="00000000"/>
  </w:font>
  <w:font w:name="汉仪旗黑KW">
    <w:panose1 w:val="00020600040101010101"/>
    <w:charset w:val="86"/>
    <w:family w:val="auto"/>
    <w:pitch w:val="default"/>
    <w:sig w:usb0="A00002BF" w:usb1="3ACF7CFA" w:usb2="00000016" w:usb3="00000000" w:csb0="0004009F" w:csb1="DFD70000"/>
  </w:font>
  <w:font w:name="+中文正">
    <w:altName w:val="苹方-简"/>
    <w:panose1 w:val="00000000000000000000"/>
    <w:charset w:val="00"/>
    <w:family w:val="auto"/>
    <w:pitch w:val="default"/>
    <w:sig w:usb0="00000000" w:usb1="00000000" w:usb2="00000000" w:usb3="00000000" w:csb0="00000000" w:csb1="00000000"/>
  </w:font>
  <w:font w:name="+中文">
    <w:altName w:val="苹方-简"/>
    <w:panose1 w:val="00000000000000000000"/>
    <w:charset w:val="00"/>
    <w:family w:val="auto"/>
    <w:pitch w:val="default"/>
    <w:sig w:usb0="00000000" w:usb1="00000000" w:usb2="00000000" w:usb3="00000000" w:csb0="00000000" w:csb1="00000000"/>
  </w:font>
  <w:font w:name="+中">
    <w:altName w:val="苹方-简"/>
    <w:panose1 w:val="00000000000000000000"/>
    <w:charset w:val="00"/>
    <w:family w:val="auto"/>
    <w:pitch w:val="default"/>
    <w:sig w:usb0="00000000" w:usb1="00000000" w:usb2="00000000" w:usb3="00000000" w:csb0="00000000" w:csb1="00000000"/>
  </w:font>
  <w:font w:name="+">
    <w:altName w:val="苹方-简"/>
    <w:panose1 w:val="00000000000000000000"/>
    <w:charset w:val="00"/>
    <w:family w:val="auto"/>
    <w:pitch w:val="default"/>
    <w:sig w:usb0="00000000" w:usb1="00000000" w:usb2="00000000" w:usb3="00000000" w:csb0="00000000" w:csb1="00000000"/>
  </w:font>
  <w:font w:name="F">
    <w:altName w:val="苹方-简"/>
    <w:panose1 w:val="00000000000000000000"/>
    <w:charset w:val="00"/>
    <w:family w:val="auto"/>
    <w:pitch w:val="default"/>
    <w:sig w:usb0="00000000" w:usb1="00000000" w:usb2="00000000" w:usb3="00000000" w:csb0="00000000" w:csb1="00000000"/>
  </w:font>
  <w:font w:name="FA">
    <w:altName w:val="苹方-简"/>
    <w:panose1 w:val="00000000000000000000"/>
    <w:charset w:val="00"/>
    <w:family w:val="auto"/>
    <w:pitch w:val="default"/>
    <w:sig w:usb0="00000000" w:usb1="00000000" w:usb2="00000000" w:usb3="00000000" w:csb0="00000000" w:csb1="00000000"/>
  </w:font>
  <w:font w:name="FAN">
    <w:altName w:val="苹方-简"/>
    <w:panose1 w:val="00000000000000000000"/>
    <w:charset w:val="00"/>
    <w:family w:val="auto"/>
    <w:pitch w:val="default"/>
    <w:sig w:usb0="00000000" w:usb1="00000000" w:usb2="00000000" w:usb3="00000000" w:csb0="00000000" w:csb1="00000000"/>
  </w:font>
  <w:font w:name="FANG">
    <w:altName w:val="苹方-简"/>
    <w:panose1 w:val="00000000000000000000"/>
    <w:charset w:val="00"/>
    <w:family w:val="auto"/>
    <w:pitch w:val="default"/>
    <w:sig w:usb0="00000000" w:usb1="00000000" w:usb2="00000000" w:usb3="00000000" w:csb0="00000000" w:csb1="00000000"/>
  </w:font>
  <w:font w:name="FANGS">
    <w:altName w:val="苹方-简"/>
    <w:panose1 w:val="00000000000000000000"/>
    <w:charset w:val="00"/>
    <w:family w:val="auto"/>
    <w:pitch w:val="default"/>
    <w:sig w:usb0="00000000" w:usb1="00000000" w:usb2="00000000" w:usb3="00000000" w:csb0="00000000" w:csb1="00000000"/>
  </w:font>
  <w:font w:name="FANGSO">
    <w:altName w:val="苹方-简"/>
    <w:panose1 w:val="00000000000000000000"/>
    <w:charset w:val="00"/>
    <w:family w:val="auto"/>
    <w:pitch w:val="default"/>
    <w:sig w:usb0="00000000" w:usb1="00000000" w:usb2="00000000" w:usb3="00000000" w:csb0="00000000" w:csb1="00000000"/>
  </w:font>
  <w:font w:name="d">
    <w:altName w:val="苹方-简"/>
    <w:panose1 w:val="00000000000000000000"/>
    <w:charset w:val="00"/>
    <w:family w:val="auto"/>
    <w:pitch w:val="default"/>
    <w:sig w:usb0="00000000" w:usb1="00000000" w:usb2="00000000" w:usb3="00000000" w:csb0="00000000"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黑体-繁">
    <w:panose1 w:val="02000000000000000000"/>
    <w:charset w:val="86"/>
    <w:family w:val="auto"/>
    <w:pitch w:val="default"/>
    <w:sig w:usb0="8000002F" w:usb1="0800004A" w:usb2="00000000" w:usb3="00000000" w:csb0="203E0000" w:csb1="00000000"/>
  </w:font>
  <w:font w:name="冬青黑体简体中文">
    <w:panose1 w:val="020B0300000000000000"/>
    <w:charset w:val="86"/>
    <w:family w:val="auto"/>
    <w:pitch w:val="default"/>
    <w:sig w:usb0="A00002BF" w:usb1="1ACF7CFA" w:usb2="00000016" w:usb3="00000000" w:csb0="00060007" w:csb1="00000000"/>
  </w:font>
  <w:font w:name="楷体-简">
    <w:panose1 w:val="02010600040101010101"/>
    <w:charset w:val="86"/>
    <w:family w:val="auto"/>
    <w:pitch w:val="default"/>
    <w:sig w:usb0="80000287" w:usb1="280F3C52" w:usb2="00000016" w:usb3="00000000" w:csb0="0004001F" w:csb1="00000000"/>
  </w:font>
  <w:font w:name="楷体-繁">
    <w:panose1 w:val="02010600040101010101"/>
    <w:charset w:val="86"/>
    <w:family w:val="auto"/>
    <w:pitch w:val="default"/>
    <w:sig w:usb0="80000287" w:usb1="280F3C52" w:usb2="00000016" w:usb3="00000000" w:csb0="0004001F" w:csb1="00000000"/>
  </w:font>
  <w:font w:name="仿_GB2312">
    <w:altName w:val="苹方-简"/>
    <w:panose1 w:val="00000000000000000000"/>
    <w:charset w:val="00"/>
    <w:family w:val="auto"/>
    <w:pitch w:val="default"/>
    <w:sig w:usb0="00000000" w:usb1="00000000" w:usb2="00000000" w:usb3="00000000" w:csb0="00000000" w:csb1="00000000"/>
  </w:font>
  <w:font w:name="仿_GB231">
    <w:altName w:val="苹方-简"/>
    <w:panose1 w:val="00000000000000000000"/>
    <w:charset w:val="00"/>
    <w:family w:val="auto"/>
    <w:pitch w:val="default"/>
    <w:sig w:usb0="00000000" w:usb1="00000000" w:usb2="00000000" w:usb3="00000000" w:csb0="00000000" w:csb1="00000000"/>
  </w:font>
  <w:font w:name="_GB2312">
    <w:altName w:val="苹方-简"/>
    <w:panose1 w:val="00000000000000000000"/>
    <w:charset w:val="00"/>
    <w:family w:val="auto"/>
    <w:pitch w:val="default"/>
    <w:sig w:usb0="00000000" w:usb1="00000000" w:usb2="00000000" w:usb3="00000000" w:csb0="00000000" w:csb1="00000000"/>
  </w:font>
  <w:font w:name="_GB2312楷体">
    <w:altName w:val="苹方-简"/>
    <w:panose1 w:val="00000000000000000000"/>
    <w:charset w:val="00"/>
    <w:family w:val="auto"/>
    <w:pitch w:val="default"/>
    <w:sig w:usb0="00000000" w:usb1="00000000" w:usb2="00000000" w:usb3="00000000" w:csb0="00000000" w:csb1="00000000"/>
  </w:font>
  <w:font w:name="_GB2312楷">
    <w:altName w:val="苹方-简"/>
    <w:panose1 w:val="00000000000000000000"/>
    <w:charset w:val="00"/>
    <w:family w:val="auto"/>
    <w:pitch w:val="default"/>
    <w:sig w:usb0="00000000" w:usb1="00000000" w:usb2="00000000" w:usb3="00000000" w:csb0="00000000" w:csb1="00000000"/>
  </w:font>
  <w:font w:name="楷体_GB2312">
    <w:altName w:val="汉仪楷体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楷体_GB2312">
    <w:altName w:val="汉仪楷体KW"/>
    <w:panose1 w:val="02010609030101010101"/>
    <w:charset w:val="86"/>
    <w:family w:val="modern"/>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Trattatello">
    <w:panose1 w:val="020F0403020200020303"/>
    <w:charset w:val="00"/>
    <w:family w:val="auto"/>
    <w:pitch w:val="default"/>
    <w:sig w:usb0="00000001" w:usb1="00002000" w:usb2="00000000" w:usb3="00000000" w:csb0="2000019F" w:csb1="4F010000"/>
  </w:font>
  <w:font w:name="Superclarendon">
    <w:panose1 w:val="02060605060000020003"/>
    <w:charset w:val="00"/>
    <w:family w:val="auto"/>
    <w:pitch w:val="default"/>
    <w:sig w:usb0="A00000EF" w:usb1="5000205A" w:usb2="00000000" w:usb3="00000000" w:csb0="20000183" w:csb1="00000000"/>
  </w:font>
  <w:font w:name="华文中宋">
    <w:altName w:val="华文宋体"/>
    <w:panose1 w:val="00000000000000000000"/>
    <w:charset w:val="86"/>
    <w:family w:val="auto"/>
    <w:pitch w:val="default"/>
    <w:sig w:usb0="00000000" w:usb1="00000000" w:usb2="00000010" w:usb3="00000000" w:csb0="0004009F" w:csb1="00000000"/>
  </w:font>
  <w:font w:name="方正小标宋_GBK">
    <w:altName w:val="苹方-简"/>
    <w:panose1 w:val="00000000000000000000"/>
    <w:charset w:val="86"/>
    <w:family w:val="auto"/>
    <w:pitch w:val="default"/>
    <w:sig w:usb0="00000000" w:usb1="00000000" w:usb2="00000000" w:usb3="00000000" w:csb0="00040000" w:csb1="00000000"/>
  </w:font>
  <w:font w:name="微软雅黑">
    <w:altName w:val="汉仪旗黑KW"/>
    <w:panose1 w:val="020B0503020204020204"/>
    <w:charset w:val="86"/>
    <w:family w:val="auto"/>
    <w:pitch w:val="default"/>
    <w:sig w:usb0="00000000" w:usb1="00000000" w:usb2="00000016" w:usb3="00000000" w:csb0="0004001F" w:csb1="00000000"/>
  </w:font>
  <w:font w:name="华文宋体">
    <w:panose1 w:val="02010600040101010101"/>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15013"/>
    <w:rsid w:val="0002553B"/>
    <w:rsid w:val="0003388C"/>
    <w:rsid w:val="000D4572"/>
    <w:rsid w:val="001222E8"/>
    <w:rsid w:val="00145400"/>
    <w:rsid w:val="00157AA6"/>
    <w:rsid w:val="00275469"/>
    <w:rsid w:val="002E242A"/>
    <w:rsid w:val="00367008"/>
    <w:rsid w:val="003E3E5B"/>
    <w:rsid w:val="00516AA5"/>
    <w:rsid w:val="00555781"/>
    <w:rsid w:val="00625AE6"/>
    <w:rsid w:val="006A6BCB"/>
    <w:rsid w:val="007058FD"/>
    <w:rsid w:val="007438C9"/>
    <w:rsid w:val="007728F8"/>
    <w:rsid w:val="007F2D24"/>
    <w:rsid w:val="00832205"/>
    <w:rsid w:val="008B59FF"/>
    <w:rsid w:val="008D3ACB"/>
    <w:rsid w:val="008E780C"/>
    <w:rsid w:val="009459A7"/>
    <w:rsid w:val="009B7EA8"/>
    <w:rsid w:val="00A028F4"/>
    <w:rsid w:val="00B74F56"/>
    <w:rsid w:val="00B92726"/>
    <w:rsid w:val="00CC3D77"/>
    <w:rsid w:val="00CD2A6D"/>
    <w:rsid w:val="00D5484C"/>
    <w:rsid w:val="00DB6C90"/>
    <w:rsid w:val="00E579E2"/>
    <w:rsid w:val="00F0310C"/>
    <w:rsid w:val="00F41EC5"/>
    <w:rsid w:val="00FF5070"/>
    <w:rsid w:val="014C4416"/>
    <w:rsid w:val="022F3D19"/>
    <w:rsid w:val="032F4BF7"/>
    <w:rsid w:val="03DD7968"/>
    <w:rsid w:val="057B5D70"/>
    <w:rsid w:val="0830058B"/>
    <w:rsid w:val="09E91B19"/>
    <w:rsid w:val="0B482A71"/>
    <w:rsid w:val="116F5480"/>
    <w:rsid w:val="136C3DFC"/>
    <w:rsid w:val="1CEC18DB"/>
    <w:rsid w:val="244B2A20"/>
    <w:rsid w:val="28C33546"/>
    <w:rsid w:val="29540C89"/>
    <w:rsid w:val="2BED0225"/>
    <w:rsid w:val="2E744EF0"/>
    <w:rsid w:val="3028318F"/>
    <w:rsid w:val="313F0E2E"/>
    <w:rsid w:val="320431B6"/>
    <w:rsid w:val="33044C96"/>
    <w:rsid w:val="331341C9"/>
    <w:rsid w:val="34D95281"/>
    <w:rsid w:val="367D28E3"/>
    <w:rsid w:val="37071DDA"/>
    <w:rsid w:val="3AF5636A"/>
    <w:rsid w:val="3C135EA1"/>
    <w:rsid w:val="3C752247"/>
    <w:rsid w:val="3CC67988"/>
    <w:rsid w:val="3D5E2F92"/>
    <w:rsid w:val="3FFA5DF4"/>
    <w:rsid w:val="3FFD1437"/>
    <w:rsid w:val="3FFF0F18"/>
    <w:rsid w:val="426451A6"/>
    <w:rsid w:val="452971D5"/>
    <w:rsid w:val="497C7CA7"/>
    <w:rsid w:val="49C71E8D"/>
    <w:rsid w:val="4BC8434D"/>
    <w:rsid w:val="4E6D8114"/>
    <w:rsid w:val="52225522"/>
    <w:rsid w:val="528625AC"/>
    <w:rsid w:val="52B03278"/>
    <w:rsid w:val="55346CC2"/>
    <w:rsid w:val="561B7094"/>
    <w:rsid w:val="57FFE61B"/>
    <w:rsid w:val="58733474"/>
    <w:rsid w:val="599F0F02"/>
    <w:rsid w:val="5A314E51"/>
    <w:rsid w:val="5D5D7F45"/>
    <w:rsid w:val="5D8D09C0"/>
    <w:rsid w:val="5DFC3892"/>
    <w:rsid w:val="5E5277AE"/>
    <w:rsid w:val="65442D73"/>
    <w:rsid w:val="65881FE7"/>
    <w:rsid w:val="6C4B27A1"/>
    <w:rsid w:val="6CA9007B"/>
    <w:rsid w:val="72464B7B"/>
    <w:rsid w:val="78D66CE1"/>
    <w:rsid w:val="78FD4A69"/>
    <w:rsid w:val="79157B61"/>
    <w:rsid w:val="7BFDEA12"/>
    <w:rsid w:val="7F415013"/>
    <w:rsid w:val="7F735BCF"/>
    <w:rsid w:val="7FBFC6FE"/>
    <w:rsid w:val="7FF862B5"/>
    <w:rsid w:val="7FFF2708"/>
    <w:rsid w:val="DDFD0D09"/>
    <w:rsid w:val="E77BD081"/>
    <w:rsid w:val="F7ECA174"/>
    <w:rsid w:val="FD3F7165"/>
    <w:rsid w:val="FFFAE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6"/>
    <w:link w:val="4"/>
    <w:qFormat/>
    <w:uiPriority w:val="0"/>
    <w:rPr>
      <w:rFonts w:asciiTheme="minorHAnsi" w:hAnsiTheme="minorHAnsi" w:eastAsiaTheme="minorEastAsia" w:cstheme="minorBidi"/>
      <w:kern w:val="2"/>
      <w:sz w:val="18"/>
      <w:szCs w:val="18"/>
    </w:rPr>
  </w:style>
  <w:style w:type="character" w:customStyle="1" w:styleId="10">
    <w:name w:val="页脚 字符"/>
    <w:basedOn w:val="6"/>
    <w:link w:val="3"/>
    <w:qFormat/>
    <w:uiPriority w:val="0"/>
    <w:rPr>
      <w:rFonts w:asciiTheme="minorHAnsi" w:hAnsiTheme="minorHAnsi" w:eastAsiaTheme="minorEastAsia" w:cstheme="minorBidi"/>
      <w:kern w:val="2"/>
      <w:sz w:val="18"/>
      <w:szCs w:val="18"/>
    </w:rPr>
  </w:style>
  <w:style w:type="character" w:customStyle="1" w:styleId="11">
    <w:name w:val="批注框文本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326</Words>
  <Characters>1860</Characters>
  <Lines>15</Lines>
  <Paragraphs>4</Paragraphs>
  <ScaleCrop>false</ScaleCrop>
  <LinksUpToDate>false</LinksUpToDate>
  <CharactersWithSpaces>2182</CharactersWithSpaces>
  <Application>WPS Office_1.2.1.1575_F1E327BC-269C-435d-A152-05C5408002CA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2023-10-14T09:08:00Z</dcterms:created>
  <dc:creator>lenovo</dc:creator>
  <cp:lastModifiedBy>apple</cp:lastModifiedBy>
  <cp:lastPrinted>2023-11-30T21:20:00Z</cp:lastPrinted>
  <dcterms:modified xsi:type="dcterms:W3CDTF">2024-02-18T17:25:32Z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2052-1.2.1.1575</vt:lpwstr>
  </property>
</Properties>
</file>