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DB6" w:rsidRDefault="007E2F4A" w:rsidP="00BA288B">
      <w:pPr>
        <w:pStyle w:val="5"/>
        <w:spacing w:before="480" w:afterLines="150"/>
        <w:rPr>
          <w:rFonts w:ascii="Arial" w:eastAsia="宋体" w:hAnsi="Arial" w:cs="Arial"/>
          <w:color w:val="000000"/>
          <w:kern w:val="0"/>
        </w:rPr>
      </w:pPr>
      <w:bookmarkStart w:id="0" w:name="_Toc101858112"/>
      <w:bookmarkStart w:id="1" w:name="_Toc16246"/>
      <w:r>
        <w:t>天津市跨省异地就医定点</w:t>
      </w:r>
      <w:r>
        <w:rPr>
          <w:rFonts w:hint="eastAsia"/>
        </w:rPr>
        <w:t>零售药店</w:t>
      </w:r>
      <w:r>
        <w:t>医疗服务附加协议</w:t>
      </w:r>
      <w:bookmarkEnd w:id="0"/>
      <w:bookmarkEnd w:id="1"/>
    </w:p>
    <w:p w:rsidR="00A53DB6" w:rsidRDefault="007E2F4A">
      <w:pPr>
        <w:pStyle w:val="4"/>
      </w:pPr>
      <w:r>
        <w:t>为加强和规范定点</w:t>
      </w:r>
      <w:r>
        <w:rPr>
          <w:rFonts w:hint="eastAsia"/>
        </w:rPr>
        <w:t>零售药店直接结算</w:t>
      </w:r>
      <w:r>
        <w:t>管理，深入推进跨省异地</w:t>
      </w:r>
      <w:r>
        <w:rPr>
          <w:rFonts w:hint="eastAsia"/>
        </w:rPr>
        <w:t>人员</w:t>
      </w:r>
      <w:r>
        <w:t>门诊慢特病等异地</w:t>
      </w:r>
      <w:r>
        <w:rPr>
          <w:rFonts w:hint="eastAsia"/>
        </w:rPr>
        <w:t>购药</w:t>
      </w:r>
      <w:r>
        <w:t>联网结算工作，根据《中华人民共和国社会保险法》、《零售药店医疗保障定点管理暂行办法》</w:t>
      </w:r>
      <w:r>
        <w:rPr>
          <w:rFonts w:hint="eastAsia"/>
        </w:rPr>
        <w:t>、</w:t>
      </w:r>
      <w:r>
        <w:t>《天津市零售药店医疗保障定点管理办法》</w:t>
      </w:r>
      <w:r>
        <w:rPr>
          <w:rFonts w:hint="eastAsia"/>
        </w:rPr>
        <w:t>、《国家医保局财政部关于进一步做好基本医疗保险跨省异地就医直接结算工作的通知》</w:t>
      </w:r>
      <w:r>
        <w:t>及本市异地就医相关规定，</w:t>
      </w:r>
      <w:r>
        <w:rPr>
          <w:rFonts w:hint="eastAsia"/>
        </w:rPr>
        <w:t>甲乙双方签订《天津市跨省异地就医定点零售药店医疗服务附加协议》</w:t>
      </w:r>
      <w:r>
        <w:t>。</w:t>
      </w:r>
    </w:p>
    <w:p w:rsidR="00A53DB6" w:rsidRDefault="007E2F4A">
      <w:pPr>
        <w:pStyle w:val="4"/>
      </w:pPr>
      <w:r>
        <w:rPr>
          <w:rStyle w:val="6Char"/>
        </w:rPr>
        <w:t>第一条</w:t>
      </w:r>
      <w:r w:rsidR="001A2518">
        <w:rPr>
          <w:rStyle w:val="6Char"/>
          <w:rFonts w:hint="eastAsia"/>
        </w:rPr>
        <w:t xml:space="preserve"> </w:t>
      </w:r>
      <w:r>
        <w:t>甲乙双方按照国家跨省就医工作的总体要求，共同完善跨省异地就医结算的经办对接工作，组织协调并实施跨省异地就医管理服务工作。</w:t>
      </w:r>
    </w:p>
    <w:p w:rsidR="00A53DB6" w:rsidRDefault="007E2F4A">
      <w:pPr>
        <w:pStyle w:val="4"/>
      </w:pPr>
      <w:r>
        <w:rPr>
          <w:rStyle w:val="6Char"/>
        </w:rPr>
        <w:t>第二条</w:t>
      </w:r>
      <w:r w:rsidR="001A2518">
        <w:rPr>
          <w:rStyle w:val="6Char"/>
          <w:rFonts w:hint="eastAsia"/>
        </w:rPr>
        <w:t xml:space="preserve"> </w:t>
      </w:r>
      <w:r>
        <w:t>甲乙双方应根据国家异地就医接口标准，进行本</w:t>
      </w:r>
      <w:r>
        <w:rPr>
          <w:rFonts w:hint="eastAsia"/>
        </w:rPr>
        <w:t>市</w:t>
      </w:r>
      <w:r>
        <w:t>异地就医结算系统的改造，为异地参保人员提供</w:t>
      </w:r>
      <w:r>
        <w:rPr>
          <w:rFonts w:hint="eastAsia"/>
        </w:rPr>
        <w:t>购药</w:t>
      </w:r>
      <w:r>
        <w:t>联网结算服务</w:t>
      </w:r>
      <w:r>
        <w:rPr>
          <w:rFonts w:hint="eastAsia"/>
        </w:rPr>
        <w:t>，并</w:t>
      </w:r>
      <w:r>
        <w:t>积极</w:t>
      </w:r>
      <w:r>
        <w:rPr>
          <w:rFonts w:hint="eastAsia"/>
        </w:rPr>
        <w:t>推进</w:t>
      </w:r>
      <w:r>
        <w:t>跨省异地就医门诊、门诊慢特病联网直接结算试点工作。</w:t>
      </w:r>
    </w:p>
    <w:p w:rsidR="00A53DB6" w:rsidRDefault="007E2F4A">
      <w:pPr>
        <w:pStyle w:val="4"/>
      </w:pPr>
      <w:r>
        <w:rPr>
          <w:rStyle w:val="6Char"/>
        </w:rPr>
        <w:t>第三条</w:t>
      </w:r>
      <w:r w:rsidR="001A2518">
        <w:rPr>
          <w:rStyle w:val="6Char"/>
          <w:rFonts w:hint="eastAsia"/>
        </w:rPr>
        <w:t xml:space="preserve"> </w:t>
      </w:r>
      <w:r>
        <w:t>甲方按照国家及本市文件要求，确定本市</w:t>
      </w:r>
      <w:r>
        <w:rPr>
          <w:rFonts w:hint="eastAsia"/>
        </w:rPr>
        <w:t>开展</w:t>
      </w:r>
      <w:r>
        <w:t>异地</w:t>
      </w:r>
      <w:r>
        <w:rPr>
          <w:rFonts w:hint="eastAsia"/>
        </w:rPr>
        <w:t>就医结算业务的</w:t>
      </w:r>
      <w:r>
        <w:t>定点</w:t>
      </w:r>
      <w:r>
        <w:rPr>
          <w:rFonts w:hint="eastAsia"/>
        </w:rPr>
        <w:t>零售药店名单</w:t>
      </w:r>
      <w:r>
        <w:t>、医保服务类别，制定异地</w:t>
      </w:r>
      <w:r>
        <w:rPr>
          <w:rFonts w:hint="eastAsia"/>
        </w:rPr>
        <w:t>结算、</w:t>
      </w:r>
      <w:r>
        <w:t>清算</w:t>
      </w:r>
      <w:r>
        <w:rPr>
          <w:rFonts w:hint="eastAsia"/>
        </w:rPr>
        <w:t>及相关业务</w:t>
      </w:r>
      <w:r>
        <w:t>流程。</w:t>
      </w:r>
    </w:p>
    <w:p w:rsidR="00A53DB6" w:rsidRDefault="007E2F4A">
      <w:pPr>
        <w:pStyle w:val="4"/>
      </w:pPr>
      <w:r>
        <w:rPr>
          <w:rStyle w:val="6Char"/>
        </w:rPr>
        <w:t>第四条</w:t>
      </w:r>
      <w:r w:rsidR="001A2518">
        <w:rPr>
          <w:rStyle w:val="6Char"/>
          <w:rFonts w:hint="eastAsia"/>
        </w:rPr>
        <w:t xml:space="preserve"> </w:t>
      </w:r>
      <w:r>
        <w:t>甲方应于每月25日前，通过国家异地就医结算系统对国家平台生成的上月清算数据进行确认，确认后及时汇总转财，按照规定的流程与乙方进行清算。遇信息系统原因、法定节假日等特殊情况清算时间顺延。</w:t>
      </w:r>
    </w:p>
    <w:p w:rsidR="00A53DB6" w:rsidRDefault="007E2F4A">
      <w:pPr>
        <w:pStyle w:val="4"/>
      </w:pPr>
      <w:r>
        <w:rPr>
          <w:rStyle w:val="6Char"/>
        </w:rPr>
        <w:t>第五条</w:t>
      </w:r>
      <w:r w:rsidR="001A2518">
        <w:rPr>
          <w:rStyle w:val="6Char"/>
          <w:rFonts w:hint="eastAsia"/>
        </w:rPr>
        <w:t xml:space="preserve"> </w:t>
      </w:r>
      <w:r>
        <w:t>甲方依据乙方承担的门诊</w:t>
      </w:r>
      <w:r>
        <w:rPr>
          <w:rFonts w:hint="eastAsia"/>
        </w:rPr>
        <w:t>购药</w:t>
      </w:r>
      <w:r>
        <w:t>等医疗服务类别确定相应的考核指标，参与年度内天津市</w:t>
      </w:r>
      <w:r>
        <w:rPr>
          <w:rFonts w:hint="eastAsia"/>
        </w:rPr>
        <w:t>定点零售药店协议</w:t>
      </w:r>
      <w:r>
        <w:t>考核。</w:t>
      </w:r>
    </w:p>
    <w:p w:rsidR="00A53DB6" w:rsidRDefault="007E2F4A">
      <w:pPr>
        <w:pStyle w:val="4"/>
      </w:pPr>
      <w:r>
        <w:rPr>
          <w:rStyle w:val="6Char"/>
        </w:rPr>
        <w:t>第六条</w:t>
      </w:r>
      <w:r w:rsidR="001A2518">
        <w:rPr>
          <w:rStyle w:val="6Char"/>
          <w:rFonts w:hint="eastAsia"/>
        </w:rPr>
        <w:t xml:space="preserve"> </w:t>
      </w:r>
      <w:r>
        <w:t>乙方应认真履行</w:t>
      </w:r>
      <w:r>
        <w:rPr>
          <w:rFonts w:hint="eastAsia"/>
        </w:rPr>
        <w:t>《</w:t>
      </w:r>
      <w:r>
        <w:t>天津市医疗保障定点</w:t>
      </w:r>
      <w:r>
        <w:rPr>
          <w:rFonts w:hint="eastAsia"/>
        </w:rPr>
        <w:t>零售药店医疗</w:t>
      </w:r>
      <w:r>
        <w:t>服务协议</w:t>
      </w:r>
      <w:r>
        <w:rPr>
          <w:rFonts w:hint="eastAsia"/>
        </w:rPr>
        <w:t>》</w:t>
      </w:r>
      <w:r>
        <w:t>约定条款，设立具有明显异地就医结算标识的</w:t>
      </w:r>
      <w:r>
        <w:rPr>
          <w:rFonts w:hint="eastAsia"/>
        </w:rPr>
        <w:t>联网</w:t>
      </w:r>
      <w:r>
        <w:t>结算窗口，实现异地参保人员持</w:t>
      </w:r>
      <w:r>
        <w:rPr>
          <w:rFonts w:hint="eastAsia"/>
        </w:rPr>
        <w:t>社会保障</w:t>
      </w:r>
      <w:r>
        <w:t>卡</w:t>
      </w:r>
      <w:r>
        <w:rPr>
          <w:rFonts w:hint="eastAsia"/>
        </w:rPr>
        <w:t>或医保电子凭证购药</w:t>
      </w:r>
      <w:r>
        <w:t>、即时结算。</w:t>
      </w:r>
    </w:p>
    <w:p w:rsidR="00A53DB6" w:rsidRDefault="007E2F4A">
      <w:pPr>
        <w:pStyle w:val="4"/>
      </w:pPr>
      <w:r>
        <w:rPr>
          <w:rStyle w:val="6Char"/>
        </w:rPr>
        <w:lastRenderedPageBreak/>
        <w:t>第七条</w:t>
      </w:r>
      <w:r w:rsidR="001A2518">
        <w:rPr>
          <w:rStyle w:val="6Char"/>
          <w:rFonts w:hint="eastAsia"/>
        </w:rPr>
        <w:t xml:space="preserve"> </w:t>
      </w:r>
      <w:r>
        <w:t>乙方为异地参保人员提供服务时，</w:t>
      </w:r>
      <w:r>
        <w:rPr>
          <w:rFonts w:hint="eastAsia"/>
        </w:rPr>
        <w:t>应严格</w:t>
      </w:r>
      <w:r>
        <w:t>按照天津市支付范围（基本医疗保险药品目录</w:t>
      </w:r>
      <w:r>
        <w:rPr>
          <w:rFonts w:hint="eastAsia"/>
        </w:rPr>
        <w:t>等</w:t>
      </w:r>
      <w:r>
        <w:t>）及有关规定</w:t>
      </w:r>
      <w:r>
        <w:rPr>
          <w:rFonts w:hint="eastAsia"/>
        </w:rPr>
        <w:t>执行</w:t>
      </w:r>
      <w:r>
        <w:t>。</w:t>
      </w:r>
      <w:r>
        <w:rPr>
          <w:rFonts w:hint="eastAsia"/>
        </w:rPr>
        <w:t>执行本市外购处方的就医政策</w:t>
      </w:r>
      <w:r>
        <w:t>。按照本市药品管理有关规定购进、使用、管理药品</w:t>
      </w:r>
      <w:r>
        <w:rPr>
          <w:rFonts w:hint="eastAsia"/>
        </w:rPr>
        <w:t>。</w:t>
      </w:r>
      <w:r>
        <w:t>根据自身规模，</w:t>
      </w:r>
      <w:r>
        <w:rPr>
          <w:rFonts w:hint="eastAsia"/>
        </w:rPr>
        <w:t>服务类别</w:t>
      </w:r>
      <w:r>
        <w:t>确保医保目录内药品的供应。</w:t>
      </w:r>
      <w:r>
        <w:rPr>
          <w:rFonts w:hint="eastAsia"/>
        </w:rPr>
        <w:t>实行药品“进、销、存、调”全程信息化管理，要求实时传输相关数据，留存进销凭证。</w:t>
      </w:r>
    </w:p>
    <w:p w:rsidR="00A53DB6" w:rsidRDefault="007E2F4A">
      <w:pPr>
        <w:pStyle w:val="4"/>
      </w:pPr>
      <w:r>
        <w:rPr>
          <w:rStyle w:val="6Char"/>
        </w:rPr>
        <w:t>第八条</w:t>
      </w:r>
      <w:r w:rsidR="001A2518">
        <w:rPr>
          <w:rStyle w:val="6Char"/>
          <w:rFonts w:hint="eastAsia"/>
        </w:rPr>
        <w:t xml:space="preserve"> </w:t>
      </w:r>
      <w:r>
        <w:t>乙方按照国家</w:t>
      </w:r>
      <w:r>
        <w:rPr>
          <w:rFonts w:hint="eastAsia"/>
        </w:rPr>
        <w:t>及本市</w:t>
      </w:r>
      <w:r>
        <w:t>统一的经办流程，根据</w:t>
      </w:r>
      <w:r>
        <w:rPr>
          <w:rFonts w:hint="eastAsia"/>
        </w:rPr>
        <w:t>“</w:t>
      </w:r>
      <w:r>
        <w:t>参保地待遇</w:t>
      </w:r>
      <w:r>
        <w:rPr>
          <w:rFonts w:hint="eastAsia"/>
        </w:rPr>
        <w:t>”</w:t>
      </w:r>
      <w:r>
        <w:t>为异地就医参保人员提供一单式</w:t>
      </w:r>
      <w:r>
        <w:rPr>
          <w:rFonts w:hint="eastAsia"/>
        </w:rPr>
        <w:t>异地</w:t>
      </w:r>
      <w:r>
        <w:t>联网结算服务。</w:t>
      </w:r>
      <w:r>
        <w:rPr>
          <w:rFonts w:hint="eastAsia"/>
        </w:rPr>
        <w:t>乙方应按照有关规定，严格执行跨省异地就医退费管理。异地参保人员确需办理退费的，乙方应做好退费服务。</w:t>
      </w:r>
    </w:p>
    <w:p w:rsidR="00A53DB6" w:rsidRDefault="007E2F4A">
      <w:pPr>
        <w:pStyle w:val="4"/>
      </w:pPr>
      <w:r>
        <w:rPr>
          <w:rStyle w:val="6Char"/>
        </w:rPr>
        <w:t>第九条</w:t>
      </w:r>
      <w:r w:rsidR="001A2518">
        <w:rPr>
          <w:rStyle w:val="6Char"/>
          <w:rFonts w:hint="eastAsia"/>
        </w:rPr>
        <w:t xml:space="preserve"> </w:t>
      </w:r>
      <w:r>
        <w:t>乙方应优化</w:t>
      </w:r>
      <w:r>
        <w:rPr>
          <w:rFonts w:hint="eastAsia"/>
        </w:rPr>
        <w:t>服务，</w:t>
      </w:r>
      <w:r>
        <w:t>方便异地</w:t>
      </w:r>
      <w:r>
        <w:rPr>
          <w:rFonts w:hint="eastAsia"/>
        </w:rPr>
        <w:t>参保人员购药</w:t>
      </w:r>
      <w:r>
        <w:t>联网结算。提供结算单及</w:t>
      </w:r>
      <w:r>
        <w:rPr>
          <w:rFonts w:hint="eastAsia"/>
        </w:rPr>
        <w:t>购药</w:t>
      </w:r>
      <w:r>
        <w:t>专用票据</w:t>
      </w:r>
      <w:r>
        <w:rPr>
          <w:rFonts w:hint="eastAsia"/>
        </w:rPr>
        <w:t>，</w:t>
      </w:r>
      <w:r>
        <w:t>属于医保基金支付的费用，由甲乙双方按协议结算</w:t>
      </w:r>
      <w:r>
        <w:rPr>
          <w:rFonts w:hint="eastAsia"/>
        </w:rPr>
        <w:t>、清算</w:t>
      </w:r>
      <w:r>
        <w:t>。异地参保人员因故全额垫付费用的，</w:t>
      </w:r>
      <w:r>
        <w:rPr>
          <w:rFonts w:hint="eastAsia"/>
        </w:rPr>
        <w:t>告知</w:t>
      </w:r>
      <w:r>
        <w:t>参保人</w:t>
      </w:r>
      <w:r>
        <w:rPr>
          <w:rFonts w:hint="eastAsia"/>
        </w:rPr>
        <w:t>按</w:t>
      </w:r>
      <w:r>
        <w:t>参保地</w:t>
      </w:r>
      <w:r>
        <w:rPr>
          <w:rFonts w:hint="eastAsia"/>
        </w:rPr>
        <w:t>相关规定</w:t>
      </w:r>
      <w:r>
        <w:t>报销。</w:t>
      </w:r>
    </w:p>
    <w:p w:rsidR="00A53DB6" w:rsidRDefault="007E2F4A">
      <w:pPr>
        <w:pStyle w:val="4"/>
      </w:pPr>
      <w:r>
        <w:rPr>
          <w:rStyle w:val="6Char"/>
        </w:rPr>
        <w:t>第十条</w:t>
      </w:r>
      <w:r w:rsidR="001A2518">
        <w:rPr>
          <w:rStyle w:val="6Char"/>
          <w:rFonts w:hint="eastAsia"/>
        </w:rPr>
        <w:t xml:space="preserve"> </w:t>
      </w:r>
      <w:r>
        <w:t>乙方应按照国家及本市门诊费用跨省直接结算经办规程要求，确保上传明细及时、准确、完整。甲乙双方应实现参保地、就医地异地就医结算系统和国家异地就医结算系统的三方对账准确，做到数据相符。乙方应按照有关规定，严格执行跨省异地就医退费管理</w:t>
      </w:r>
      <w:r>
        <w:rPr>
          <w:rFonts w:hint="eastAsia"/>
        </w:rPr>
        <w:t>，</w:t>
      </w:r>
      <w:r>
        <w:t>异地参保人员确需办理退费的，乙方应做好退费服务。</w:t>
      </w:r>
    </w:p>
    <w:p w:rsidR="00A53DB6" w:rsidRDefault="007E2F4A">
      <w:pPr>
        <w:pStyle w:val="4"/>
      </w:pPr>
      <w:r>
        <w:rPr>
          <w:rStyle w:val="6Char"/>
        </w:rPr>
        <w:t>第十</w:t>
      </w:r>
      <w:r>
        <w:rPr>
          <w:rStyle w:val="6Char"/>
          <w:rFonts w:hint="eastAsia"/>
        </w:rPr>
        <w:t>一</w:t>
      </w:r>
      <w:r>
        <w:rPr>
          <w:rStyle w:val="6Char"/>
        </w:rPr>
        <w:t>条</w:t>
      </w:r>
      <w:r w:rsidR="001A2518">
        <w:rPr>
          <w:rStyle w:val="6Char"/>
          <w:rFonts w:hint="eastAsia"/>
        </w:rPr>
        <w:t xml:space="preserve"> </w:t>
      </w:r>
      <w:r>
        <w:t>经三方对账成功后医疗费用，乙方进行费用申报时，</w:t>
      </w:r>
      <w:r>
        <w:rPr>
          <w:rFonts w:hint="eastAsia"/>
        </w:rPr>
        <w:t>如有</w:t>
      </w:r>
      <w:r>
        <w:t>违</w:t>
      </w:r>
      <w:r>
        <w:rPr>
          <w:rFonts w:hint="eastAsia"/>
        </w:rPr>
        <w:t>约行为，一经查实，甲方有权追回医保支付基金并按协议条款处理。</w:t>
      </w:r>
    </w:p>
    <w:p w:rsidR="00A53DB6" w:rsidRDefault="007E2F4A">
      <w:pPr>
        <w:pStyle w:val="4"/>
      </w:pPr>
      <w:r>
        <w:rPr>
          <w:rStyle w:val="6Char"/>
        </w:rPr>
        <w:t>第十</w:t>
      </w:r>
      <w:r>
        <w:rPr>
          <w:rStyle w:val="6Char"/>
          <w:rFonts w:hint="eastAsia"/>
        </w:rPr>
        <w:t>二</w:t>
      </w:r>
      <w:r>
        <w:rPr>
          <w:rStyle w:val="6Char"/>
        </w:rPr>
        <w:t>条</w:t>
      </w:r>
      <w:r w:rsidR="001A2518">
        <w:rPr>
          <w:rStyle w:val="6Char"/>
          <w:rFonts w:hint="eastAsia"/>
        </w:rPr>
        <w:t xml:space="preserve"> </w:t>
      </w:r>
      <w:r>
        <w:t>乙方应建立异地就医联网结算对接机制，设置投诉举报窗口，向甲方反馈信息，协调处理因异地就医结算过程中发生的争议及纠纷。</w:t>
      </w:r>
      <w:r>
        <w:rPr>
          <w:rFonts w:hint="eastAsia"/>
        </w:rPr>
        <w:t>甲方对查实的重大违法违规行为按照规定执行，并上报天津市、国家医保行政部门。</w:t>
      </w:r>
    </w:p>
    <w:p w:rsidR="00A53DB6" w:rsidRDefault="007E2F4A">
      <w:pPr>
        <w:pStyle w:val="4"/>
      </w:pPr>
      <w:r>
        <w:rPr>
          <w:rStyle w:val="6Char"/>
        </w:rPr>
        <w:t>第十</w:t>
      </w:r>
      <w:r>
        <w:rPr>
          <w:rStyle w:val="6Char"/>
          <w:rFonts w:hint="eastAsia"/>
        </w:rPr>
        <w:t>三</w:t>
      </w:r>
      <w:r>
        <w:rPr>
          <w:rStyle w:val="6Char"/>
        </w:rPr>
        <w:t>条</w:t>
      </w:r>
      <w:r w:rsidR="001A2518">
        <w:rPr>
          <w:rStyle w:val="6Char"/>
          <w:rFonts w:hint="eastAsia"/>
        </w:rPr>
        <w:t xml:space="preserve"> </w:t>
      </w:r>
      <w:r>
        <w:t>乙方应积极配合国家、本市、异地经办机构组织的跨省异地就医联审互查、协同工作，及本地的异地就医监督管理工作。</w:t>
      </w:r>
    </w:p>
    <w:p w:rsidR="00A53DB6" w:rsidRDefault="007E2F4A">
      <w:pPr>
        <w:pStyle w:val="4"/>
      </w:pPr>
      <w:r>
        <w:rPr>
          <w:rStyle w:val="6Char"/>
        </w:rPr>
        <w:t>第十</w:t>
      </w:r>
      <w:r>
        <w:rPr>
          <w:rStyle w:val="6Char"/>
          <w:rFonts w:hint="eastAsia"/>
        </w:rPr>
        <w:t>四</w:t>
      </w:r>
      <w:r>
        <w:rPr>
          <w:rStyle w:val="6Char"/>
        </w:rPr>
        <w:t>条</w:t>
      </w:r>
      <w:r w:rsidR="001A2518">
        <w:rPr>
          <w:rStyle w:val="6Char"/>
          <w:rFonts w:hint="eastAsia"/>
        </w:rPr>
        <w:t xml:space="preserve"> </w:t>
      </w:r>
      <w:r>
        <w:t>乙方因违反《天津市医疗保障定点</w:t>
      </w:r>
      <w:r>
        <w:rPr>
          <w:rFonts w:hint="eastAsia"/>
        </w:rPr>
        <w:t>零售药店医疗</w:t>
      </w:r>
      <w:r>
        <w:t>服务协议书》主</w:t>
      </w:r>
      <w:r>
        <w:lastRenderedPageBreak/>
        <w:t>协议约定，被中止或解除服务协议（含</w:t>
      </w:r>
      <w:r>
        <w:rPr>
          <w:rFonts w:hint="eastAsia"/>
        </w:rPr>
        <w:t>服务类别及</w:t>
      </w:r>
      <w:r>
        <w:t>服务</w:t>
      </w:r>
      <w:r>
        <w:rPr>
          <w:rFonts w:hint="eastAsia"/>
        </w:rPr>
        <w:t>药</w:t>
      </w:r>
      <w:r>
        <w:t>师）等，异地协议</w:t>
      </w:r>
      <w:r>
        <w:rPr>
          <w:rFonts w:hint="eastAsia"/>
        </w:rPr>
        <w:t>参照相关条款</w:t>
      </w:r>
      <w:r>
        <w:t>同步处理。</w:t>
      </w:r>
    </w:p>
    <w:p w:rsidR="00A53DB6" w:rsidRDefault="007E2F4A">
      <w:pPr>
        <w:pStyle w:val="4"/>
      </w:pPr>
      <w:r>
        <w:rPr>
          <w:rStyle w:val="6Char"/>
        </w:rPr>
        <w:t>第十</w:t>
      </w:r>
      <w:r>
        <w:rPr>
          <w:rStyle w:val="6Char"/>
          <w:rFonts w:hint="eastAsia"/>
        </w:rPr>
        <w:t>五</w:t>
      </w:r>
      <w:r>
        <w:rPr>
          <w:rStyle w:val="6Char"/>
        </w:rPr>
        <w:t>条</w:t>
      </w:r>
      <w:r w:rsidR="001A2518">
        <w:rPr>
          <w:rStyle w:val="6Char"/>
          <w:rFonts w:hint="eastAsia"/>
        </w:rPr>
        <w:t xml:space="preserve"> </w:t>
      </w:r>
      <w:r>
        <w:t>乙方停止服务期间（含中止、解除协议），应在其营业场所显著位置将有关情况向参保人员进行告知。</w:t>
      </w:r>
    </w:p>
    <w:p w:rsidR="00A53DB6" w:rsidRDefault="007E2F4A">
      <w:pPr>
        <w:pStyle w:val="4"/>
      </w:pPr>
      <w:r>
        <w:rPr>
          <w:rStyle w:val="6Char"/>
        </w:rPr>
        <w:t>第</w:t>
      </w:r>
      <w:r>
        <w:rPr>
          <w:rStyle w:val="6Char"/>
          <w:rFonts w:hint="eastAsia"/>
        </w:rPr>
        <w:t>十六</w:t>
      </w:r>
      <w:r>
        <w:rPr>
          <w:rStyle w:val="6Char"/>
        </w:rPr>
        <w:t>条</w:t>
      </w:r>
      <w:r w:rsidR="001A2518">
        <w:rPr>
          <w:rStyle w:val="6Char"/>
          <w:rFonts w:hint="eastAsia"/>
        </w:rPr>
        <w:t xml:space="preserve"> </w:t>
      </w:r>
      <w:r>
        <w:rPr>
          <w:rFonts w:hint="eastAsia"/>
        </w:rPr>
        <w:t>甲</w:t>
      </w:r>
      <w:r>
        <w:t>乙双方就医保协议签订、履行、变更和解除发生争议的，可以自行协商解决或者请求同级医疗保障行政部门协调处理，协商不成可以依法提起行政复议或者行政诉讼解决。</w:t>
      </w:r>
    </w:p>
    <w:p w:rsidR="00A53DB6" w:rsidRDefault="007E2F4A">
      <w:pPr>
        <w:pStyle w:val="8"/>
        <w:spacing w:line="353" w:lineRule="auto"/>
      </w:pPr>
      <w:r>
        <w:rPr>
          <w:rFonts w:ascii="黑体" w:eastAsia="黑体" w:hAnsi="黑体"/>
          <w:color w:val="000000"/>
        </w:rPr>
        <w:t>第</w:t>
      </w:r>
      <w:r>
        <w:rPr>
          <w:rFonts w:ascii="黑体" w:eastAsia="黑体" w:hAnsi="黑体" w:hint="eastAsia"/>
          <w:color w:val="000000"/>
        </w:rPr>
        <w:t>十七</w:t>
      </w:r>
      <w:r>
        <w:rPr>
          <w:rFonts w:ascii="黑体" w:eastAsia="黑体" w:hAnsi="黑体"/>
          <w:color w:val="000000"/>
        </w:rPr>
        <w:t>条</w:t>
      </w:r>
      <w:r w:rsidR="001A2518">
        <w:rPr>
          <w:rFonts w:ascii="黑体" w:eastAsia="黑体" w:hAnsi="黑体" w:hint="eastAsia"/>
          <w:color w:val="000000"/>
        </w:rPr>
        <w:t xml:space="preserve"> </w:t>
      </w:r>
      <w:r>
        <w:rPr>
          <w:rFonts w:ascii="Times New Roman" w:hAnsi="方正书宋简体"/>
        </w:rPr>
        <w:t>乙方应同时遵守本年度</w:t>
      </w:r>
      <w:r>
        <w:t>《天津市医疗保障定点</w:t>
      </w:r>
      <w:r>
        <w:rPr>
          <w:rFonts w:hint="eastAsia"/>
        </w:rPr>
        <w:t>零售药店医疗</w:t>
      </w:r>
      <w:r>
        <w:t>服务协议书》</w:t>
      </w:r>
      <w:r>
        <w:rPr>
          <w:rFonts w:ascii="Times New Roman" w:hAnsi="方正书宋简体"/>
        </w:rPr>
        <w:t>相关条款的要求。如有违约情况参照</w:t>
      </w:r>
      <w:r>
        <w:t>《天津市医疗保障定点</w:t>
      </w:r>
      <w:r>
        <w:rPr>
          <w:rFonts w:hint="eastAsia"/>
        </w:rPr>
        <w:t>零售药店医疗</w:t>
      </w:r>
      <w:r>
        <w:t>服务协议书》</w:t>
      </w:r>
      <w:r>
        <w:rPr>
          <w:rFonts w:ascii="Times New Roman" w:hAnsi="方正书宋简体"/>
        </w:rPr>
        <w:t>相关条款处理。</w:t>
      </w:r>
    </w:p>
    <w:p w:rsidR="00A53DB6" w:rsidRDefault="007E2F4A">
      <w:pPr>
        <w:pStyle w:val="4"/>
      </w:pPr>
      <w:r>
        <w:rPr>
          <w:rStyle w:val="6Char"/>
        </w:rPr>
        <w:t>第</w:t>
      </w:r>
      <w:r>
        <w:rPr>
          <w:rStyle w:val="6Char"/>
          <w:rFonts w:hint="eastAsia"/>
        </w:rPr>
        <w:t>十八</w:t>
      </w:r>
      <w:r>
        <w:rPr>
          <w:rStyle w:val="6Char"/>
        </w:rPr>
        <w:t>条</w:t>
      </w:r>
      <w:r w:rsidR="001A2518">
        <w:rPr>
          <w:rStyle w:val="6Char"/>
          <w:rFonts w:hint="eastAsia"/>
        </w:rPr>
        <w:t xml:space="preserve"> </w:t>
      </w:r>
      <w:r>
        <w:rPr>
          <w:rFonts w:hint="eastAsia"/>
        </w:rPr>
        <w:t>本附加协议有效期与主协议保持一致</w:t>
      </w:r>
      <w:r>
        <w:t>。</w:t>
      </w:r>
    </w:p>
    <w:p w:rsidR="00A53DB6" w:rsidRDefault="00A53DB6">
      <w:pPr>
        <w:pStyle w:val="4"/>
      </w:pPr>
    </w:p>
    <w:p w:rsidR="00A53DB6" w:rsidRDefault="00A53DB6">
      <w:pPr>
        <w:pStyle w:val="4"/>
      </w:pPr>
    </w:p>
    <w:p w:rsidR="00A53DB6" w:rsidRDefault="00A53DB6">
      <w:pPr>
        <w:pStyle w:val="4"/>
      </w:pPr>
    </w:p>
    <w:p w:rsidR="00A53DB6" w:rsidRDefault="007E2F4A">
      <w:pPr>
        <w:pStyle w:val="4"/>
      </w:pPr>
      <w:r>
        <w:rPr>
          <w:rFonts w:hint="eastAsia"/>
        </w:rPr>
        <w:t>甲方（公章）：</w:t>
      </w:r>
      <w:r>
        <w:rPr>
          <w:rFonts w:hint="eastAsia"/>
        </w:rPr>
        <w:tab/>
      </w:r>
      <w:r>
        <w:rPr>
          <w:rFonts w:hint="eastAsia"/>
        </w:rPr>
        <w:tab/>
      </w:r>
      <w:r>
        <w:rPr>
          <w:rFonts w:hint="eastAsia"/>
        </w:rPr>
        <w:tab/>
      </w:r>
      <w:r w:rsidR="009133CF">
        <w:rPr>
          <w:rFonts w:hint="eastAsia"/>
        </w:rPr>
        <w:t xml:space="preserve">          </w:t>
      </w:r>
      <w:r>
        <w:rPr>
          <w:rFonts w:hint="eastAsia"/>
        </w:rPr>
        <w:t>乙方（公章）：</w:t>
      </w:r>
    </w:p>
    <w:p w:rsidR="00A53DB6" w:rsidRDefault="00A53DB6">
      <w:pPr>
        <w:pStyle w:val="4"/>
      </w:pPr>
    </w:p>
    <w:p w:rsidR="00A53DB6" w:rsidRDefault="007E2F4A">
      <w:pPr>
        <w:pStyle w:val="4"/>
      </w:pPr>
      <w:r>
        <w:rPr>
          <w:rFonts w:hint="eastAsia"/>
        </w:rPr>
        <w:t>法定代表人（签章）：</w:t>
      </w:r>
      <w:r>
        <w:rPr>
          <w:rFonts w:hint="eastAsia"/>
        </w:rPr>
        <w:tab/>
      </w:r>
      <w:r>
        <w:rPr>
          <w:rFonts w:hint="eastAsia"/>
        </w:rPr>
        <w:tab/>
      </w:r>
      <w:r w:rsidR="009133CF">
        <w:rPr>
          <w:rFonts w:hint="eastAsia"/>
        </w:rPr>
        <w:t xml:space="preserve">      </w:t>
      </w:r>
      <w:r>
        <w:rPr>
          <w:rFonts w:hint="eastAsia"/>
        </w:rPr>
        <w:t>法定代表人（签章）：</w:t>
      </w:r>
    </w:p>
    <w:p w:rsidR="00A53DB6" w:rsidRDefault="00A53DB6">
      <w:pPr>
        <w:pStyle w:val="4"/>
      </w:pPr>
    </w:p>
    <w:p w:rsidR="00A53DB6" w:rsidRDefault="009133CF" w:rsidP="00BA288B">
      <w:pPr>
        <w:pStyle w:val="4"/>
      </w:pPr>
      <w:r>
        <w:rPr>
          <w:rFonts w:hint="eastAsia"/>
        </w:rPr>
        <w:t xml:space="preserve">    </w:t>
      </w:r>
      <w:r w:rsidR="007E2F4A">
        <w:rPr>
          <w:rFonts w:hint="eastAsia"/>
        </w:rPr>
        <w:t>年</w:t>
      </w:r>
      <w:r>
        <w:rPr>
          <w:rFonts w:hint="eastAsia"/>
        </w:rPr>
        <w:t xml:space="preserve">   </w:t>
      </w:r>
      <w:r w:rsidR="007E2F4A">
        <w:rPr>
          <w:rFonts w:hint="eastAsia"/>
        </w:rPr>
        <w:t>月</w:t>
      </w:r>
      <w:r>
        <w:rPr>
          <w:rFonts w:hint="eastAsia"/>
        </w:rPr>
        <w:t xml:space="preserve">   </w:t>
      </w:r>
      <w:r w:rsidR="007E2F4A">
        <w:rPr>
          <w:rFonts w:hint="eastAsia"/>
        </w:rPr>
        <w:t>日</w:t>
      </w:r>
      <w:r w:rsidR="007E2F4A">
        <w:rPr>
          <w:rFonts w:hint="eastAsia"/>
        </w:rPr>
        <w:tab/>
      </w:r>
      <w:r w:rsidR="007E2F4A">
        <w:rPr>
          <w:rFonts w:hint="eastAsia"/>
        </w:rPr>
        <w:tab/>
      </w:r>
      <w:r w:rsidR="007E2F4A">
        <w:rPr>
          <w:rFonts w:hint="eastAsia"/>
        </w:rPr>
        <w:tab/>
      </w:r>
      <w:r w:rsidR="007E2F4A">
        <w:rPr>
          <w:rFonts w:hint="eastAsia"/>
        </w:rPr>
        <w:tab/>
      </w:r>
      <w:r w:rsidR="007E2F4A">
        <w:rPr>
          <w:rFonts w:hint="eastAsia"/>
        </w:rPr>
        <w:tab/>
      </w:r>
      <w:r>
        <w:rPr>
          <w:rFonts w:hint="eastAsia"/>
        </w:rPr>
        <w:t xml:space="preserve">    </w:t>
      </w:r>
      <w:r w:rsidR="007E2F4A">
        <w:rPr>
          <w:rFonts w:hint="eastAsia"/>
        </w:rPr>
        <w:t>年</w:t>
      </w:r>
      <w:r>
        <w:rPr>
          <w:rFonts w:hint="eastAsia"/>
        </w:rPr>
        <w:t xml:space="preserve">   </w:t>
      </w:r>
      <w:r w:rsidR="007E2F4A">
        <w:rPr>
          <w:rFonts w:hint="eastAsia"/>
        </w:rPr>
        <w:t>月</w:t>
      </w:r>
      <w:r>
        <w:rPr>
          <w:rFonts w:hint="eastAsia"/>
        </w:rPr>
        <w:t xml:space="preserve">   </w:t>
      </w:r>
      <w:r w:rsidR="007E2F4A">
        <w:rPr>
          <w:rFonts w:hint="eastAsia"/>
        </w:rPr>
        <w:t>日</w:t>
      </w:r>
    </w:p>
    <w:p w:rsidR="00A53DB6" w:rsidRDefault="00A53DB6">
      <w:pPr>
        <w:pStyle w:val="4"/>
        <w:spacing w:line="353" w:lineRule="auto"/>
      </w:pPr>
    </w:p>
    <w:sectPr w:rsidR="00A53DB6" w:rsidSect="00094571">
      <w:footerReference w:type="default" r:id="rId8"/>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60">
      <wne:acd wne:acdName="acd1"/>
    </wne:keymap>
    <wne:keymap wne:kcmPrimary="0261">
      <wne:acd wne:acdName="acd2"/>
    </wne:keymap>
    <wne:keymap wne:kcmPrimary="0262">
      <wne:acd wne:acdName="acd3"/>
    </wne:keymap>
  </wne:keymaps>
  <wne:toolbars>
    <wne:acdManifest>
      <wne:acdEntry wne:acdName="acd0"/>
      <wne:acdEntry wne:acdName="acd1"/>
      <wne:acdEntry wne:acdName="acd2"/>
      <wne:acdEntry wne:acdName="acd3"/>
    </wne:acdManifest>
  </wne:toolbars>
  <wne:acds>
    <wne:acd wne:argValue="AgA3aA9fNQA=" wne:acdName="acd0" wne:fciIndexBasedOn="0065"/>
    <wne:acd wne:argValue="AgA3aA9fNAA=" wne:acdName="acd1" wne:fciIndexBasedOn="0065"/>
    <wne:acd wne:argValue="AgA3aA9fNgA=" wne:acdName="acd2" wne:fciIndexBasedOn="0065"/>
    <wne:acd wne:argValue="AgA3aA9fMwA=" wne:acdName="acd3"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12F" w:rsidRDefault="00F6712F">
      <w:r>
        <w:separator/>
      </w:r>
    </w:p>
  </w:endnote>
  <w:endnote w:type="continuationSeparator" w:id="1">
    <w:p w:rsidR="00F6712F" w:rsidRDefault="00F671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panose1 w:val="03000509000000000000"/>
    <w:charset w:val="86"/>
    <w:family w:val="script"/>
    <w:pitch w:val="fixed"/>
    <w:sig w:usb0="00000001" w:usb1="080E0000" w:usb2="00000010" w:usb3="00000000" w:csb0="00040000" w:csb1="00000000"/>
  </w:font>
  <w:font w:name="方正宋黑简体">
    <w:altName w:val="Arial Unicode MS"/>
    <w:charset w:val="86"/>
    <w:family w:val="script"/>
    <w:pitch w:val="fixed"/>
    <w:sig w:usb0="00000000"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MingLiU_HKSCS">
    <w:panose1 w:val="02020500000000000000"/>
    <w:charset w:val="88"/>
    <w:family w:val="roman"/>
    <w:pitch w:val="variable"/>
    <w:sig w:usb0="A00002FF" w:usb1="3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DB6" w:rsidRDefault="00094571">
    <w:pPr>
      <w:pStyle w:val="a6"/>
      <w:framePr w:wrap="around" w:vAnchor="text" w:hAnchor="margin" w:xAlign="center" w:y="1"/>
      <w:rPr>
        <w:rStyle w:val="a8"/>
        <w:rFonts w:ascii="Times New Roman" w:hAnsi="Times New Roman"/>
        <w:sz w:val="26"/>
        <w:szCs w:val="26"/>
      </w:rPr>
    </w:pPr>
    <w:r>
      <w:rPr>
        <w:rFonts w:ascii="Times New Roman" w:hAnsi="Times New Roman"/>
        <w:sz w:val="26"/>
        <w:szCs w:val="26"/>
      </w:rPr>
      <w:fldChar w:fldCharType="begin"/>
    </w:r>
    <w:r w:rsidR="007E2F4A">
      <w:rPr>
        <w:rStyle w:val="a8"/>
        <w:rFonts w:ascii="Times New Roman" w:hAnsi="Times New Roman"/>
        <w:sz w:val="26"/>
        <w:szCs w:val="26"/>
      </w:rPr>
      <w:instrText xml:space="preserve">PAGE  </w:instrText>
    </w:r>
    <w:r>
      <w:rPr>
        <w:rFonts w:ascii="Times New Roman" w:hAnsi="Times New Roman"/>
        <w:sz w:val="26"/>
        <w:szCs w:val="26"/>
      </w:rPr>
      <w:fldChar w:fldCharType="separate"/>
    </w:r>
    <w:r w:rsidR="009133CF">
      <w:rPr>
        <w:rStyle w:val="a8"/>
        <w:rFonts w:ascii="Times New Roman" w:hAnsi="Times New Roman"/>
        <w:noProof/>
        <w:sz w:val="26"/>
        <w:szCs w:val="26"/>
      </w:rPr>
      <w:t>3</w:t>
    </w:r>
    <w:r>
      <w:rPr>
        <w:rFonts w:ascii="Times New Roman" w:hAnsi="Times New Roman"/>
        <w:sz w:val="26"/>
        <w:szCs w:val="26"/>
      </w:rPr>
      <w:fldChar w:fldCharType="end"/>
    </w:r>
  </w:p>
  <w:p w:rsidR="00A53DB6" w:rsidRDefault="00A53DB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12F" w:rsidRDefault="00F6712F">
      <w:r>
        <w:separator/>
      </w:r>
    </w:p>
  </w:footnote>
  <w:footnote w:type="continuationSeparator" w:id="1">
    <w:p w:rsidR="00F6712F" w:rsidRDefault="00F671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AF4DBED"/>
    <w:rsid w:val="BFEFEB64"/>
    <w:rsid w:val="00001B12"/>
    <w:rsid w:val="00007269"/>
    <w:rsid w:val="0001798E"/>
    <w:rsid w:val="000309A7"/>
    <w:rsid w:val="00031978"/>
    <w:rsid w:val="000342EF"/>
    <w:rsid w:val="00041EBA"/>
    <w:rsid w:val="00046D16"/>
    <w:rsid w:val="00052055"/>
    <w:rsid w:val="00054FE9"/>
    <w:rsid w:val="00062471"/>
    <w:rsid w:val="00082033"/>
    <w:rsid w:val="000903CC"/>
    <w:rsid w:val="00094571"/>
    <w:rsid w:val="00095048"/>
    <w:rsid w:val="000B7C56"/>
    <w:rsid w:val="000C098D"/>
    <w:rsid w:val="000C55D5"/>
    <w:rsid w:val="000C7D00"/>
    <w:rsid w:val="000D11A6"/>
    <w:rsid w:val="000D15BF"/>
    <w:rsid w:val="000D5790"/>
    <w:rsid w:val="000E6BF9"/>
    <w:rsid w:val="000E791A"/>
    <w:rsid w:val="000F5033"/>
    <w:rsid w:val="00112352"/>
    <w:rsid w:val="00151A23"/>
    <w:rsid w:val="001574B6"/>
    <w:rsid w:val="001645F5"/>
    <w:rsid w:val="00166099"/>
    <w:rsid w:val="00171ED5"/>
    <w:rsid w:val="001728A0"/>
    <w:rsid w:val="001865BD"/>
    <w:rsid w:val="00190D7F"/>
    <w:rsid w:val="001A2518"/>
    <w:rsid w:val="001A6F41"/>
    <w:rsid w:val="001B1FFC"/>
    <w:rsid w:val="001B66EF"/>
    <w:rsid w:val="001C664F"/>
    <w:rsid w:val="001C7750"/>
    <w:rsid w:val="001D4735"/>
    <w:rsid w:val="001E02FF"/>
    <w:rsid w:val="001E11EB"/>
    <w:rsid w:val="001E3DFE"/>
    <w:rsid w:val="001E3F93"/>
    <w:rsid w:val="001F3CD0"/>
    <w:rsid w:val="001F40F3"/>
    <w:rsid w:val="001F7D34"/>
    <w:rsid w:val="00205BCC"/>
    <w:rsid w:val="00206271"/>
    <w:rsid w:val="0020674D"/>
    <w:rsid w:val="00206BC9"/>
    <w:rsid w:val="00207DF7"/>
    <w:rsid w:val="00207E40"/>
    <w:rsid w:val="00211858"/>
    <w:rsid w:val="002121AD"/>
    <w:rsid w:val="0021263D"/>
    <w:rsid w:val="002172F2"/>
    <w:rsid w:val="002225B8"/>
    <w:rsid w:val="00224F57"/>
    <w:rsid w:val="002318FC"/>
    <w:rsid w:val="00233B96"/>
    <w:rsid w:val="00235F54"/>
    <w:rsid w:val="00247EA0"/>
    <w:rsid w:val="0025396D"/>
    <w:rsid w:val="0027004D"/>
    <w:rsid w:val="00270C9D"/>
    <w:rsid w:val="0028646D"/>
    <w:rsid w:val="00293E4D"/>
    <w:rsid w:val="00296090"/>
    <w:rsid w:val="002C4652"/>
    <w:rsid w:val="002C6975"/>
    <w:rsid w:val="002D4067"/>
    <w:rsid w:val="002F5C8D"/>
    <w:rsid w:val="00304F36"/>
    <w:rsid w:val="003167C8"/>
    <w:rsid w:val="0032027E"/>
    <w:rsid w:val="00323C97"/>
    <w:rsid w:val="00344471"/>
    <w:rsid w:val="00344D04"/>
    <w:rsid w:val="00346650"/>
    <w:rsid w:val="00353228"/>
    <w:rsid w:val="00353EA6"/>
    <w:rsid w:val="003542F5"/>
    <w:rsid w:val="003554DA"/>
    <w:rsid w:val="003559F2"/>
    <w:rsid w:val="0036079C"/>
    <w:rsid w:val="003653AB"/>
    <w:rsid w:val="003705E4"/>
    <w:rsid w:val="003748BD"/>
    <w:rsid w:val="0037594F"/>
    <w:rsid w:val="0038684A"/>
    <w:rsid w:val="003B269C"/>
    <w:rsid w:val="003B67A4"/>
    <w:rsid w:val="003D3D73"/>
    <w:rsid w:val="003E2078"/>
    <w:rsid w:val="003E327D"/>
    <w:rsid w:val="003F0D01"/>
    <w:rsid w:val="0040363B"/>
    <w:rsid w:val="00404F4B"/>
    <w:rsid w:val="004352F5"/>
    <w:rsid w:val="00442F55"/>
    <w:rsid w:val="00445B52"/>
    <w:rsid w:val="00466289"/>
    <w:rsid w:val="00467D78"/>
    <w:rsid w:val="0047353D"/>
    <w:rsid w:val="0047667B"/>
    <w:rsid w:val="00483902"/>
    <w:rsid w:val="00487C24"/>
    <w:rsid w:val="004966A3"/>
    <w:rsid w:val="004A3344"/>
    <w:rsid w:val="004A7EE8"/>
    <w:rsid w:val="004B0A97"/>
    <w:rsid w:val="004B24E0"/>
    <w:rsid w:val="004C039C"/>
    <w:rsid w:val="004C072D"/>
    <w:rsid w:val="004C33FC"/>
    <w:rsid w:val="004C3B1B"/>
    <w:rsid w:val="004D4EAC"/>
    <w:rsid w:val="004E54E6"/>
    <w:rsid w:val="004E5D91"/>
    <w:rsid w:val="005035B9"/>
    <w:rsid w:val="005054AE"/>
    <w:rsid w:val="00514164"/>
    <w:rsid w:val="00522A73"/>
    <w:rsid w:val="005236A8"/>
    <w:rsid w:val="00524010"/>
    <w:rsid w:val="00532B70"/>
    <w:rsid w:val="00535FF8"/>
    <w:rsid w:val="005376C9"/>
    <w:rsid w:val="00542030"/>
    <w:rsid w:val="005438E4"/>
    <w:rsid w:val="005456F5"/>
    <w:rsid w:val="00546DBF"/>
    <w:rsid w:val="005501D5"/>
    <w:rsid w:val="005604B2"/>
    <w:rsid w:val="0056081C"/>
    <w:rsid w:val="00561E15"/>
    <w:rsid w:val="00562460"/>
    <w:rsid w:val="005702A6"/>
    <w:rsid w:val="00572087"/>
    <w:rsid w:val="00572AF2"/>
    <w:rsid w:val="00587D7D"/>
    <w:rsid w:val="00595C56"/>
    <w:rsid w:val="00596ED4"/>
    <w:rsid w:val="00597162"/>
    <w:rsid w:val="005A0560"/>
    <w:rsid w:val="005A16BB"/>
    <w:rsid w:val="005A25A4"/>
    <w:rsid w:val="005B3F56"/>
    <w:rsid w:val="005B65D9"/>
    <w:rsid w:val="005B6C3D"/>
    <w:rsid w:val="005B774B"/>
    <w:rsid w:val="005C450D"/>
    <w:rsid w:val="005C5A06"/>
    <w:rsid w:val="005D02B2"/>
    <w:rsid w:val="005D0F6D"/>
    <w:rsid w:val="005D2FA7"/>
    <w:rsid w:val="005D4705"/>
    <w:rsid w:val="005E0F11"/>
    <w:rsid w:val="005E2468"/>
    <w:rsid w:val="005E479B"/>
    <w:rsid w:val="005E7497"/>
    <w:rsid w:val="005F19F6"/>
    <w:rsid w:val="0060047F"/>
    <w:rsid w:val="006025C8"/>
    <w:rsid w:val="00603F71"/>
    <w:rsid w:val="00611C67"/>
    <w:rsid w:val="00613F11"/>
    <w:rsid w:val="00614003"/>
    <w:rsid w:val="0061650F"/>
    <w:rsid w:val="00627BA1"/>
    <w:rsid w:val="006315A5"/>
    <w:rsid w:val="0063623D"/>
    <w:rsid w:val="00637603"/>
    <w:rsid w:val="00637A11"/>
    <w:rsid w:val="00641142"/>
    <w:rsid w:val="00647DDC"/>
    <w:rsid w:val="00654DFB"/>
    <w:rsid w:val="00662E38"/>
    <w:rsid w:val="00665678"/>
    <w:rsid w:val="00667385"/>
    <w:rsid w:val="006678AF"/>
    <w:rsid w:val="006739F7"/>
    <w:rsid w:val="00681402"/>
    <w:rsid w:val="006844F4"/>
    <w:rsid w:val="006923BF"/>
    <w:rsid w:val="006A1A7F"/>
    <w:rsid w:val="006A6676"/>
    <w:rsid w:val="006B0ADE"/>
    <w:rsid w:val="006B3055"/>
    <w:rsid w:val="006C0F61"/>
    <w:rsid w:val="006C4F6C"/>
    <w:rsid w:val="006D0638"/>
    <w:rsid w:val="006F3A26"/>
    <w:rsid w:val="006F5B13"/>
    <w:rsid w:val="006F62BB"/>
    <w:rsid w:val="00701EE6"/>
    <w:rsid w:val="00721C9E"/>
    <w:rsid w:val="00724086"/>
    <w:rsid w:val="00727A7E"/>
    <w:rsid w:val="00727F24"/>
    <w:rsid w:val="007323B2"/>
    <w:rsid w:val="007336AA"/>
    <w:rsid w:val="007337DE"/>
    <w:rsid w:val="00736043"/>
    <w:rsid w:val="0073775B"/>
    <w:rsid w:val="0074132C"/>
    <w:rsid w:val="00742E62"/>
    <w:rsid w:val="00745900"/>
    <w:rsid w:val="007463E3"/>
    <w:rsid w:val="00751966"/>
    <w:rsid w:val="007555CC"/>
    <w:rsid w:val="007605AF"/>
    <w:rsid w:val="007659FE"/>
    <w:rsid w:val="007730D9"/>
    <w:rsid w:val="007815CB"/>
    <w:rsid w:val="00781A13"/>
    <w:rsid w:val="00790531"/>
    <w:rsid w:val="00792331"/>
    <w:rsid w:val="00793251"/>
    <w:rsid w:val="007B14DF"/>
    <w:rsid w:val="007C2A6E"/>
    <w:rsid w:val="007D1357"/>
    <w:rsid w:val="007D2475"/>
    <w:rsid w:val="007D3968"/>
    <w:rsid w:val="007D40CA"/>
    <w:rsid w:val="007D44B6"/>
    <w:rsid w:val="007D7902"/>
    <w:rsid w:val="007E2F4A"/>
    <w:rsid w:val="007F6E63"/>
    <w:rsid w:val="008041B4"/>
    <w:rsid w:val="00823997"/>
    <w:rsid w:val="008317CE"/>
    <w:rsid w:val="00832C7F"/>
    <w:rsid w:val="0083640E"/>
    <w:rsid w:val="008446F8"/>
    <w:rsid w:val="00844E1A"/>
    <w:rsid w:val="0084503E"/>
    <w:rsid w:val="008526D5"/>
    <w:rsid w:val="008544D1"/>
    <w:rsid w:val="00854A6A"/>
    <w:rsid w:val="00875A04"/>
    <w:rsid w:val="00881765"/>
    <w:rsid w:val="00891E7E"/>
    <w:rsid w:val="008A4EB9"/>
    <w:rsid w:val="008B3333"/>
    <w:rsid w:val="008B67E9"/>
    <w:rsid w:val="008E0642"/>
    <w:rsid w:val="008F4E0F"/>
    <w:rsid w:val="00900159"/>
    <w:rsid w:val="00903124"/>
    <w:rsid w:val="00910BB2"/>
    <w:rsid w:val="009133CF"/>
    <w:rsid w:val="009234BC"/>
    <w:rsid w:val="0092444C"/>
    <w:rsid w:val="00931DE2"/>
    <w:rsid w:val="00931EDF"/>
    <w:rsid w:val="00935D31"/>
    <w:rsid w:val="0094668D"/>
    <w:rsid w:val="0095351B"/>
    <w:rsid w:val="00961168"/>
    <w:rsid w:val="0096430E"/>
    <w:rsid w:val="009670A1"/>
    <w:rsid w:val="00974BFC"/>
    <w:rsid w:val="00985197"/>
    <w:rsid w:val="00990BC9"/>
    <w:rsid w:val="009B0A9F"/>
    <w:rsid w:val="009B0B5A"/>
    <w:rsid w:val="009B179E"/>
    <w:rsid w:val="009C1433"/>
    <w:rsid w:val="009D664F"/>
    <w:rsid w:val="009E4B20"/>
    <w:rsid w:val="00A021A7"/>
    <w:rsid w:val="00A02B18"/>
    <w:rsid w:val="00A04DEC"/>
    <w:rsid w:val="00A075A2"/>
    <w:rsid w:val="00A26B0A"/>
    <w:rsid w:val="00A34392"/>
    <w:rsid w:val="00A43D93"/>
    <w:rsid w:val="00A44820"/>
    <w:rsid w:val="00A501DD"/>
    <w:rsid w:val="00A515F1"/>
    <w:rsid w:val="00A53DB6"/>
    <w:rsid w:val="00A60BA2"/>
    <w:rsid w:val="00A66488"/>
    <w:rsid w:val="00A67A14"/>
    <w:rsid w:val="00A70998"/>
    <w:rsid w:val="00A74B25"/>
    <w:rsid w:val="00A814F7"/>
    <w:rsid w:val="00A84E8B"/>
    <w:rsid w:val="00A918CB"/>
    <w:rsid w:val="00A91CB0"/>
    <w:rsid w:val="00A92540"/>
    <w:rsid w:val="00AA1348"/>
    <w:rsid w:val="00AA3658"/>
    <w:rsid w:val="00AB0F21"/>
    <w:rsid w:val="00AB7C92"/>
    <w:rsid w:val="00AC4003"/>
    <w:rsid w:val="00AD2575"/>
    <w:rsid w:val="00AD6D73"/>
    <w:rsid w:val="00AE0259"/>
    <w:rsid w:val="00AE2D37"/>
    <w:rsid w:val="00AE43B8"/>
    <w:rsid w:val="00AF25A6"/>
    <w:rsid w:val="00AF5FB9"/>
    <w:rsid w:val="00B036CA"/>
    <w:rsid w:val="00B03C2B"/>
    <w:rsid w:val="00B07838"/>
    <w:rsid w:val="00B07ECB"/>
    <w:rsid w:val="00B1226A"/>
    <w:rsid w:val="00B2340D"/>
    <w:rsid w:val="00B253E8"/>
    <w:rsid w:val="00B26FD8"/>
    <w:rsid w:val="00B32024"/>
    <w:rsid w:val="00B3666F"/>
    <w:rsid w:val="00B41D4A"/>
    <w:rsid w:val="00B421CD"/>
    <w:rsid w:val="00B51EE3"/>
    <w:rsid w:val="00B56DEB"/>
    <w:rsid w:val="00B66162"/>
    <w:rsid w:val="00B71298"/>
    <w:rsid w:val="00B817E1"/>
    <w:rsid w:val="00B94DEA"/>
    <w:rsid w:val="00BA288B"/>
    <w:rsid w:val="00BA31C2"/>
    <w:rsid w:val="00BB176F"/>
    <w:rsid w:val="00BB3B64"/>
    <w:rsid w:val="00BB4A71"/>
    <w:rsid w:val="00BB6868"/>
    <w:rsid w:val="00BB6DA6"/>
    <w:rsid w:val="00BB7265"/>
    <w:rsid w:val="00BC2850"/>
    <w:rsid w:val="00BD6F31"/>
    <w:rsid w:val="00BE181F"/>
    <w:rsid w:val="00BF7A2A"/>
    <w:rsid w:val="00C06530"/>
    <w:rsid w:val="00C11ECE"/>
    <w:rsid w:val="00C123F4"/>
    <w:rsid w:val="00C152B5"/>
    <w:rsid w:val="00C2346A"/>
    <w:rsid w:val="00C3089B"/>
    <w:rsid w:val="00C379CC"/>
    <w:rsid w:val="00C56C22"/>
    <w:rsid w:val="00C600A6"/>
    <w:rsid w:val="00C61E9C"/>
    <w:rsid w:val="00C62412"/>
    <w:rsid w:val="00C62AD0"/>
    <w:rsid w:val="00C6595F"/>
    <w:rsid w:val="00C76960"/>
    <w:rsid w:val="00C916C0"/>
    <w:rsid w:val="00C941EC"/>
    <w:rsid w:val="00CB7E2C"/>
    <w:rsid w:val="00CC269D"/>
    <w:rsid w:val="00CD27A9"/>
    <w:rsid w:val="00CD4E14"/>
    <w:rsid w:val="00CD6366"/>
    <w:rsid w:val="00CD6391"/>
    <w:rsid w:val="00CD7553"/>
    <w:rsid w:val="00CE2559"/>
    <w:rsid w:val="00CE6971"/>
    <w:rsid w:val="00CF2D8A"/>
    <w:rsid w:val="00CF7A0C"/>
    <w:rsid w:val="00CF7B7E"/>
    <w:rsid w:val="00D02095"/>
    <w:rsid w:val="00D0679C"/>
    <w:rsid w:val="00D13505"/>
    <w:rsid w:val="00D138DE"/>
    <w:rsid w:val="00D51819"/>
    <w:rsid w:val="00D56A9C"/>
    <w:rsid w:val="00D57CD4"/>
    <w:rsid w:val="00D60207"/>
    <w:rsid w:val="00D62E04"/>
    <w:rsid w:val="00D675A5"/>
    <w:rsid w:val="00D742BA"/>
    <w:rsid w:val="00D82767"/>
    <w:rsid w:val="00DA35E5"/>
    <w:rsid w:val="00DB0A3F"/>
    <w:rsid w:val="00DB2FBB"/>
    <w:rsid w:val="00DB4968"/>
    <w:rsid w:val="00DC088B"/>
    <w:rsid w:val="00DC3D0E"/>
    <w:rsid w:val="00DD6CA6"/>
    <w:rsid w:val="00DF6B51"/>
    <w:rsid w:val="00E04339"/>
    <w:rsid w:val="00E1644A"/>
    <w:rsid w:val="00E2671B"/>
    <w:rsid w:val="00E27E37"/>
    <w:rsid w:val="00E46825"/>
    <w:rsid w:val="00E51389"/>
    <w:rsid w:val="00E6793F"/>
    <w:rsid w:val="00E713D9"/>
    <w:rsid w:val="00E75448"/>
    <w:rsid w:val="00E8271E"/>
    <w:rsid w:val="00E8637A"/>
    <w:rsid w:val="00E86456"/>
    <w:rsid w:val="00E9326D"/>
    <w:rsid w:val="00E93436"/>
    <w:rsid w:val="00EA1394"/>
    <w:rsid w:val="00EB0B9E"/>
    <w:rsid w:val="00EB1201"/>
    <w:rsid w:val="00EC2022"/>
    <w:rsid w:val="00ED0CC9"/>
    <w:rsid w:val="00ED71B2"/>
    <w:rsid w:val="00EF1407"/>
    <w:rsid w:val="00EF224D"/>
    <w:rsid w:val="00EF43DB"/>
    <w:rsid w:val="00F033FD"/>
    <w:rsid w:val="00F1788D"/>
    <w:rsid w:val="00F27779"/>
    <w:rsid w:val="00F3024F"/>
    <w:rsid w:val="00F3717B"/>
    <w:rsid w:val="00F45C5B"/>
    <w:rsid w:val="00F52A7E"/>
    <w:rsid w:val="00F53A94"/>
    <w:rsid w:val="00F609EB"/>
    <w:rsid w:val="00F6435B"/>
    <w:rsid w:val="00F6712F"/>
    <w:rsid w:val="00F671BD"/>
    <w:rsid w:val="00F7264D"/>
    <w:rsid w:val="00F76E4D"/>
    <w:rsid w:val="00F91C48"/>
    <w:rsid w:val="00FB0765"/>
    <w:rsid w:val="00FB6C0C"/>
    <w:rsid w:val="00FC37BE"/>
    <w:rsid w:val="00FC3823"/>
    <w:rsid w:val="00FC40C6"/>
    <w:rsid w:val="00FC7767"/>
    <w:rsid w:val="00FD25EA"/>
    <w:rsid w:val="00FD6B78"/>
    <w:rsid w:val="00FE055B"/>
    <w:rsid w:val="00FF53BD"/>
    <w:rsid w:val="048E3AF5"/>
    <w:rsid w:val="2440601F"/>
    <w:rsid w:val="268F110A"/>
    <w:rsid w:val="37F889A5"/>
    <w:rsid w:val="3FEAD199"/>
    <w:rsid w:val="4198025B"/>
    <w:rsid w:val="419A742A"/>
    <w:rsid w:val="4484124D"/>
    <w:rsid w:val="50D51D25"/>
    <w:rsid w:val="58301102"/>
    <w:rsid w:val="5C9206FD"/>
    <w:rsid w:val="63766933"/>
    <w:rsid w:val="786F5A6B"/>
    <w:rsid w:val="7DBE4199"/>
    <w:rsid w:val="7EDE9B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571"/>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094571"/>
    <w:pPr>
      <w:jc w:val="left"/>
    </w:pPr>
    <w:rPr>
      <w:rFonts w:eastAsia="宋体"/>
      <w:sz w:val="21"/>
      <w:szCs w:val="22"/>
    </w:rPr>
  </w:style>
  <w:style w:type="paragraph" w:styleId="a4">
    <w:name w:val="Plain Text"/>
    <w:basedOn w:val="a"/>
    <w:link w:val="Char0"/>
    <w:rsid w:val="00094571"/>
    <w:rPr>
      <w:rFonts w:ascii="宋体" w:eastAsia="宋体" w:hAnsi="Courier New"/>
      <w:sz w:val="21"/>
      <w:szCs w:val="20"/>
    </w:rPr>
  </w:style>
  <w:style w:type="paragraph" w:styleId="a5">
    <w:name w:val="Balloon Text"/>
    <w:basedOn w:val="a"/>
    <w:link w:val="Char1"/>
    <w:rsid w:val="00094571"/>
    <w:rPr>
      <w:sz w:val="18"/>
      <w:szCs w:val="18"/>
    </w:rPr>
  </w:style>
  <w:style w:type="paragraph" w:styleId="a6">
    <w:name w:val="footer"/>
    <w:basedOn w:val="a"/>
    <w:rsid w:val="00094571"/>
    <w:pPr>
      <w:tabs>
        <w:tab w:val="center" w:pos="4153"/>
        <w:tab w:val="right" w:pos="8306"/>
      </w:tabs>
      <w:snapToGrid w:val="0"/>
      <w:jc w:val="left"/>
    </w:pPr>
    <w:rPr>
      <w:sz w:val="18"/>
      <w:szCs w:val="18"/>
    </w:rPr>
  </w:style>
  <w:style w:type="paragraph" w:styleId="a7">
    <w:name w:val="header"/>
    <w:basedOn w:val="a"/>
    <w:rsid w:val="00094571"/>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rsid w:val="00094571"/>
  </w:style>
  <w:style w:type="character" w:styleId="a8">
    <w:name w:val="page number"/>
    <w:basedOn w:val="a0"/>
    <w:rsid w:val="00094571"/>
  </w:style>
  <w:style w:type="character" w:styleId="a9">
    <w:name w:val="Hyperlink"/>
    <w:uiPriority w:val="99"/>
    <w:rsid w:val="00094571"/>
    <w:rPr>
      <w:color w:val="0000FF"/>
      <w:u w:val="single"/>
    </w:rPr>
  </w:style>
  <w:style w:type="character" w:customStyle="1" w:styleId="Char">
    <w:name w:val="批注文字 Char"/>
    <w:link w:val="a3"/>
    <w:locked/>
    <w:rsid w:val="00094571"/>
    <w:rPr>
      <w:kern w:val="2"/>
      <w:sz w:val="21"/>
      <w:szCs w:val="22"/>
      <w:lang w:bidi="ar-SA"/>
    </w:rPr>
  </w:style>
  <w:style w:type="character" w:customStyle="1" w:styleId="Char0">
    <w:name w:val="纯文本 Char"/>
    <w:link w:val="a4"/>
    <w:locked/>
    <w:rsid w:val="00094571"/>
    <w:rPr>
      <w:rFonts w:ascii="宋体" w:eastAsia="宋体" w:hAnsi="Courier New"/>
      <w:kern w:val="2"/>
      <w:sz w:val="21"/>
      <w:lang w:bidi="ar-SA"/>
    </w:rPr>
  </w:style>
  <w:style w:type="character" w:customStyle="1" w:styleId="Char1">
    <w:name w:val="批注框文本 Char"/>
    <w:link w:val="a5"/>
    <w:rsid w:val="00094571"/>
    <w:rPr>
      <w:rFonts w:eastAsia="仿宋_GB2312"/>
      <w:kern w:val="2"/>
      <w:sz w:val="18"/>
      <w:szCs w:val="18"/>
    </w:rPr>
  </w:style>
  <w:style w:type="character" w:customStyle="1" w:styleId="CharChar1">
    <w:name w:val="Char Char1"/>
    <w:rsid w:val="00094571"/>
    <w:rPr>
      <w:kern w:val="2"/>
      <w:sz w:val="21"/>
      <w:szCs w:val="22"/>
      <w:lang w:bidi="ar-SA"/>
    </w:rPr>
  </w:style>
  <w:style w:type="paragraph" w:customStyle="1" w:styleId="6">
    <w:name w:val="样式6"/>
    <w:basedOn w:val="a"/>
    <w:link w:val="6Char"/>
    <w:rsid w:val="00094571"/>
    <w:pPr>
      <w:snapToGrid w:val="0"/>
      <w:spacing w:line="338" w:lineRule="auto"/>
      <w:ind w:firstLineChars="200" w:firstLine="520"/>
    </w:pPr>
    <w:rPr>
      <w:rFonts w:ascii="黑体" w:eastAsia="黑体" w:hAnsi="黑体"/>
      <w:sz w:val="26"/>
      <w:szCs w:val="26"/>
    </w:rPr>
  </w:style>
  <w:style w:type="character" w:customStyle="1" w:styleId="6Char">
    <w:name w:val="样式6 Char"/>
    <w:basedOn w:val="a0"/>
    <w:link w:val="6"/>
    <w:rsid w:val="00094571"/>
    <w:rPr>
      <w:rFonts w:ascii="黑体" w:eastAsia="黑体" w:hAnsi="黑体"/>
      <w:kern w:val="2"/>
      <w:sz w:val="26"/>
      <w:szCs w:val="26"/>
      <w:lang w:val="en-US" w:eastAsia="zh-CN" w:bidi="ar-SA"/>
    </w:rPr>
  </w:style>
  <w:style w:type="paragraph" w:customStyle="1" w:styleId="4">
    <w:name w:val="样式4"/>
    <w:basedOn w:val="a"/>
    <w:rsid w:val="00094571"/>
    <w:pPr>
      <w:adjustRightInd w:val="0"/>
      <w:snapToGrid w:val="0"/>
      <w:spacing w:line="338" w:lineRule="auto"/>
      <w:ind w:firstLineChars="200" w:firstLine="520"/>
    </w:pPr>
    <w:rPr>
      <w:rFonts w:ascii="方正书宋简体" w:eastAsia="方正书宋简体"/>
      <w:sz w:val="26"/>
      <w:szCs w:val="26"/>
    </w:rPr>
  </w:style>
  <w:style w:type="paragraph" w:customStyle="1" w:styleId="5">
    <w:name w:val="样式5"/>
    <w:basedOn w:val="a"/>
    <w:rsid w:val="00094571"/>
    <w:pPr>
      <w:snapToGrid w:val="0"/>
      <w:spacing w:beforeLines="200" w:afterLines="200" w:line="338" w:lineRule="auto"/>
      <w:jc w:val="center"/>
      <w:outlineLvl w:val="0"/>
    </w:pPr>
    <w:rPr>
      <w:rFonts w:ascii="方正宋黑简体" w:eastAsia="方正宋黑简体"/>
      <w:sz w:val="36"/>
      <w:szCs w:val="36"/>
    </w:rPr>
  </w:style>
  <w:style w:type="paragraph" w:customStyle="1" w:styleId="3">
    <w:name w:val="样式3"/>
    <w:basedOn w:val="a"/>
    <w:rsid w:val="00094571"/>
    <w:pPr>
      <w:snapToGrid w:val="0"/>
      <w:spacing w:line="372" w:lineRule="auto"/>
      <w:ind w:firstLineChars="200" w:firstLine="520"/>
    </w:pPr>
    <w:rPr>
      <w:rFonts w:ascii="黑体" w:eastAsia="黑体" w:hAnsi="黑体"/>
      <w:sz w:val="26"/>
      <w:szCs w:val="26"/>
    </w:rPr>
  </w:style>
  <w:style w:type="paragraph" w:customStyle="1" w:styleId="21">
    <w:name w:val="正文文本 (2)1"/>
    <w:basedOn w:val="a"/>
    <w:rsid w:val="00094571"/>
    <w:pPr>
      <w:shd w:val="clear" w:color="auto" w:fill="FFFFFF"/>
      <w:spacing w:before="180" w:after="660" w:line="240" w:lineRule="atLeast"/>
      <w:jc w:val="right"/>
    </w:pPr>
    <w:rPr>
      <w:rFonts w:ascii="MingLiU" w:eastAsia="MingLiU" w:hAnsi="MingLiU_HKSCS" w:cs="MingLiU"/>
      <w:spacing w:val="20"/>
      <w:kern w:val="0"/>
      <w:sz w:val="15"/>
      <w:szCs w:val="15"/>
    </w:rPr>
  </w:style>
  <w:style w:type="paragraph" w:customStyle="1" w:styleId="2">
    <w:name w:val="样式2"/>
    <w:basedOn w:val="a"/>
    <w:rsid w:val="00094571"/>
    <w:pPr>
      <w:snapToGrid w:val="0"/>
      <w:spacing w:beforeLines="200" w:afterLines="200" w:line="372" w:lineRule="auto"/>
      <w:jc w:val="center"/>
      <w:outlineLvl w:val="0"/>
    </w:pPr>
    <w:rPr>
      <w:rFonts w:ascii="方正宋黑简体" w:eastAsia="方正宋黑简体"/>
      <w:sz w:val="36"/>
      <w:szCs w:val="36"/>
    </w:rPr>
  </w:style>
  <w:style w:type="paragraph" w:customStyle="1" w:styleId="10">
    <w:name w:val="样式1"/>
    <w:basedOn w:val="a"/>
    <w:rsid w:val="00094571"/>
    <w:pPr>
      <w:snapToGrid w:val="0"/>
      <w:spacing w:line="372" w:lineRule="auto"/>
      <w:ind w:firstLineChars="200" w:firstLine="520"/>
    </w:pPr>
    <w:rPr>
      <w:rFonts w:ascii="方正书宋简体" w:eastAsia="方正书宋简体"/>
      <w:sz w:val="26"/>
      <w:szCs w:val="26"/>
    </w:rPr>
  </w:style>
  <w:style w:type="paragraph" w:customStyle="1" w:styleId="8">
    <w:name w:val="样式8"/>
    <w:basedOn w:val="4"/>
    <w:rsid w:val="00094571"/>
    <w:pPr>
      <w:adjustRightInd/>
    </w:pPr>
  </w:style>
  <w:style w:type="character" w:customStyle="1" w:styleId="40">
    <w:name w:val="标题 #4_"/>
    <w:link w:val="41"/>
    <w:locked/>
    <w:rsid w:val="00094571"/>
    <w:rPr>
      <w:rFonts w:ascii="MingLiU" w:eastAsia="MingLiU" w:hAnsi="MingLiU"/>
      <w:shd w:val="clear" w:color="auto" w:fill="FFFFFF"/>
    </w:rPr>
  </w:style>
  <w:style w:type="paragraph" w:customStyle="1" w:styleId="41">
    <w:name w:val="标题 #4"/>
    <w:basedOn w:val="a"/>
    <w:link w:val="40"/>
    <w:rsid w:val="00094571"/>
    <w:pPr>
      <w:shd w:val="clear" w:color="auto" w:fill="FFFFFF"/>
      <w:spacing w:line="240" w:lineRule="atLeast"/>
      <w:jc w:val="left"/>
      <w:outlineLvl w:val="3"/>
    </w:pPr>
    <w:rPr>
      <w:rFonts w:ascii="MingLiU" w:eastAsia="MingLiU" w:hAnsi="MingLiU"/>
      <w:kern w:val="0"/>
      <w:sz w:val="20"/>
      <w:szCs w:val="20"/>
      <w:shd w:val="clear" w:color="auto" w:fill="FFFFFF"/>
    </w:rPr>
  </w:style>
  <w:style w:type="paragraph" w:customStyle="1" w:styleId="12">
    <w:name w:val="样式12"/>
    <w:basedOn w:val="a"/>
    <w:qFormat/>
    <w:rsid w:val="00094571"/>
    <w:pPr>
      <w:snapToGrid w:val="0"/>
      <w:spacing w:beforeLines="90" w:afterLines="90" w:line="338" w:lineRule="auto"/>
      <w:jc w:val="center"/>
    </w:pPr>
    <w:rPr>
      <w:rFonts w:ascii="方正宋黑简体" w:eastAsia="方正宋黑简体"/>
      <w:sz w:val="30"/>
      <w:szCs w:val="30"/>
    </w:rPr>
  </w:style>
  <w:style w:type="paragraph" w:customStyle="1" w:styleId="WPSOffice1">
    <w:name w:val="WPSOffice手动目录 1"/>
    <w:rsid w:val="00094571"/>
  </w:style>
  <w:style w:type="paragraph" w:styleId="aa">
    <w:name w:val="Revision"/>
    <w:hidden/>
    <w:uiPriority w:val="99"/>
    <w:unhideWhenUsed/>
    <w:rsid w:val="000C098D"/>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BA1A-D7D3-4331-9323-37765D90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16</cp:revision>
  <cp:lastPrinted>2023-03-31T09:12:00Z</cp:lastPrinted>
  <dcterms:created xsi:type="dcterms:W3CDTF">2023-03-31T18:23:00Z</dcterms:created>
  <dcterms:modified xsi:type="dcterms:W3CDTF">2024-01-30T09:59:00Z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885A204480914009A087BB8A8FB60340_13</vt:lpwstr>
  </property>
</Properties>
</file>