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AF7F3D" w:rsidP="00C906AC">
      <w:pPr>
        <w:pStyle w:val="71"/>
        <w:spacing w:before="480" w:afterLines="150" w:line="360" w:lineRule="auto"/>
      </w:pPr>
      <w:bookmarkStart w:id="0" w:name="_Toc12751"/>
      <w:bookmarkStart w:id="1" w:name="_Toc101857089"/>
      <w:bookmarkStart w:id="2" w:name="_Toc131429037"/>
      <w:bookmarkStart w:id="3" w:name="_Toc100693263"/>
      <w:r>
        <w:rPr>
          <w:rFonts w:hint="eastAsia"/>
        </w:rPr>
        <w:t>天津市医疗保障定点医疗机构DIP支付方式附加协议</w:t>
      </w:r>
      <w:bookmarkEnd w:id="0"/>
      <w:bookmarkEnd w:id="1"/>
      <w:bookmarkEnd w:id="2"/>
      <w:bookmarkEnd w:id="3"/>
    </w:p>
    <w:p w:rsidR="003803C7" w:rsidRDefault="00AF7F3D">
      <w:pPr>
        <w:pStyle w:val="81"/>
        <w:spacing w:line="360" w:lineRule="auto"/>
      </w:pPr>
      <w:r>
        <w:t>为加强和规范</w:t>
      </w:r>
      <w:r>
        <w:rPr>
          <w:rFonts w:hint="eastAsia"/>
        </w:rPr>
        <w:t>DIP支付方式</w:t>
      </w:r>
      <w:r>
        <w:t>医疗机构管理，</w:t>
      </w:r>
      <w:r>
        <w:rPr>
          <w:rFonts w:hint="eastAsia"/>
        </w:rPr>
        <w:t>通过DIP</w:t>
      </w:r>
      <w:r>
        <w:t>支付方式改革</w:t>
      </w:r>
      <w:r>
        <w:rPr>
          <w:rFonts w:hint="eastAsia"/>
        </w:rPr>
        <w:t>提高医保基金使用效率</w:t>
      </w:r>
      <w:r>
        <w:t>，根据</w:t>
      </w:r>
      <w:r>
        <w:rPr>
          <w:rFonts w:hint="eastAsia"/>
        </w:rPr>
        <w:t>《</w:t>
      </w:r>
      <w:r>
        <w:t>天津市医疗保障区域点数法总额预算和按病种分值付费管理办法（试行）</w:t>
      </w:r>
      <w:r>
        <w:rPr>
          <w:rFonts w:hint="eastAsia"/>
        </w:rPr>
        <w:t>》《</w:t>
      </w:r>
      <w:r>
        <w:t>天津市按</w:t>
      </w:r>
      <w:r>
        <w:rPr>
          <w:rFonts w:hint="eastAsia"/>
        </w:rPr>
        <w:t>病种分值付费（DIP）</w:t>
      </w:r>
      <w:r>
        <w:t>医疗保障经办管理规程（试行）</w:t>
      </w:r>
      <w:r>
        <w:rPr>
          <w:rFonts w:hint="eastAsia"/>
        </w:rPr>
        <w:t>》</w:t>
      </w:r>
      <w:r>
        <w:t>等</w:t>
      </w:r>
      <w:r>
        <w:rPr>
          <w:rFonts w:hint="eastAsia"/>
        </w:rPr>
        <w:t>相关政策规定</w:t>
      </w:r>
      <w:r>
        <w:t>，在已签订的《</w:t>
      </w:r>
      <w:r>
        <w:rPr>
          <w:rFonts w:hint="eastAsia"/>
        </w:rPr>
        <w:t>天津市医疗保障</w:t>
      </w:r>
      <w:r>
        <w:t>定点医疗机构医疗服务协议书》的基础上，甲乙双方</w:t>
      </w:r>
      <w:r>
        <w:rPr>
          <w:rFonts w:hint="eastAsia"/>
        </w:rPr>
        <w:t>在</w:t>
      </w:r>
      <w:r>
        <w:t>自愿、平等、协商</w:t>
      </w:r>
      <w:r>
        <w:rPr>
          <w:rFonts w:hint="eastAsia"/>
        </w:rPr>
        <w:t>一致</w:t>
      </w:r>
      <w:r>
        <w:t>的</w:t>
      </w:r>
      <w:r>
        <w:rPr>
          <w:rFonts w:hint="eastAsia"/>
        </w:rPr>
        <w:t>基础上</w:t>
      </w:r>
      <w:r>
        <w:t>，就</w:t>
      </w:r>
      <w:r>
        <w:rPr>
          <w:rFonts w:hint="eastAsia"/>
        </w:rPr>
        <w:t>DIP医疗保障医疗服务</w:t>
      </w:r>
      <w:r>
        <w:t>有关事宜签订如下</w:t>
      </w:r>
      <w:r>
        <w:rPr>
          <w:rFonts w:hint="eastAsia"/>
        </w:rPr>
        <w:t>附加</w:t>
      </w:r>
      <w:r>
        <w:t>协议。</w:t>
      </w:r>
    </w:p>
    <w:p w:rsidR="003803C7" w:rsidRDefault="00AF7F3D" w:rsidP="003C1C0A">
      <w:pPr>
        <w:pStyle w:val="123"/>
        <w:spacing w:before="216" w:after="216" w:line="360" w:lineRule="auto"/>
        <w:outlineLvl w:val="0"/>
      </w:pPr>
      <w:bookmarkStart w:id="4" w:name="_Toc9080"/>
      <w:bookmarkStart w:id="5" w:name="_Toc28019"/>
      <w:bookmarkStart w:id="6" w:name="_Toc131429038"/>
      <w:bookmarkStart w:id="7" w:name="_Toc1165"/>
      <w:r>
        <w:rPr>
          <w:rFonts w:hint="eastAsia"/>
        </w:rPr>
        <w:t xml:space="preserve">第一章  </w:t>
      </w:r>
      <w:r>
        <w:t>总 则</w:t>
      </w:r>
      <w:bookmarkEnd w:id="4"/>
      <w:bookmarkEnd w:id="5"/>
      <w:bookmarkEnd w:id="6"/>
      <w:bookmarkEnd w:id="7"/>
    </w:p>
    <w:p w:rsidR="003803C7" w:rsidRDefault="00AF7F3D">
      <w:pPr>
        <w:pStyle w:val="81"/>
        <w:spacing w:line="360" w:lineRule="auto"/>
      </w:pPr>
      <w:r>
        <w:rPr>
          <w:rFonts w:ascii="黑体" w:eastAsia="黑体" w:hAnsi="黑体"/>
        </w:rPr>
        <w:t>第一条</w:t>
      </w:r>
      <w:r>
        <w:t>根据《</w:t>
      </w:r>
      <w:r>
        <w:rPr>
          <w:rFonts w:hint="eastAsia"/>
        </w:rPr>
        <w:t>市医保中心</w:t>
      </w:r>
      <w:r>
        <w:t>关于印发</w:t>
      </w:r>
      <w:r>
        <w:rPr>
          <w:rFonts w:hint="eastAsia"/>
        </w:rPr>
        <w:t>天津市按病种分值付费医疗保障经办管理规程</w:t>
      </w:r>
      <w:r>
        <w:t>的通知》（</w:t>
      </w:r>
      <w:r>
        <w:rPr>
          <w:rFonts w:hint="eastAsia"/>
        </w:rPr>
        <w:t>津</w:t>
      </w:r>
      <w:r>
        <w:t>医保</w:t>
      </w:r>
      <w:r>
        <w:rPr>
          <w:rFonts w:hint="eastAsia"/>
        </w:rPr>
        <w:t>中心</w:t>
      </w:r>
      <w:r>
        <w:t>发〔20</w:t>
      </w:r>
      <w:r>
        <w:rPr>
          <w:rFonts w:hint="eastAsia"/>
        </w:rPr>
        <w:t>21</w:t>
      </w:r>
      <w:r>
        <w:t>〕</w:t>
      </w:r>
      <w:r>
        <w:rPr>
          <w:rFonts w:hint="eastAsia"/>
        </w:rPr>
        <w:t>63</w:t>
      </w:r>
      <w:r>
        <w:t>号，以下简称《</w:t>
      </w:r>
      <w:r>
        <w:rPr>
          <w:rFonts w:hint="eastAsia"/>
        </w:rPr>
        <w:t>DIP经办规程</w:t>
      </w:r>
      <w:r>
        <w:t>》）和《国家医疗保障局办公室关于修订</w:t>
      </w:r>
      <w:r>
        <w:rPr>
          <w:rFonts w:hint="eastAsia"/>
        </w:rPr>
        <w:t>〈</w:t>
      </w:r>
      <w:r>
        <w:t>医疗保障基金结算清单</w:t>
      </w:r>
      <w:r>
        <w:rPr>
          <w:rFonts w:hint="eastAsia"/>
        </w:rPr>
        <w:t>〉〈</w:t>
      </w:r>
      <w:r>
        <w:t>医疗保障基金结算清单填写规范</w:t>
      </w:r>
      <w:r>
        <w:rPr>
          <w:rFonts w:hint="eastAsia"/>
        </w:rPr>
        <w:t>〉的通知</w:t>
      </w:r>
      <w:r>
        <w:t>》（医保办发〔2021〕34号</w:t>
      </w:r>
      <w:r>
        <w:rPr>
          <w:rFonts w:hint="eastAsia"/>
        </w:rPr>
        <w:t>，以下简称《清单填写规范》</w:t>
      </w:r>
      <w:r>
        <w:t>）要求</w:t>
      </w:r>
      <w:r>
        <w:rPr>
          <w:rFonts w:hint="eastAsia"/>
        </w:rPr>
        <w:t>，</w:t>
      </w:r>
      <w:r>
        <w:t>按照国家病案管理规范，病案首页信息填写完整，主要诊断和辅助诊断填写和选择正确，手术和操作填写规范，满足</w:t>
      </w:r>
      <w:r>
        <w:rPr>
          <w:rFonts w:hint="eastAsia"/>
        </w:rPr>
        <w:t>DIP</w:t>
      </w:r>
      <w:r>
        <w:t>分组和付费要求。</w:t>
      </w:r>
    </w:p>
    <w:p w:rsidR="003803C7" w:rsidRDefault="00AF7F3D">
      <w:pPr>
        <w:pStyle w:val="81"/>
        <w:spacing w:line="360" w:lineRule="auto"/>
      </w:pPr>
      <w:r>
        <w:rPr>
          <w:rFonts w:hint="eastAsia"/>
        </w:rPr>
        <w:t>乙方要</w:t>
      </w:r>
      <w:r>
        <w:t>贯彻落实《</w:t>
      </w:r>
      <w:r>
        <w:rPr>
          <w:rFonts w:hint="eastAsia"/>
        </w:rPr>
        <w:t>DIP经办规程</w:t>
      </w:r>
      <w:r>
        <w:t>》和《清单填写规范》要求，根据向参保患者提供住院（含日间手术）医疗服务实际情况，使用医疗保障疾病诊断和手术操作分类与代码等标准，规范填写医保结算清单的基本信息、住院诊疗信息和医疗收费信息，并通过医保信息系统向</w:t>
      </w:r>
      <w:r>
        <w:rPr>
          <w:rFonts w:hint="eastAsia"/>
        </w:rPr>
        <w:t>甲方</w:t>
      </w:r>
      <w:r>
        <w:t>报送。</w:t>
      </w:r>
    </w:p>
    <w:p w:rsidR="003803C7" w:rsidRDefault="00AF7F3D">
      <w:pPr>
        <w:pStyle w:val="81"/>
        <w:spacing w:line="360" w:lineRule="auto"/>
      </w:pPr>
      <w:r>
        <w:rPr>
          <w:rFonts w:ascii="黑体" w:eastAsia="黑体" w:hAnsi="黑体"/>
        </w:rPr>
        <w:t>第二条</w:t>
      </w:r>
      <w:r>
        <w:t>乙方应当成立由主要负责同志任组长的工作组，工作组成员应包括医</w:t>
      </w:r>
      <w:r>
        <w:lastRenderedPageBreak/>
        <w:t>保、医务、病案、临床、信息、统计、财务等部门负责同志。医疗机构工作组要完善与</w:t>
      </w:r>
      <w:r>
        <w:rPr>
          <w:rFonts w:hint="eastAsia"/>
        </w:rPr>
        <w:t>DIP</w:t>
      </w:r>
      <w:r>
        <w:t>付费相适应的内部医疗管理制度，健全以保证质量、控制成本、规范诊疗、提高医务人员积极性为核心的管理机制，建立各组成部门间沟通协作机制，完善信息系统建设，按照规范化、标准化要求向医保、卫生健康部门报送医疗保障基金结算清单和住院病案首页，不断提高数据填报质量。</w:t>
      </w:r>
      <w:r>
        <w:rPr>
          <w:rFonts w:hint="eastAsia"/>
        </w:rPr>
        <w:t>同时，乙方</w:t>
      </w:r>
      <w:r>
        <w:t>要组建来自医保、医务、病案、临床、信息、统计、财务等部门的专业支持队伍，做好</w:t>
      </w:r>
      <w:r>
        <w:rPr>
          <w:rFonts w:hint="eastAsia"/>
        </w:rPr>
        <w:t>DIP</w:t>
      </w:r>
      <w:r>
        <w:t>工作的技术支持。</w:t>
      </w:r>
    </w:p>
    <w:p w:rsidR="003803C7" w:rsidRDefault="00AF7F3D">
      <w:pPr>
        <w:pStyle w:val="81"/>
        <w:spacing w:line="360" w:lineRule="auto"/>
      </w:pPr>
      <w:r>
        <w:rPr>
          <w:rFonts w:ascii="黑体" w:eastAsia="黑体" w:hAnsi="黑体"/>
        </w:rPr>
        <w:t>第三条</w:t>
      </w:r>
      <w:r>
        <w:t>甲方应当建立完善的</w:t>
      </w:r>
      <w:r>
        <w:rPr>
          <w:rFonts w:hint="eastAsia"/>
        </w:rPr>
        <w:t>DIP</w:t>
      </w:r>
      <w:r>
        <w:t>工作</w:t>
      </w:r>
      <w:r>
        <w:rPr>
          <w:rFonts w:hint="eastAsia"/>
        </w:rPr>
        <w:t>管理</w:t>
      </w:r>
      <w:r>
        <w:t>制度，明确对乙方申报</w:t>
      </w:r>
      <w:r>
        <w:rPr>
          <w:rFonts w:hint="eastAsia"/>
        </w:rPr>
        <w:t>DIP</w:t>
      </w:r>
      <w:r>
        <w:t>结算费用的审核、结算、拨付等岗位责任及风险防控机制。</w:t>
      </w:r>
    </w:p>
    <w:p w:rsidR="003803C7" w:rsidRDefault="00AF7F3D">
      <w:pPr>
        <w:pStyle w:val="81"/>
        <w:spacing w:line="360" w:lineRule="auto"/>
      </w:pPr>
      <w:r>
        <w:rPr>
          <w:rFonts w:hint="eastAsia"/>
        </w:rPr>
        <w:t>乙方应</w:t>
      </w:r>
      <w:r>
        <w:t>加强医保结算清单数据质</w:t>
      </w:r>
      <w:r>
        <w:rPr>
          <w:rFonts w:hint="eastAsia"/>
        </w:rPr>
        <w:t>量</w:t>
      </w:r>
      <w:r>
        <w:t>控制</w:t>
      </w:r>
      <w:r>
        <w:rPr>
          <w:rFonts w:hint="eastAsia"/>
        </w:rPr>
        <w:t>，</w:t>
      </w:r>
      <w:r>
        <w:t>结合自身实际梳理优化医保结算清单数据填报流程，做好有关数据来源的质量控制，确保医保结算清单各指标项真实、准确、可追溯。</w:t>
      </w:r>
    </w:p>
    <w:p w:rsidR="003803C7" w:rsidRDefault="00AF7F3D">
      <w:pPr>
        <w:pStyle w:val="81"/>
        <w:spacing w:line="360" w:lineRule="auto"/>
      </w:pPr>
      <w:r>
        <w:rPr>
          <w:rFonts w:ascii="黑体" w:eastAsia="黑体" w:hAnsi="黑体"/>
        </w:rPr>
        <w:t>第四条</w:t>
      </w:r>
      <w:r>
        <w:t>甲方应做好对乙方</w:t>
      </w:r>
      <w:r>
        <w:rPr>
          <w:rFonts w:hint="eastAsia"/>
        </w:rPr>
        <w:t>DIP</w:t>
      </w:r>
      <w:r>
        <w:t>基础知识、结算政策、管理制度、经办流程、系统使用的宣传培训；乙方应参加甲方组织的宣传和培训，并组织院内相关培训，</w:t>
      </w:r>
      <w:r>
        <w:rPr>
          <w:rFonts w:hint="eastAsia"/>
        </w:rPr>
        <w:t>组织和实施DIP</w:t>
      </w:r>
      <w:r>
        <w:t>支付方式改革</w:t>
      </w:r>
      <w:r>
        <w:rPr>
          <w:rFonts w:hint="eastAsia"/>
        </w:rPr>
        <w:t>医保结算工作</w:t>
      </w:r>
      <w:r>
        <w:t>。</w:t>
      </w:r>
    </w:p>
    <w:p w:rsidR="003803C7" w:rsidRDefault="00AF7F3D">
      <w:pPr>
        <w:pStyle w:val="81"/>
        <w:spacing w:line="360" w:lineRule="auto"/>
      </w:pPr>
      <w:r>
        <w:rPr>
          <w:rFonts w:ascii="黑体" w:eastAsia="黑体" w:hAnsi="黑体"/>
        </w:rPr>
        <w:t>第五条</w:t>
      </w:r>
      <w:r>
        <w:rPr>
          <w:rFonts w:hint="eastAsia"/>
        </w:rPr>
        <w:t xml:space="preserve">  甲方</w:t>
      </w:r>
      <w:r>
        <w:t>在</w:t>
      </w:r>
      <w:r>
        <w:rPr>
          <w:rFonts w:hint="eastAsia"/>
        </w:rPr>
        <w:t>DIP</w:t>
      </w:r>
      <w:r>
        <w:t>付费的分组、预算、支付等相关标准制定中，加强组织管理，建立协商谈判相关的工作机制。协商谈判要充分考虑乙方的利益，乙方可派代表参加协商谈判，通过充分的讨论和磋商，最终达成统一的意见。</w:t>
      </w:r>
    </w:p>
    <w:p w:rsidR="003803C7" w:rsidRDefault="00AF7F3D">
      <w:pPr>
        <w:pStyle w:val="81"/>
        <w:spacing w:line="360" w:lineRule="auto"/>
      </w:pPr>
      <w:r>
        <w:rPr>
          <w:rFonts w:ascii="黑体" w:eastAsia="黑体" w:hAnsi="黑体"/>
        </w:rPr>
        <w:t>第六条</w:t>
      </w:r>
      <w:r>
        <w:rPr>
          <w:rFonts w:hint="eastAsia"/>
        </w:rPr>
        <w:t xml:space="preserve">  甲方应</w:t>
      </w:r>
      <w:r>
        <w:t>建立</w:t>
      </w:r>
      <w:r>
        <w:rPr>
          <w:rFonts w:hint="eastAsia"/>
        </w:rPr>
        <w:t>医保结算清单质控</w:t>
      </w:r>
      <w:r>
        <w:t>机制</w:t>
      </w:r>
      <w:r>
        <w:rPr>
          <w:rFonts w:hint="eastAsia"/>
        </w:rPr>
        <w:t>，</w:t>
      </w:r>
      <w:r>
        <w:t>加强信息系统改造，完善医保结算清单的填报、审核、反馈等机制。会同市卫生健康部门共同组建由医保、医院管理、临床、病案、信息、财务等不同专业人员组成的数据质量</w:t>
      </w:r>
      <w:r>
        <w:rPr>
          <w:rFonts w:hint="eastAsia"/>
        </w:rPr>
        <w:t>质控</w:t>
      </w:r>
      <w:r>
        <w:t>团队，定期对</w:t>
      </w:r>
      <w:r>
        <w:rPr>
          <w:rFonts w:hint="eastAsia"/>
        </w:rPr>
        <w:t>乙方</w:t>
      </w:r>
      <w:r>
        <w:t>医保结算清单数据填报质量进行</w:t>
      </w:r>
      <w:r>
        <w:rPr>
          <w:rFonts w:hint="eastAsia"/>
        </w:rPr>
        <w:t>质控</w:t>
      </w:r>
      <w:r>
        <w:t>，</w:t>
      </w:r>
      <w:r>
        <w:rPr>
          <w:rFonts w:hint="eastAsia"/>
        </w:rPr>
        <w:t>建立相应的</w:t>
      </w:r>
      <w:r>
        <w:t>问题反馈、信息通报</w:t>
      </w:r>
      <w:r>
        <w:lastRenderedPageBreak/>
        <w:t>机制，指导推动各试点医疗机构持续提高数据填报质量。</w:t>
      </w:r>
    </w:p>
    <w:p w:rsidR="003803C7" w:rsidRDefault="00AF7F3D" w:rsidP="003C1C0A">
      <w:pPr>
        <w:pStyle w:val="123"/>
        <w:spacing w:before="216" w:after="216" w:line="360" w:lineRule="auto"/>
        <w:outlineLvl w:val="0"/>
      </w:pPr>
      <w:bookmarkStart w:id="8" w:name="_Toc23888"/>
      <w:bookmarkStart w:id="9" w:name="_Toc131429039"/>
      <w:bookmarkStart w:id="10" w:name="_Toc5546"/>
      <w:bookmarkStart w:id="11" w:name="_Toc20898"/>
      <w:r>
        <w:rPr>
          <w:rFonts w:hint="eastAsia"/>
        </w:rPr>
        <w:t>第二章  付费标准</w:t>
      </w:r>
      <w:bookmarkEnd w:id="8"/>
      <w:bookmarkEnd w:id="9"/>
      <w:bookmarkEnd w:id="10"/>
      <w:bookmarkEnd w:id="11"/>
    </w:p>
    <w:p w:rsidR="003803C7" w:rsidRDefault="00AF7F3D" w:rsidP="009E2607">
      <w:pPr>
        <w:pStyle w:val="81"/>
        <w:spacing w:line="384" w:lineRule="auto"/>
      </w:pPr>
      <w:r>
        <w:rPr>
          <w:rFonts w:ascii="黑体" w:eastAsia="黑体" w:hAnsi="黑体"/>
        </w:rPr>
        <w:t>第</w:t>
      </w:r>
      <w:r>
        <w:rPr>
          <w:rFonts w:ascii="黑体" w:eastAsia="黑体" w:hAnsi="黑体" w:hint="eastAsia"/>
        </w:rPr>
        <w:t>七</w:t>
      </w:r>
      <w:r>
        <w:rPr>
          <w:rFonts w:ascii="黑体" w:eastAsia="黑体" w:hAnsi="黑体"/>
        </w:rPr>
        <w:t>条</w:t>
      </w:r>
      <w:r>
        <w:rPr>
          <w:rFonts w:hint="eastAsia"/>
        </w:rPr>
        <w:t xml:space="preserve">  甲方</w:t>
      </w:r>
      <w:r>
        <w:t>按照《</w:t>
      </w:r>
      <w:r>
        <w:rPr>
          <w:rFonts w:hint="eastAsia"/>
        </w:rPr>
        <w:t>DIP经办规程</w:t>
      </w:r>
      <w:r>
        <w:t>》和</w:t>
      </w:r>
      <w:r>
        <w:rPr>
          <w:rFonts w:hint="eastAsia"/>
        </w:rPr>
        <w:t>《市医保局 市卫生健康委 市财政局关于印发天津市医疗保障区域点数法总额预算和按病种分值付费管理办法（试行）的通知》（津医保局发〔2021〕75号）</w:t>
      </w:r>
      <w:r>
        <w:t>有关要求，结合</w:t>
      </w:r>
      <w:r>
        <w:rPr>
          <w:rFonts w:hint="eastAsia"/>
        </w:rPr>
        <w:t>天津市定点</w:t>
      </w:r>
      <w:r>
        <w:t>医疗</w:t>
      </w:r>
      <w:r>
        <w:rPr>
          <w:rFonts w:hint="eastAsia"/>
        </w:rPr>
        <w:t>机构既往年度住院诊疗中的疾病诊断、治疗方式、患者年龄、病症严重程度及转归等与医疗资源消耗相关的各种信息，通过大数据统计分析方法，按照临床特征相似、资源消耗相近原则，制定本市DIP分组标准。经组织专家论证，可根据临床经验对DIP分组标准进行适当调整。</w:t>
      </w:r>
    </w:p>
    <w:p w:rsidR="003803C7" w:rsidRDefault="00AF7F3D" w:rsidP="009E2607">
      <w:pPr>
        <w:pStyle w:val="81"/>
        <w:spacing w:line="384" w:lineRule="auto"/>
      </w:pPr>
      <w:r>
        <w:rPr>
          <w:rFonts w:ascii="黑体" w:eastAsia="黑体" w:hAnsi="黑体"/>
        </w:rPr>
        <w:t>第</w:t>
      </w:r>
      <w:r>
        <w:rPr>
          <w:rFonts w:ascii="黑体" w:eastAsia="黑体" w:hAnsi="黑体" w:hint="eastAsia"/>
        </w:rPr>
        <w:t>八</w:t>
      </w:r>
      <w:r>
        <w:rPr>
          <w:rFonts w:ascii="黑体" w:eastAsia="黑体" w:hAnsi="黑体"/>
        </w:rPr>
        <w:t>条</w:t>
      </w:r>
      <w:r>
        <w:rPr>
          <w:rFonts w:hint="eastAsia"/>
        </w:rPr>
        <w:t xml:space="preserve">  甲方按照各DIP组分值根据既往年度每个DIP组平均住院费用与全部病例平均住院费用的比值测算确定，以反映不同DIP组间资源消耗程度的相对值。经组织专家论证，可依据资源消耗结构合理性、疾病诊治难易程度和医改政策导向等因素，对各DIP组间相对分值进行结构性调整。</w:t>
      </w:r>
    </w:p>
    <w:p w:rsidR="003803C7" w:rsidRDefault="00AF7F3D" w:rsidP="009E2607">
      <w:pPr>
        <w:pStyle w:val="81"/>
        <w:spacing w:line="384" w:lineRule="auto"/>
      </w:pPr>
      <w:r>
        <w:rPr>
          <w:rFonts w:ascii="黑体" w:eastAsia="黑体" w:hAnsi="黑体"/>
        </w:rPr>
        <w:t>第</w:t>
      </w:r>
      <w:r>
        <w:rPr>
          <w:rFonts w:ascii="黑体" w:eastAsia="黑体" w:hAnsi="黑体" w:hint="eastAsia"/>
        </w:rPr>
        <w:t>九</w:t>
      </w:r>
      <w:r>
        <w:rPr>
          <w:rFonts w:ascii="黑体" w:eastAsia="黑体" w:hAnsi="黑体"/>
        </w:rPr>
        <w:t>条</w:t>
      </w:r>
      <w:r>
        <w:rPr>
          <w:rFonts w:hint="eastAsia"/>
        </w:rPr>
        <w:t xml:space="preserve">  甲方按照DIP费率以点数形式体现，将每个DIP分值的基础费率计为</w:t>
      </w:r>
      <w:r>
        <w:t>10000</w:t>
      </w:r>
      <w:r>
        <w:rPr>
          <w:rFonts w:hint="eastAsia"/>
        </w:rPr>
        <w:t>点。市医疗保障部门会同市卫生健康部门，可根据不同级别、类别医疗机构间资源消耗指数差异等实际情况，综合考虑医疗机构的服务能力和范围、隶属关系、区域等因素，将定点医疗机构分为若干档并分别设定各档费率调节系数，逐步实现同级别医疗机构同病组同费率。</w:t>
      </w:r>
    </w:p>
    <w:p w:rsidR="003803C7" w:rsidRDefault="00AF7F3D" w:rsidP="009E2607">
      <w:pPr>
        <w:pStyle w:val="81"/>
        <w:spacing w:line="384" w:lineRule="auto"/>
      </w:pPr>
      <w:r>
        <w:rPr>
          <w:rFonts w:hint="eastAsia"/>
        </w:rPr>
        <w:t>经双方协商一致，本协议年度乙方DIP费率调节系数为_</w:t>
      </w:r>
      <w:r>
        <w:t>____</w:t>
      </w:r>
      <w:r>
        <w:rPr>
          <w:rFonts w:hint="eastAsia"/>
        </w:rPr>
        <w:t>。</w:t>
      </w:r>
    </w:p>
    <w:p w:rsidR="009E2607" w:rsidRDefault="009E2607">
      <w:pPr>
        <w:pStyle w:val="81"/>
        <w:spacing w:line="360" w:lineRule="auto"/>
      </w:pPr>
    </w:p>
    <w:p w:rsidR="003803C7" w:rsidRDefault="00AF7F3D" w:rsidP="003C1C0A">
      <w:pPr>
        <w:pStyle w:val="123"/>
        <w:spacing w:before="216" w:after="216" w:line="360" w:lineRule="auto"/>
        <w:outlineLvl w:val="0"/>
      </w:pPr>
      <w:bookmarkStart w:id="12" w:name="_Toc21132"/>
      <w:bookmarkStart w:id="13" w:name="_Toc26319"/>
      <w:bookmarkStart w:id="14" w:name="_Toc11939"/>
      <w:bookmarkStart w:id="15" w:name="_Toc131429040"/>
      <w:r>
        <w:rPr>
          <w:rFonts w:hint="eastAsia"/>
        </w:rPr>
        <w:lastRenderedPageBreak/>
        <w:t>第三章  费用申报</w:t>
      </w:r>
      <w:bookmarkEnd w:id="12"/>
      <w:bookmarkEnd w:id="13"/>
      <w:bookmarkEnd w:id="14"/>
      <w:bookmarkEnd w:id="15"/>
    </w:p>
    <w:p w:rsidR="003803C7" w:rsidRDefault="00AF7F3D">
      <w:pPr>
        <w:pStyle w:val="81"/>
        <w:spacing w:line="360" w:lineRule="auto"/>
      </w:pPr>
      <w:r>
        <w:rPr>
          <w:rFonts w:ascii="黑体" w:eastAsia="黑体" w:hAnsi="黑体"/>
        </w:rPr>
        <w:t>第十条</w:t>
      </w:r>
      <w:r>
        <w:rPr>
          <w:rFonts w:hint="eastAsia"/>
        </w:rPr>
        <w:t xml:space="preserve">  乙方按项目付费结算方式为参保患者办理入院和出院手续。参保患者</w:t>
      </w:r>
      <w:r>
        <w:t>按</w:t>
      </w:r>
      <w:r>
        <w:rPr>
          <w:rFonts w:hint="eastAsia"/>
        </w:rPr>
        <w:t>医保待遇标准与定点医疗机构结算应</w:t>
      </w:r>
      <w:r>
        <w:t>由个人</w:t>
      </w:r>
      <w:r>
        <w:rPr>
          <w:rFonts w:hint="eastAsia"/>
        </w:rPr>
        <w:t>负担</w:t>
      </w:r>
      <w:r>
        <w:t>的医疗费用</w:t>
      </w:r>
      <w:r>
        <w:rPr>
          <w:rFonts w:hint="eastAsia"/>
        </w:rPr>
        <w:t>。</w:t>
      </w:r>
    </w:p>
    <w:p w:rsidR="003803C7" w:rsidRDefault="00AF7F3D">
      <w:pPr>
        <w:pStyle w:val="81"/>
        <w:spacing w:line="360" w:lineRule="auto"/>
      </w:pPr>
      <w:r>
        <w:rPr>
          <w:rFonts w:ascii="黑体" w:eastAsia="黑体" w:hAnsi="黑体"/>
        </w:rPr>
        <w:t>第十</w:t>
      </w:r>
      <w:r>
        <w:rPr>
          <w:rFonts w:ascii="黑体" w:eastAsia="黑体" w:hAnsi="黑体" w:hint="eastAsia"/>
        </w:rPr>
        <w:t>一</w:t>
      </w:r>
      <w:r>
        <w:rPr>
          <w:rFonts w:ascii="黑体" w:eastAsia="黑体" w:hAnsi="黑体"/>
        </w:rPr>
        <w:t>条</w:t>
      </w:r>
      <w:r>
        <w:rPr>
          <w:rFonts w:hint="eastAsia"/>
        </w:rPr>
        <w:t xml:space="preserve">  乙方于出院患者结算后，将住院医疗费用明细上传至医保支付系统，并一般在患者出院结算后3个工作日内，上传质控后的医保结算清单，因特殊情况需要延迟申报或修改的，应当在患者出院结算后10个工作日内完成。</w:t>
      </w:r>
    </w:p>
    <w:p w:rsidR="003803C7" w:rsidRDefault="00AF7F3D">
      <w:pPr>
        <w:pStyle w:val="81"/>
        <w:spacing w:line="360" w:lineRule="auto"/>
      </w:pPr>
      <w:r>
        <w:rPr>
          <w:rFonts w:hint="eastAsia"/>
        </w:rPr>
        <w:t>甲方将医保支付系统记录住院患者的DIP分组情况反馈至乙方。乙方对于未能入组或入组异常的病例，可修改完善医保结算清单内容，并在规定时限内重新申报。</w:t>
      </w:r>
    </w:p>
    <w:p w:rsidR="003803C7" w:rsidRDefault="00AF7F3D">
      <w:pPr>
        <w:pStyle w:val="81"/>
        <w:spacing w:line="360" w:lineRule="auto"/>
        <w:ind w:firstLine="492"/>
      </w:pPr>
      <w:r>
        <w:rPr>
          <w:rFonts w:ascii="黑体" w:eastAsia="黑体" w:hAnsi="黑体"/>
          <w:w w:val="95"/>
        </w:rPr>
        <w:t>第十</w:t>
      </w:r>
      <w:r>
        <w:rPr>
          <w:rFonts w:ascii="黑体" w:eastAsia="黑体" w:hAnsi="黑体" w:hint="eastAsia"/>
          <w:w w:val="95"/>
        </w:rPr>
        <w:t>二</w:t>
      </w:r>
      <w:r>
        <w:rPr>
          <w:rFonts w:ascii="黑体" w:eastAsia="黑体" w:hAnsi="黑体"/>
          <w:w w:val="95"/>
        </w:rPr>
        <w:t>条</w:t>
      </w:r>
      <w:r>
        <w:rPr>
          <w:rFonts w:hint="eastAsia"/>
          <w:w w:val="95"/>
        </w:rPr>
        <w:t xml:space="preserve">  乙方对未能入组、费用极高、费用极低、</w:t>
      </w:r>
      <w:r>
        <w:rPr>
          <w:w w:val="95"/>
        </w:rPr>
        <w:t>特殊申请</w:t>
      </w:r>
      <w:r>
        <w:rPr>
          <w:rFonts w:hint="eastAsia"/>
          <w:w w:val="95"/>
        </w:rPr>
        <w:t>的病例，可按照特殊病例进行申报结算，具体参照本市DIP付费管理办法及经办规程等相关文件执行。</w:t>
      </w:r>
    </w:p>
    <w:p w:rsidR="003803C7" w:rsidRDefault="00AF7F3D" w:rsidP="003C1C0A">
      <w:pPr>
        <w:pStyle w:val="123"/>
        <w:spacing w:before="216" w:after="216" w:line="360" w:lineRule="auto"/>
        <w:outlineLvl w:val="0"/>
      </w:pPr>
      <w:bookmarkStart w:id="16" w:name="_Toc11153"/>
      <w:bookmarkStart w:id="17" w:name="_Toc23757"/>
      <w:bookmarkStart w:id="18" w:name="_Toc131429041"/>
      <w:bookmarkStart w:id="19" w:name="_Toc16989"/>
      <w:r>
        <w:rPr>
          <w:rFonts w:hint="eastAsia"/>
        </w:rPr>
        <w:t>第四章  结算管理</w:t>
      </w:r>
      <w:bookmarkEnd w:id="16"/>
      <w:bookmarkEnd w:id="17"/>
      <w:bookmarkEnd w:id="18"/>
      <w:bookmarkEnd w:id="19"/>
    </w:p>
    <w:p w:rsidR="003803C7" w:rsidRDefault="00AF7F3D">
      <w:pPr>
        <w:pStyle w:val="81"/>
        <w:spacing w:line="360" w:lineRule="auto"/>
      </w:pPr>
      <w:r>
        <w:rPr>
          <w:rFonts w:ascii="黑体" w:eastAsia="黑体" w:hAnsi="黑体"/>
        </w:rPr>
        <w:t>第十</w:t>
      </w:r>
      <w:r>
        <w:rPr>
          <w:rFonts w:ascii="黑体" w:eastAsia="黑体" w:hAnsi="黑体" w:hint="eastAsia"/>
        </w:rPr>
        <w:t>三</w:t>
      </w:r>
      <w:r>
        <w:rPr>
          <w:rFonts w:ascii="黑体" w:eastAsia="黑体" w:hAnsi="黑体"/>
        </w:rPr>
        <w:t>条</w:t>
      </w:r>
      <w:r>
        <w:rPr>
          <w:rFonts w:hint="eastAsia"/>
        </w:rPr>
        <w:t xml:space="preserve">  总额预算管理相关工作，按照《天津市医疗保障区域点数法总额预算和按病种分值付费管理办法（试行）》（津医保局发〔2021〕75号）、《市医保局市卫生健康委市财政局关于进一步做好我市医疗保障区域点数法总额预算管理有关工作的通知》（津医保局发〔2022〕60号）等文件规定执行。</w:t>
      </w:r>
    </w:p>
    <w:p w:rsidR="003803C7" w:rsidRDefault="00AF7F3D">
      <w:pPr>
        <w:pStyle w:val="81"/>
        <w:spacing w:line="360" w:lineRule="auto"/>
      </w:pPr>
      <w:r>
        <w:rPr>
          <w:rFonts w:ascii="黑体" w:eastAsia="黑体" w:hAnsi="黑体"/>
        </w:rPr>
        <w:t>第十</w:t>
      </w:r>
      <w:r>
        <w:rPr>
          <w:rFonts w:ascii="黑体" w:eastAsia="黑体" w:hAnsi="黑体" w:hint="eastAsia"/>
        </w:rPr>
        <w:t>四</w:t>
      </w:r>
      <w:r>
        <w:rPr>
          <w:rFonts w:ascii="黑体" w:eastAsia="黑体" w:hAnsi="黑体"/>
        </w:rPr>
        <w:t>条</w:t>
      </w:r>
      <w:r>
        <w:rPr>
          <w:rFonts w:hint="eastAsia"/>
        </w:rPr>
        <w:t xml:space="preserve">  患者个人负担部分医疗费用，按照实际发生医疗费用和我市医保有关规定计算，并由患者个人与定点医疗机构自行结算，不受DIP付费影响。</w:t>
      </w:r>
    </w:p>
    <w:p w:rsidR="003803C7" w:rsidRDefault="00AF7F3D">
      <w:pPr>
        <w:pStyle w:val="81"/>
        <w:spacing w:line="360" w:lineRule="auto"/>
      </w:pPr>
      <w:r>
        <w:rPr>
          <w:rFonts w:ascii="黑体" w:eastAsia="黑体" w:hAnsi="黑体"/>
        </w:rPr>
        <w:t>第十五条</w:t>
      </w:r>
      <w:r>
        <w:rPr>
          <w:rFonts w:hint="eastAsia"/>
        </w:rPr>
        <w:t xml:space="preserve">  甲方依据定点医疗机构申报的医疗保障基金结算清单数据，按照DIP分组标准对住院病例进行分组。按月结算过程中，根据年初确定的DIP组分</w:t>
      </w:r>
      <w:r>
        <w:rPr>
          <w:rFonts w:hint="eastAsia"/>
        </w:rPr>
        <w:lastRenderedPageBreak/>
        <w:t>值、基础费率和费率调节系数，核定各定点医疗机构当月完成的DIP付费总点数。</w:t>
      </w:r>
    </w:p>
    <w:p w:rsidR="003803C7" w:rsidRDefault="00AF7F3D">
      <w:pPr>
        <w:pStyle w:val="81"/>
        <w:spacing w:line="360" w:lineRule="auto"/>
      </w:pPr>
      <w:r>
        <w:rPr>
          <w:rFonts w:ascii="黑体" w:eastAsia="黑体" w:hAnsi="黑体"/>
        </w:rPr>
        <w:t>第十六条</w:t>
      </w:r>
      <w:r>
        <w:rPr>
          <w:rFonts w:hint="eastAsia"/>
        </w:rPr>
        <w:t xml:space="preserve">  甲方按月核定协议年度内的累计结算点值、累计结算额度，并以当月累计结算额度为基础，核减协议年度内累计已由个人负担的医药费用和上月医保基金结算额度后，核定为乙方的当月医保基金结算额度。</w:t>
      </w:r>
    </w:p>
    <w:p w:rsidR="003803C7" w:rsidRDefault="00AF7F3D">
      <w:pPr>
        <w:pStyle w:val="81"/>
        <w:spacing w:line="360" w:lineRule="auto"/>
      </w:pPr>
      <w:r>
        <w:rPr>
          <w:rFonts w:ascii="黑体" w:eastAsia="黑体" w:hAnsi="黑体"/>
        </w:rPr>
        <w:t>第十七条</w:t>
      </w:r>
      <w:r>
        <w:t>乙方当月病例入组完成后可提</w:t>
      </w:r>
      <w:r>
        <w:rPr>
          <w:rFonts w:hint="eastAsia"/>
        </w:rPr>
        <w:t>交DIP</w:t>
      </w:r>
      <w:r>
        <w:t>月度结算费用申请，甲方</w:t>
      </w:r>
      <w:r>
        <w:rPr>
          <w:rFonts w:hint="eastAsia"/>
        </w:rPr>
        <w:t>按月</w:t>
      </w:r>
      <w:r>
        <w:t>向乙方拨付符合规定的医保</w:t>
      </w:r>
      <w:r>
        <w:rPr>
          <w:rFonts w:hint="eastAsia"/>
        </w:rPr>
        <w:t>DIP</w:t>
      </w:r>
      <w:r>
        <w:t>费用</w:t>
      </w:r>
      <w:r>
        <w:rPr>
          <w:rFonts w:hint="eastAsia"/>
        </w:rPr>
        <w:t>，留取一定比例的质量保证金并视协议年度考核结果按规定返还。</w:t>
      </w:r>
    </w:p>
    <w:p w:rsidR="003803C7" w:rsidRDefault="00AF7F3D">
      <w:pPr>
        <w:pStyle w:val="81"/>
        <w:spacing w:line="360" w:lineRule="auto"/>
      </w:pPr>
      <w:r>
        <w:rPr>
          <w:rFonts w:ascii="黑体" w:eastAsia="黑体" w:hAnsi="黑体"/>
        </w:rPr>
        <w:t>第</w:t>
      </w:r>
      <w:r>
        <w:rPr>
          <w:rFonts w:ascii="黑体" w:eastAsia="黑体" w:hAnsi="黑体" w:hint="eastAsia"/>
        </w:rPr>
        <w:t>十八</w:t>
      </w:r>
      <w:r>
        <w:rPr>
          <w:rFonts w:ascii="黑体" w:eastAsia="黑体" w:hAnsi="黑体"/>
        </w:rPr>
        <w:t>条</w:t>
      </w:r>
      <w:r>
        <w:rPr>
          <w:rFonts w:hint="eastAsia"/>
        </w:rPr>
        <w:t xml:space="preserve">  乙方应贯彻落实国家和我市关于深化推进医保信息化标准化工作要求，规范医保政策范围内医药项目和自费项目的费用申报行为。乙方在参保人员住院期间，原则上不得要求或推荐参保人员，通过门诊或外购等方式发生其他医疗费用。对于确因诊疗需要发生的门诊或外购费用，由乙方与本次住院费用一并申报结算</w:t>
      </w:r>
      <w:r>
        <w:t>。</w:t>
      </w:r>
    </w:p>
    <w:p w:rsidR="003803C7" w:rsidRDefault="00AF7F3D" w:rsidP="003C1C0A">
      <w:pPr>
        <w:pStyle w:val="123"/>
        <w:spacing w:before="216" w:after="216" w:line="360" w:lineRule="auto"/>
        <w:outlineLvl w:val="0"/>
      </w:pPr>
      <w:bookmarkStart w:id="20" w:name="_Toc5867"/>
      <w:bookmarkStart w:id="21" w:name="_Toc12334"/>
      <w:bookmarkStart w:id="22" w:name="_Toc131429042"/>
      <w:bookmarkStart w:id="23" w:name="_Toc5848"/>
      <w:r>
        <w:rPr>
          <w:rFonts w:hint="eastAsia"/>
        </w:rPr>
        <w:t>第五章  协议考核</w:t>
      </w:r>
      <w:bookmarkEnd w:id="20"/>
      <w:bookmarkEnd w:id="21"/>
      <w:bookmarkEnd w:id="22"/>
      <w:bookmarkEnd w:id="23"/>
    </w:p>
    <w:p w:rsidR="003803C7" w:rsidRDefault="00AF7F3D">
      <w:pPr>
        <w:pStyle w:val="81"/>
        <w:spacing w:line="360" w:lineRule="auto"/>
      </w:pPr>
      <w:r>
        <w:rPr>
          <w:rFonts w:ascii="黑体" w:eastAsia="黑体" w:hAnsi="黑体"/>
        </w:rPr>
        <w:t>第</w:t>
      </w:r>
      <w:r>
        <w:rPr>
          <w:rFonts w:ascii="黑体" w:eastAsia="黑体" w:hAnsi="黑体" w:hint="eastAsia"/>
        </w:rPr>
        <w:t>十九</w:t>
      </w:r>
      <w:r>
        <w:rPr>
          <w:rFonts w:ascii="黑体" w:eastAsia="黑体" w:hAnsi="黑体"/>
        </w:rPr>
        <w:t>条</w:t>
      </w:r>
      <w:r>
        <w:t>甲方</w:t>
      </w:r>
      <w:r>
        <w:rPr>
          <w:rFonts w:hint="eastAsia"/>
        </w:rPr>
        <w:t>根据DIP付费管理特点有针对性的加强审核，重点防范乙方可能出现的高靠诊断、高编码、多编码、分解住院、分解收费、低标准收治住院、虚假住院、减少必要服务、降低服务标准等行为。</w:t>
      </w:r>
    </w:p>
    <w:p w:rsidR="003803C7" w:rsidRDefault="00AF7F3D">
      <w:pPr>
        <w:pStyle w:val="81"/>
        <w:spacing w:line="360" w:lineRule="auto"/>
      </w:pPr>
      <w:r>
        <w:rPr>
          <w:rFonts w:ascii="黑体" w:eastAsia="黑体" w:hAnsi="黑体"/>
        </w:rPr>
        <w:t>第二十条</w:t>
      </w:r>
      <w:r>
        <w:t>甲方通过数据分析，追踪问题线索，通过监管手段锁定疑似病例，提交人工核查，通过病例核查及实地核查等方式，对违规病例进行相应处理。</w:t>
      </w:r>
    </w:p>
    <w:p w:rsidR="003803C7" w:rsidRDefault="00AF7F3D">
      <w:pPr>
        <w:pStyle w:val="81"/>
        <w:spacing w:line="360" w:lineRule="auto"/>
      </w:pPr>
      <w:r>
        <w:t>乙方按照相关规定要求接受日常监管和定期考核。</w:t>
      </w:r>
    </w:p>
    <w:p w:rsidR="003803C7" w:rsidRDefault="00AF7F3D">
      <w:pPr>
        <w:pStyle w:val="81"/>
        <w:spacing w:line="360" w:lineRule="auto"/>
      </w:pPr>
      <w:r>
        <w:rPr>
          <w:rFonts w:ascii="黑体" w:eastAsia="黑体" w:hAnsi="黑体"/>
        </w:rPr>
        <w:t>第二十</w:t>
      </w:r>
      <w:r>
        <w:rPr>
          <w:rFonts w:ascii="黑体" w:eastAsia="黑体" w:hAnsi="黑体" w:hint="eastAsia"/>
        </w:rPr>
        <w:t>一</w:t>
      </w:r>
      <w:r>
        <w:rPr>
          <w:rFonts w:ascii="黑体" w:eastAsia="黑体" w:hAnsi="黑体"/>
        </w:rPr>
        <w:t>条</w:t>
      </w:r>
      <w:r>
        <w:t>乙方应加强内部科室和医务人员的管理，防止服务不足和过度医疗，保证服务质量和参保人员权益。不得以</w:t>
      </w:r>
      <w:r>
        <w:rPr>
          <w:rFonts w:hint="eastAsia"/>
        </w:rPr>
        <w:t>DIP</w:t>
      </w:r>
      <w:r>
        <w:t>某个病组亏损为原因推诿拒收病</w:t>
      </w:r>
      <w:r>
        <w:lastRenderedPageBreak/>
        <w:t>人，不得将超过</w:t>
      </w:r>
      <w:r>
        <w:rPr>
          <w:rFonts w:hint="eastAsia"/>
        </w:rPr>
        <w:t>DIP</w:t>
      </w:r>
      <w:r>
        <w:t>费用指标控制的医疗费用转嫁给参保人员</w:t>
      </w:r>
      <w:r>
        <w:rPr>
          <w:rFonts w:hint="eastAsia"/>
        </w:rPr>
        <w:t>，不得将应当联网结算的医疗费用要求或诱导患者垫付报销</w:t>
      </w:r>
      <w:r>
        <w:t>。</w:t>
      </w:r>
    </w:p>
    <w:p w:rsidR="003803C7" w:rsidRDefault="00AF7F3D">
      <w:pPr>
        <w:pStyle w:val="81"/>
        <w:spacing w:line="360" w:lineRule="auto"/>
      </w:pPr>
      <w:r>
        <w:t>乙方应建立院内医疗费用管理制度，建立健全</w:t>
      </w:r>
      <w:r>
        <w:rPr>
          <w:rFonts w:hint="eastAsia"/>
        </w:rPr>
        <w:t>DIP</w:t>
      </w:r>
      <w:r>
        <w:t>考核评价体系，定期检查医保基金使用情况。对内部科室和医务人员提供的</w:t>
      </w:r>
      <w:r>
        <w:rPr>
          <w:rFonts w:hint="eastAsia"/>
        </w:rPr>
        <w:t>DIP</w:t>
      </w:r>
      <w:r>
        <w:t>费用定期进行分析审核。</w:t>
      </w:r>
    </w:p>
    <w:p w:rsidR="003803C7" w:rsidRDefault="00AF7F3D">
      <w:pPr>
        <w:pStyle w:val="81"/>
        <w:spacing w:line="360" w:lineRule="auto"/>
      </w:pPr>
      <w:r>
        <w:rPr>
          <w:rFonts w:ascii="黑体" w:eastAsia="黑体" w:hAnsi="黑体"/>
        </w:rPr>
        <w:t>第二十</w:t>
      </w:r>
      <w:r>
        <w:rPr>
          <w:rFonts w:ascii="黑体" w:eastAsia="黑体" w:hAnsi="黑体" w:hint="eastAsia"/>
        </w:rPr>
        <w:t>二</w:t>
      </w:r>
      <w:r>
        <w:rPr>
          <w:rFonts w:ascii="黑体" w:eastAsia="黑体" w:hAnsi="黑体"/>
        </w:rPr>
        <w:t>条</w:t>
      </w:r>
      <w:r>
        <w:rPr>
          <w:rFonts w:hint="eastAsia"/>
        </w:rPr>
        <w:t xml:space="preserve">  医保审核部门</w:t>
      </w:r>
      <w:r>
        <w:t>可利用</w:t>
      </w:r>
      <w:r>
        <w:rPr>
          <w:rFonts w:hint="eastAsia"/>
        </w:rPr>
        <w:t>DIP</w:t>
      </w:r>
      <w:r>
        <w:t>智能审核等技术手段审核乙方</w:t>
      </w:r>
      <w:r>
        <w:rPr>
          <w:rFonts w:hint="eastAsia"/>
        </w:rPr>
        <w:t>DIP</w:t>
      </w:r>
      <w:r>
        <w:t>结算费用，如发现乙方有界定清楚的违规行为，可直接进行处理；</w:t>
      </w:r>
      <w:r>
        <w:rPr>
          <w:rFonts w:hint="eastAsia"/>
        </w:rPr>
        <w:t>医保审核部门</w:t>
      </w:r>
      <w:r>
        <w:t>发现违约疑点时，应及时反馈至乙方，乙方应当及时处理，不得影响参保人员结算。</w:t>
      </w:r>
    </w:p>
    <w:p w:rsidR="003803C7" w:rsidRDefault="00AF7F3D">
      <w:pPr>
        <w:pStyle w:val="81"/>
        <w:spacing w:line="360" w:lineRule="auto"/>
      </w:pPr>
      <w:r>
        <w:rPr>
          <w:rFonts w:ascii="黑体" w:eastAsia="黑体" w:hAnsi="黑体"/>
        </w:rPr>
        <w:t>第二十</w:t>
      </w:r>
      <w:r>
        <w:rPr>
          <w:rFonts w:ascii="黑体" w:eastAsia="黑体" w:hAnsi="黑体" w:hint="eastAsia"/>
        </w:rPr>
        <w:t>三</w:t>
      </w:r>
      <w:r>
        <w:rPr>
          <w:rFonts w:ascii="黑体" w:eastAsia="黑体" w:hAnsi="黑体"/>
        </w:rPr>
        <w:t>条</w:t>
      </w:r>
      <w:r>
        <w:t>为保障</w:t>
      </w:r>
      <w:r>
        <w:rPr>
          <w:rFonts w:hint="eastAsia"/>
        </w:rPr>
        <w:t>DIP</w:t>
      </w:r>
      <w:r>
        <w:t>付费可持续运行，保证参保人员受益水平，避免并遏制可能存在的乙方选择轻症病人住院、推诿重症病人和服务不足等现象，甲方确定考核指标及分值，</w:t>
      </w:r>
      <w:r>
        <w:rPr>
          <w:rFonts w:hint="eastAsia"/>
        </w:rPr>
        <w:t>对乙方进行考核</w:t>
      </w:r>
      <w:r>
        <w:t>。</w:t>
      </w:r>
    </w:p>
    <w:p w:rsidR="003803C7" w:rsidRDefault="00AF7F3D" w:rsidP="003C1C0A">
      <w:pPr>
        <w:pStyle w:val="123"/>
        <w:spacing w:before="216" w:after="216" w:line="360" w:lineRule="auto"/>
        <w:outlineLvl w:val="0"/>
      </w:pPr>
      <w:bookmarkStart w:id="24" w:name="_Toc5280"/>
      <w:bookmarkStart w:id="25" w:name="_Toc131429043"/>
      <w:bookmarkStart w:id="26" w:name="_Toc23804"/>
      <w:bookmarkStart w:id="27" w:name="_Toc23100"/>
      <w:r>
        <w:rPr>
          <w:rFonts w:hint="eastAsia"/>
        </w:rPr>
        <w:t>第六章  争议处理</w:t>
      </w:r>
      <w:bookmarkEnd w:id="24"/>
      <w:bookmarkEnd w:id="25"/>
      <w:bookmarkEnd w:id="26"/>
      <w:bookmarkEnd w:id="27"/>
    </w:p>
    <w:p w:rsidR="003803C7" w:rsidRDefault="00AF7F3D">
      <w:pPr>
        <w:pStyle w:val="81"/>
        <w:spacing w:line="360" w:lineRule="auto"/>
      </w:pPr>
      <w:r>
        <w:rPr>
          <w:rFonts w:ascii="黑体" w:eastAsia="黑体" w:hAnsi="黑体"/>
        </w:rPr>
        <w:t>第二十</w:t>
      </w:r>
      <w:r>
        <w:rPr>
          <w:rFonts w:ascii="黑体" w:eastAsia="黑体" w:hAnsi="黑体" w:hint="eastAsia"/>
        </w:rPr>
        <w:t>四</w:t>
      </w:r>
      <w:r>
        <w:rPr>
          <w:rFonts w:ascii="黑体" w:eastAsia="黑体" w:hAnsi="黑体"/>
        </w:rPr>
        <w:t>条</w:t>
      </w:r>
      <w:r>
        <w:t>甲方通过</w:t>
      </w:r>
      <w:r>
        <w:rPr>
          <w:rFonts w:hint="eastAsia"/>
        </w:rPr>
        <w:t>建立DIP</w:t>
      </w:r>
      <w:r>
        <w:t>付费争议处理机制，解决乙方提出极值病例支付等</w:t>
      </w:r>
      <w:r>
        <w:rPr>
          <w:rFonts w:hint="eastAsia"/>
        </w:rPr>
        <w:t>DIP</w:t>
      </w:r>
      <w:r>
        <w:t>支付领域的争议问题，推进</w:t>
      </w:r>
      <w:r>
        <w:rPr>
          <w:rFonts w:hint="eastAsia"/>
        </w:rPr>
        <w:t>DIP</w:t>
      </w:r>
      <w:r>
        <w:t>付费工作。</w:t>
      </w:r>
    </w:p>
    <w:p w:rsidR="003803C7" w:rsidRDefault="00AF7F3D">
      <w:pPr>
        <w:pStyle w:val="81"/>
        <w:spacing w:line="360" w:lineRule="auto"/>
      </w:pPr>
      <w:r>
        <w:rPr>
          <w:rFonts w:ascii="黑体" w:eastAsia="黑体" w:hAnsi="黑体"/>
        </w:rPr>
        <w:t>第二十</w:t>
      </w:r>
      <w:r>
        <w:rPr>
          <w:rFonts w:ascii="黑体" w:eastAsia="黑体" w:hAnsi="黑体" w:hint="eastAsia"/>
        </w:rPr>
        <w:t>五</w:t>
      </w:r>
      <w:r>
        <w:rPr>
          <w:rFonts w:ascii="黑体" w:eastAsia="黑体" w:hAnsi="黑体"/>
        </w:rPr>
        <w:t>条</w:t>
      </w:r>
      <w:r>
        <w:t>甲方根据公平公正、客观合理、多方参与</w:t>
      </w:r>
      <w:r>
        <w:rPr>
          <w:rFonts w:hint="eastAsia"/>
        </w:rPr>
        <w:t>等原则，</w:t>
      </w:r>
      <w:r>
        <w:t>及时处理争议。</w:t>
      </w:r>
    </w:p>
    <w:p w:rsidR="003803C7" w:rsidRDefault="00AF7F3D">
      <w:pPr>
        <w:pStyle w:val="81"/>
        <w:spacing w:line="360" w:lineRule="auto"/>
      </w:pPr>
      <w:r>
        <w:rPr>
          <w:rFonts w:ascii="黑体" w:eastAsia="黑体" w:hAnsi="黑体"/>
        </w:rPr>
        <w:t>第二十</w:t>
      </w:r>
      <w:r>
        <w:rPr>
          <w:rFonts w:ascii="黑体" w:eastAsia="黑体" w:hAnsi="黑体" w:hint="eastAsia"/>
        </w:rPr>
        <w:t>六</w:t>
      </w:r>
      <w:r>
        <w:rPr>
          <w:rFonts w:ascii="黑体" w:eastAsia="黑体" w:hAnsi="黑体"/>
        </w:rPr>
        <w:t>条</w:t>
      </w:r>
      <w:r>
        <w:t>争议处理流程：乙方</w:t>
      </w:r>
      <w:r>
        <w:rPr>
          <w:rFonts w:hint="eastAsia"/>
        </w:rPr>
        <w:t>提出</w:t>
      </w:r>
      <w:r>
        <w:t>申诉申请</w:t>
      </w:r>
      <w:r>
        <w:rPr>
          <w:rFonts w:hint="eastAsia"/>
        </w:rPr>
        <w:t>—</w:t>
      </w:r>
      <w:r>
        <w:t>甲方受理申诉</w:t>
      </w:r>
      <w:r>
        <w:rPr>
          <w:rFonts w:hint="eastAsia"/>
        </w:rPr>
        <w:t>—</w:t>
      </w:r>
      <w:r>
        <w:t>组织专家评判</w:t>
      </w:r>
      <w:r>
        <w:rPr>
          <w:rFonts w:hint="eastAsia"/>
        </w:rPr>
        <w:t>—</w:t>
      </w:r>
      <w:r>
        <w:t>争议处理意见</w:t>
      </w:r>
      <w:r>
        <w:rPr>
          <w:rFonts w:hint="eastAsia"/>
        </w:rPr>
        <w:t>—</w:t>
      </w:r>
      <w:r>
        <w:t>执行反馈</w:t>
      </w:r>
      <w:r>
        <w:rPr>
          <w:rFonts w:hint="eastAsia"/>
        </w:rPr>
        <w:t>—</w:t>
      </w:r>
      <w:r>
        <w:t>结案归档等环节；甲方受理争议申诉后，尽快组织论证、客观核实、完成处理。甲方需建立争议个案常态化讨论制度，组织相关专家进行定期讨论，逐步完善争议处理机制。</w:t>
      </w:r>
      <w:bookmarkStart w:id="28" w:name="_Toc27043"/>
    </w:p>
    <w:p w:rsidR="003803C7" w:rsidRDefault="00AF7F3D" w:rsidP="009E2607">
      <w:pPr>
        <w:pStyle w:val="81"/>
        <w:spacing w:line="360" w:lineRule="auto"/>
      </w:pPr>
      <w:r>
        <w:rPr>
          <w:rFonts w:ascii="黑体" w:eastAsia="黑体"/>
        </w:rPr>
        <w:t>第</w:t>
      </w:r>
      <w:r>
        <w:rPr>
          <w:rFonts w:ascii="黑体" w:eastAsia="黑体" w:hAnsi="黑体"/>
        </w:rPr>
        <w:t>二十</w:t>
      </w:r>
      <w:r>
        <w:rPr>
          <w:rFonts w:ascii="黑体" w:eastAsia="黑体" w:hAnsi="黑体" w:hint="eastAsia"/>
        </w:rPr>
        <w:t>七</w:t>
      </w:r>
      <w:r>
        <w:rPr>
          <w:rFonts w:ascii="黑体" w:eastAsia="黑体"/>
        </w:rPr>
        <w:t>条</w:t>
      </w:r>
      <w:r>
        <w:rPr>
          <w:rFonts w:hint="eastAsia"/>
        </w:rPr>
        <w:t xml:space="preserve">  乙方或相关责任部门、责任人在开展DIP支付方式医保</w:t>
      </w:r>
      <w:r>
        <w:t>服务</w:t>
      </w:r>
      <w:r>
        <w:rPr>
          <w:rFonts w:hint="eastAsia"/>
        </w:rPr>
        <w:t>中存在违反法律法规规定、医保服务协议主协议或本附加协议约定情形的，按照医保服务协议主协议相关条款进行处理。</w:t>
      </w:r>
      <w:bookmarkStart w:id="29" w:name="_Toc1969"/>
      <w:bookmarkStart w:id="30" w:name="_Toc19647"/>
      <w:bookmarkStart w:id="31" w:name="_Toc131429044"/>
    </w:p>
    <w:p w:rsidR="003803C7" w:rsidRDefault="00AF7F3D" w:rsidP="003C1C0A">
      <w:pPr>
        <w:pStyle w:val="123"/>
        <w:spacing w:before="216" w:after="216" w:line="360" w:lineRule="auto"/>
        <w:outlineLvl w:val="0"/>
      </w:pPr>
      <w:r>
        <w:rPr>
          <w:rFonts w:hint="eastAsia"/>
        </w:rPr>
        <w:lastRenderedPageBreak/>
        <w:t>第七章  附  则</w:t>
      </w:r>
      <w:bookmarkEnd w:id="28"/>
      <w:bookmarkEnd w:id="29"/>
      <w:bookmarkEnd w:id="30"/>
      <w:bookmarkEnd w:id="31"/>
    </w:p>
    <w:p w:rsidR="003803C7" w:rsidRDefault="00AF7F3D">
      <w:pPr>
        <w:pStyle w:val="81"/>
        <w:spacing w:line="360" w:lineRule="auto"/>
      </w:pPr>
      <w:r>
        <w:rPr>
          <w:rFonts w:ascii="黑体" w:eastAsia="黑体" w:hAnsi="黑体"/>
        </w:rPr>
        <w:t>第二十</w:t>
      </w:r>
      <w:r>
        <w:rPr>
          <w:rFonts w:ascii="黑体" w:eastAsia="黑体" w:hAnsi="黑体" w:hint="eastAsia"/>
        </w:rPr>
        <w:t>八</w:t>
      </w:r>
      <w:r>
        <w:rPr>
          <w:rFonts w:ascii="黑体" w:eastAsia="黑体" w:hAnsi="黑体"/>
        </w:rPr>
        <w:t>条</w:t>
      </w:r>
      <w:r>
        <w:t>本</w:t>
      </w:r>
      <w:r>
        <w:rPr>
          <w:rFonts w:hint="eastAsia"/>
        </w:rPr>
        <w:t>附加</w:t>
      </w:r>
      <w:r>
        <w:t>协议是</w:t>
      </w:r>
      <w:r>
        <w:rPr>
          <w:rFonts w:hint="eastAsia"/>
        </w:rPr>
        <w:t>《天津市医疗保障定点医疗机构医疗服务协议》</w:t>
      </w:r>
      <w:r>
        <w:t>的组成部分，本</w:t>
      </w:r>
      <w:r>
        <w:rPr>
          <w:rFonts w:hint="eastAsia"/>
        </w:rPr>
        <w:t>附加</w:t>
      </w:r>
      <w:r>
        <w:t>协议不影响主协议</w:t>
      </w:r>
      <w:r>
        <w:rPr>
          <w:rFonts w:hint="eastAsia"/>
        </w:rPr>
        <w:t>《天津市医疗保障定点医疗机构医疗服务协议》</w:t>
      </w:r>
      <w:r>
        <w:t>的正常履行，具有同等法律效力。</w:t>
      </w:r>
    </w:p>
    <w:p w:rsidR="003803C7" w:rsidRDefault="00AF7F3D">
      <w:pPr>
        <w:pStyle w:val="81"/>
        <w:spacing w:line="360" w:lineRule="auto"/>
      </w:pPr>
      <w:r>
        <w:rPr>
          <w:rFonts w:ascii="黑体" w:eastAsia="黑体" w:hAnsi="黑体"/>
        </w:rPr>
        <w:t>第</w:t>
      </w:r>
      <w:r>
        <w:rPr>
          <w:rFonts w:ascii="黑体" w:eastAsia="黑体" w:hAnsi="黑体" w:hint="eastAsia"/>
        </w:rPr>
        <w:t>二十九</w:t>
      </w:r>
      <w:r>
        <w:rPr>
          <w:rFonts w:ascii="黑体" w:eastAsia="黑体" w:hAnsi="黑体"/>
        </w:rPr>
        <w:t>条</w:t>
      </w:r>
      <w:r>
        <w:rPr>
          <w:rFonts w:hint="eastAsia"/>
        </w:rPr>
        <w:t xml:space="preserve">  本附加协议有效期与主协议保持一致</w:t>
      </w:r>
      <w:r>
        <w:t>。</w:t>
      </w:r>
    </w:p>
    <w:p w:rsidR="003803C7" w:rsidRDefault="003803C7">
      <w:pPr>
        <w:pStyle w:val="81"/>
        <w:spacing w:line="360" w:lineRule="auto"/>
      </w:pPr>
    </w:p>
    <w:p w:rsidR="003803C7" w:rsidRDefault="00AF7F3D">
      <w:pPr>
        <w:pStyle w:val="81"/>
        <w:spacing w:line="360" w:lineRule="auto"/>
      </w:pPr>
      <w:r>
        <w:rPr>
          <w:rFonts w:hint="eastAsia"/>
        </w:rPr>
        <w:t>经双方协商一致，本协议年度乙方DIP费率调节系数为_</w:t>
      </w:r>
      <w:r>
        <w:t>____</w:t>
      </w:r>
      <w:r>
        <w:rPr>
          <w:rFonts w:hint="eastAsia"/>
        </w:rPr>
        <w:t>。</w:t>
      </w:r>
    </w:p>
    <w:p w:rsidR="003803C7" w:rsidRDefault="003803C7">
      <w:pPr>
        <w:pStyle w:val="81"/>
        <w:spacing w:line="360" w:lineRule="auto"/>
      </w:pPr>
    </w:p>
    <w:p w:rsidR="003803C7" w:rsidRDefault="003803C7">
      <w:pPr>
        <w:pStyle w:val="81"/>
        <w:spacing w:line="360" w:lineRule="auto"/>
      </w:pPr>
    </w:p>
    <w:p w:rsidR="003803C7" w:rsidRDefault="00AF7F3D">
      <w:pPr>
        <w:pStyle w:val="81"/>
        <w:spacing w:line="360" w:lineRule="auto"/>
      </w:pPr>
      <w:r>
        <w:t>甲方（公章）：</w:t>
      </w:r>
      <w:r>
        <w:tab/>
      </w:r>
      <w:r>
        <w:rPr>
          <w:rFonts w:hint="eastAsia"/>
        </w:rPr>
        <w:tab/>
      </w:r>
      <w:r>
        <w:t>乙方（公章）：</w:t>
      </w:r>
    </w:p>
    <w:p w:rsidR="003803C7" w:rsidRDefault="003803C7">
      <w:pPr>
        <w:pStyle w:val="81"/>
        <w:spacing w:line="360" w:lineRule="auto"/>
      </w:pPr>
    </w:p>
    <w:p w:rsidR="003803C7" w:rsidRDefault="00AF7F3D">
      <w:pPr>
        <w:pStyle w:val="81"/>
        <w:spacing w:line="360" w:lineRule="auto"/>
      </w:pPr>
      <w:r>
        <w:t>法定代表人</w:t>
      </w:r>
      <w:r>
        <w:rPr>
          <w:rFonts w:hint="eastAsia"/>
        </w:rPr>
        <w:t>或负责人</w:t>
      </w:r>
      <w:r>
        <w:t>（签章）：</w:t>
      </w:r>
      <w:r>
        <w:tab/>
        <w:t>法定代表人</w:t>
      </w:r>
      <w:r>
        <w:rPr>
          <w:rFonts w:hint="eastAsia"/>
        </w:rPr>
        <w:t>或负责人</w:t>
      </w:r>
      <w:r>
        <w:t>（签章）：</w:t>
      </w:r>
    </w:p>
    <w:p w:rsidR="003803C7" w:rsidRDefault="003803C7">
      <w:pPr>
        <w:pStyle w:val="81"/>
        <w:spacing w:line="360" w:lineRule="auto"/>
      </w:pPr>
    </w:p>
    <w:p w:rsidR="003803C7" w:rsidRDefault="00AF7F3D" w:rsidP="00C906AC">
      <w:pPr>
        <w:pStyle w:val="81"/>
        <w:spacing w:line="360" w:lineRule="auto"/>
      </w:pPr>
      <w:r>
        <w:rPr>
          <w:rFonts w:hint="eastAsia"/>
        </w:rPr>
        <w:t xml:space="preserve">        年    月    日     </w:t>
      </w:r>
      <w:r>
        <w:rPr>
          <w:rFonts w:hint="eastAsia"/>
        </w:rPr>
        <w:tab/>
      </w:r>
      <w:r>
        <w:rPr>
          <w:rFonts w:hint="eastAsia"/>
        </w:rPr>
        <w:tab/>
      </w:r>
      <w:r>
        <w:rPr>
          <w:rFonts w:hint="eastAsia"/>
        </w:rPr>
        <w:tab/>
        <w:t xml:space="preserve">        年    月    日 </w:t>
      </w:r>
    </w:p>
    <w:sectPr w:rsidR="003803C7" w:rsidSect="00E1012B">
      <w:footerReference w:type="default" r:id="rId7"/>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20E" w:rsidRDefault="00CF720E">
      <w:r>
        <w:separator/>
      </w:r>
    </w:p>
  </w:endnote>
  <w:endnote w:type="continuationSeparator" w:id="1">
    <w:p w:rsidR="00CF720E" w:rsidRDefault="00CF72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charset w:val="86"/>
    <w:family w:val="script"/>
    <w:pitch w:val="fixed"/>
    <w:sig w:usb0="00000000" w:usb1="080E0000" w:usb2="00000010" w:usb3="00000000" w:csb0="00040000" w:csb1="00000000"/>
  </w:font>
  <w:font w:name="MingLiU_HKSCS">
    <w:altName w:val="PMingLiU-ExtB"/>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E24533">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AF7F3D">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002D6C">
      <w:rPr>
        <w:rStyle w:val="ad"/>
        <w:rFonts w:ascii="Times New Roman" w:hAnsi="Times New Roman"/>
        <w:noProof/>
        <w:sz w:val="26"/>
        <w:szCs w:val="26"/>
      </w:rPr>
      <w:t>7</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20E" w:rsidRDefault="00CF720E">
      <w:r>
        <w:separator/>
      </w:r>
    </w:p>
  </w:footnote>
  <w:footnote w:type="continuationSeparator" w:id="1">
    <w:p w:rsidR="00CF720E" w:rsidRDefault="00CF720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2D6C"/>
    <w:rsid w:val="00004813"/>
    <w:rsid w:val="000123AF"/>
    <w:rsid w:val="00012D1A"/>
    <w:rsid w:val="000132EF"/>
    <w:rsid w:val="00014A7B"/>
    <w:rsid w:val="0001798E"/>
    <w:rsid w:val="00021D07"/>
    <w:rsid w:val="0002277B"/>
    <w:rsid w:val="00024CD6"/>
    <w:rsid w:val="00025676"/>
    <w:rsid w:val="000256BE"/>
    <w:rsid w:val="00026C4F"/>
    <w:rsid w:val="00031C9D"/>
    <w:rsid w:val="00032C6C"/>
    <w:rsid w:val="00033FDC"/>
    <w:rsid w:val="00037516"/>
    <w:rsid w:val="0004647B"/>
    <w:rsid w:val="00046D16"/>
    <w:rsid w:val="00054813"/>
    <w:rsid w:val="0005494F"/>
    <w:rsid w:val="00054FE9"/>
    <w:rsid w:val="00055DAA"/>
    <w:rsid w:val="00056405"/>
    <w:rsid w:val="000566B0"/>
    <w:rsid w:val="00056981"/>
    <w:rsid w:val="000608EC"/>
    <w:rsid w:val="0006743B"/>
    <w:rsid w:val="0006799B"/>
    <w:rsid w:val="000705CA"/>
    <w:rsid w:val="00072CBF"/>
    <w:rsid w:val="00074F12"/>
    <w:rsid w:val="000775C9"/>
    <w:rsid w:val="00081452"/>
    <w:rsid w:val="0008151D"/>
    <w:rsid w:val="00081E00"/>
    <w:rsid w:val="00082954"/>
    <w:rsid w:val="0008464E"/>
    <w:rsid w:val="00095048"/>
    <w:rsid w:val="000958D3"/>
    <w:rsid w:val="000962E2"/>
    <w:rsid w:val="000A0419"/>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5FCA"/>
    <w:rsid w:val="000E6394"/>
    <w:rsid w:val="000E791A"/>
    <w:rsid w:val="000F0E47"/>
    <w:rsid w:val="000F6743"/>
    <w:rsid w:val="001022D3"/>
    <w:rsid w:val="00102303"/>
    <w:rsid w:val="001032F7"/>
    <w:rsid w:val="001043AB"/>
    <w:rsid w:val="0011211A"/>
    <w:rsid w:val="00112352"/>
    <w:rsid w:val="00112A66"/>
    <w:rsid w:val="00115C5D"/>
    <w:rsid w:val="00115F5A"/>
    <w:rsid w:val="0011757A"/>
    <w:rsid w:val="00122756"/>
    <w:rsid w:val="00123CE7"/>
    <w:rsid w:val="00126674"/>
    <w:rsid w:val="00130998"/>
    <w:rsid w:val="001337B9"/>
    <w:rsid w:val="001341A5"/>
    <w:rsid w:val="00137960"/>
    <w:rsid w:val="00144EBC"/>
    <w:rsid w:val="00145F30"/>
    <w:rsid w:val="00156341"/>
    <w:rsid w:val="00156A77"/>
    <w:rsid w:val="001574B6"/>
    <w:rsid w:val="00157E5A"/>
    <w:rsid w:val="00160A59"/>
    <w:rsid w:val="00162D3D"/>
    <w:rsid w:val="001713E9"/>
    <w:rsid w:val="00177BB9"/>
    <w:rsid w:val="00180EFA"/>
    <w:rsid w:val="00181BD1"/>
    <w:rsid w:val="001834F2"/>
    <w:rsid w:val="00186617"/>
    <w:rsid w:val="001908D3"/>
    <w:rsid w:val="00190D7F"/>
    <w:rsid w:val="00193D4A"/>
    <w:rsid w:val="001958A4"/>
    <w:rsid w:val="00196CD9"/>
    <w:rsid w:val="001975A5"/>
    <w:rsid w:val="001A2EEF"/>
    <w:rsid w:val="001A487F"/>
    <w:rsid w:val="001A6FBE"/>
    <w:rsid w:val="001B0B3C"/>
    <w:rsid w:val="001B2A17"/>
    <w:rsid w:val="001B4052"/>
    <w:rsid w:val="001B6BF2"/>
    <w:rsid w:val="001C3D48"/>
    <w:rsid w:val="001C71E4"/>
    <w:rsid w:val="001C7750"/>
    <w:rsid w:val="001D0A2E"/>
    <w:rsid w:val="001D2190"/>
    <w:rsid w:val="001D259C"/>
    <w:rsid w:val="001D4664"/>
    <w:rsid w:val="001D691C"/>
    <w:rsid w:val="001E02FF"/>
    <w:rsid w:val="001E5207"/>
    <w:rsid w:val="001E7B3F"/>
    <w:rsid w:val="001F3CD0"/>
    <w:rsid w:val="001F78B3"/>
    <w:rsid w:val="00201E57"/>
    <w:rsid w:val="00205919"/>
    <w:rsid w:val="00205BCC"/>
    <w:rsid w:val="0020776B"/>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7D9F"/>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5807"/>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8026A"/>
    <w:rsid w:val="003803C7"/>
    <w:rsid w:val="00380846"/>
    <w:rsid w:val="0038135D"/>
    <w:rsid w:val="00394DB7"/>
    <w:rsid w:val="00397702"/>
    <w:rsid w:val="003A4254"/>
    <w:rsid w:val="003B0E0F"/>
    <w:rsid w:val="003B27E2"/>
    <w:rsid w:val="003C1C0A"/>
    <w:rsid w:val="003C3164"/>
    <w:rsid w:val="003C4663"/>
    <w:rsid w:val="003C5AEB"/>
    <w:rsid w:val="003D10CB"/>
    <w:rsid w:val="003D386D"/>
    <w:rsid w:val="003D64AD"/>
    <w:rsid w:val="003E150E"/>
    <w:rsid w:val="003E2078"/>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27A6"/>
    <w:rsid w:val="004332E8"/>
    <w:rsid w:val="00435FF6"/>
    <w:rsid w:val="00436045"/>
    <w:rsid w:val="00437B19"/>
    <w:rsid w:val="004450BE"/>
    <w:rsid w:val="004479A1"/>
    <w:rsid w:val="00450A5E"/>
    <w:rsid w:val="00456407"/>
    <w:rsid w:val="0046341C"/>
    <w:rsid w:val="00466289"/>
    <w:rsid w:val="00466D12"/>
    <w:rsid w:val="00467D78"/>
    <w:rsid w:val="00471E3D"/>
    <w:rsid w:val="004726EA"/>
    <w:rsid w:val="00474E2E"/>
    <w:rsid w:val="00477DC3"/>
    <w:rsid w:val="0049313A"/>
    <w:rsid w:val="00493B47"/>
    <w:rsid w:val="00495BA3"/>
    <w:rsid w:val="00497B42"/>
    <w:rsid w:val="004A6D99"/>
    <w:rsid w:val="004A7553"/>
    <w:rsid w:val="004B0A97"/>
    <w:rsid w:val="004C1633"/>
    <w:rsid w:val="004C3674"/>
    <w:rsid w:val="004C3B1B"/>
    <w:rsid w:val="004C598F"/>
    <w:rsid w:val="004D31B5"/>
    <w:rsid w:val="004D5941"/>
    <w:rsid w:val="004E24F7"/>
    <w:rsid w:val="004E518F"/>
    <w:rsid w:val="004F232B"/>
    <w:rsid w:val="004F41C3"/>
    <w:rsid w:val="004F4DEF"/>
    <w:rsid w:val="004F5327"/>
    <w:rsid w:val="004F7928"/>
    <w:rsid w:val="00502E82"/>
    <w:rsid w:val="005046E5"/>
    <w:rsid w:val="00504D85"/>
    <w:rsid w:val="005057BC"/>
    <w:rsid w:val="00511F32"/>
    <w:rsid w:val="005135CE"/>
    <w:rsid w:val="005218A6"/>
    <w:rsid w:val="00522739"/>
    <w:rsid w:val="00525CBF"/>
    <w:rsid w:val="005260C5"/>
    <w:rsid w:val="005274CB"/>
    <w:rsid w:val="00530C9F"/>
    <w:rsid w:val="00534501"/>
    <w:rsid w:val="005350E3"/>
    <w:rsid w:val="005374F1"/>
    <w:rsid w:val="005438E4"/>
    <w:rsid w:val="00546DBF"/>
    <w:rsid w:val="00564D09"/>
    <w:rsid w:val="00565E18"/>
    <w:rsid w:val="0057018A"/>
    <w:rsid w:val="005742C9"/>
    <w:rsid w:val="00574C24"/>
    <w:rsid w:val="00576D55"/>
    <w:rsid w:val="00592011"/>
    <w:rsid w:val="00592568"/>
    <w:rsid w:val="005A0E4D"/>
    <w:rsid w:val="005A2218"/>
    <w:rsid w:val="005A2BC2"/>
    <w:rsid w:val="005A7323"/>
    <w:rsid w:val="005B35D2"/>
    <w:rsid w:val="005B4FC8"/>
    <w:rsid w:val="005B65D9"/>
    <w:rsid w:val="005C2526"/>
    <w:rsid w:val="005C2DAA"/>
    <w:rsid w:val="005C5BD1"/>
    <w:rsid w:val="005D046A"/>
    <w:rsid w:val="005D0B09"/>
    <w:rsid w:val="005D1B66"/>
    <w:rsid w:val="005D215A"/>
    <w:rsid w:val="005D2FA7"/>
    <w:rsid w:val="005E12B7"/>
    <w:rsid w:val="005E2468"/>
    <w:rsid w:val="005F19F6"/>
    <w:rsid w:val="005F2740"/>
    <w:rsid w:val="005F4ED9"/>
    <w:rsid w:val="005F5A89"/>
    <w:rsid w:val="005F7470"/>
    <w:rsid w:val="005F7BFE"/>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E1C"/>
    <w:rsid w:val="00670D36"/>
    <w:rsid w:val="00682980"/>
    <w:rsid w:val="00683FF6"/>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5067"/>
    <w:rsid w:val="006B658C"/>
    <w:rsid w:val="006B6FAD"/>
    <w:rsid w:val="006B7431"/>
    <w:rsid w:val="006C334B"/>
    <w:rsid w:val="006C61F6"/>
    <w:rsid w:val="006C7A2D"/>
    <w:rsid w:val="006C7CA7"/>
    <w:rsid w:val="006D15CC"/>
    <w:rsid w:val="006D23FB"/>
    <w:rsid w:val="006D3583"/>
    <w:rsid w:val="006D3F1B"/>
    <w:rsid w:val="006E0BAF"/>
    <w:rsid w:val="006E42A3"/>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DCB"/>
    <w:rsid w:val="007500C6"/>
    <w:rsid w:val="00751966"/>
    <w:rsid w:val="00754D5D"/>
    <w:rsid w:val="007555CC"/>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52"/>
    <w:rsid w:val="007B35E6"/>
    <w:rsid w:val="007B6C7C"/>
    <w:rsid w:val="007C078F"/>
    <w:rsid w:val="007C1B80"/>
    <w:rsid w:val="007C1F23"/>
    <w:rsid w:val="007C3317"/>
    <w:rsid w:val="007C3BEC"/>
    <w:rsid w:val="007C5871"/>
    <w:rsid w:val="007C75F2"/>
    <w:rsid w:val="007D22E5"/>
    <w:rsid w:val="007D4EE3"/>
    <w:rsid w:val="007D76B5"/>
    <w:rsid w:val="007D7902"/>
    <w:rsid w:val="007D7F46"/>
    <w:rsid w:val="007E3BE4"/>
    <w:rsid w:val="007F6E63"/>
    <w:rsid w:val="00800B77"/>
    <w:rsid w:val="00801D5F"/>
    <w:rsid w:val="008042B4"/>
    <w:rsid w:val="008057BA"/>
    <w:rsid w:val="00813862"/>
    <w:rsid w:val="00816F04"/>
    <w:rsid w:val="0082395D"/>
    <w:rsid w:val="008268D0"/>
    <w:rsid w:val="008317CE"/>
    <w:rsid w:val="00832C7F"/>
    <w:rsid w:val="00834481"/>
    <w:rsid w:val="008400C9"/>
    <w:rsid w:val="00846A74"/>
    <w:rsid w:val="00854A6A"/>
    <w:rsid w:val="008553A8"/>
    <w:rsid w:val="00862793"/>
    <w:rsid w:val="0086782E"/>
    <w:rsid w:val="00870769"/>
    <w:rsid w:val="0087086C"/>
    <w:rsid w:val="008721FE"/>
    <w:rsid w:val="00877B75"/>
    <w:rsid w:val="00881760"/>
    <w:rsid w:val="008872D5"/>
    <w:rsid w:val="0089111F"/>
    <w:rsid w:val="00893C60"/>
    <w:rsid w:val="00893CB7"/>
    <w:rsid w:val="008A0E80"/>
    <w:rsid w:val="008A63F4"/>
    <w:rsid w:val="008B5E69"/>
    <w:rsid w:val="008C6CF6"/>
    <w:rsid w:val="008E42C7"/>
    <w:rsid w:val="008E562A"/>
    <w:rsid w:val="008E7E70"/>
    <w:rsid w:val="008F4E0F"/>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2E87"/>
    <w:rsid w:val="009B52AB"/>
    <w:rsid w:val="009C1130"/>
    <w:rsid w:val="009C1E60"/>
    <w:rsid w:val="009D3D90"/>
    <w:rsid w:val="009D664F"/>
    <w:rsid w:val="009D6CD5"/>
    <w:rsid w:val="009D7D24"/>
    <w:rsid w:val="009E088E"/>
    <w:rsid w:val="009E2607"/>
    <w:rsid w:val="009E71E6"/>
    <w:rsid w:val="009F18D2"/>
    <w:rsid w:val="009F201C"/>
    <w:rsid w:val="009F5971"/>
    <w:rsid w:val="009F5EE8"/>
    <w:rsid w:val="009F61D7"/>
    <w:rsid w:val="00A014DA"/>
    <w:rsid w:val="00A0150B"/>
    <w:rsid w:val="00A07769"/>
    <w:rsid w:val="00A12A9E"/>
    <w:rsid w:val="00A130F8"/>
    <w:rsid w:val="00A21252"/>
    <w:rsid w:val="00A22CAC"/>
    <w:rsid w:val="00A26B0A"/>
    <w:rsid w:val="00A30174"/>
    <w:rsid w:val="00A3076D"/>
    <w:rsid w:val="00A33E64"/>
    <w:rsid w:val="00A34392"/>
    <w:rsid w:val="00A34E16"/>
    <w:rsid w:val="00A40E88"/>
    <w:rsid w:val="00A45D15"/>
    <w:rsid w:val="00A46D36"/>
    <w:rsid w:val="00A501DD"/>
    <w:rsid w:val="00A5265E"/>
    <w:rsid w:val="00A54105"/>
    <w:rsid w:val="00A56307"/>
    <w:rsid w:val="00A570AC"/>
    <w:rsid w:val="00A5755E"/>
    <w:rsid w:val="00A60BA2"/>
    <w:rsid w:val="00A715D3"/>
    <w:rsid w:val="00A90172"/>
    <w:rsid w:val="00A91169"/>
    <w:rsid w:val="00A9578B"/>
    <w:rsid w:val="00AA04F3"/>
    <w:rsid w:val="00AA3658"/>
    <w:rsid w:val="00AB4FC9"/>
    <w:rsid w:val="00AB6F91"/>
    <w:rsid w:val="00AC0D6D"/>
    <w:rsid w:val="00AC45EF"/>
    <w:rsid w:val="00AC5BDA"/>
    <w:rsid w:val="00AC637E"/>
    <w:rsid w:val="00AC6444"/>
    <w:rsid w:val="00AC6A45"/>
    <w:rsid w:val="00AD31F6"/>
    <w:rsid w:val="00AE1F1D"/>
    <w:rsid w:val="00AE24DE"/>
    <w:rsid w:val="00AE34E5"/>
    <w:rsid w:val="00AE35F5"/>
    <w:rsid w:val="00AE4D43"/>
    <w:rsid w:val="00AE608E"/>
    <w:rsid w:val="00AF25A6"/>
    <w:rsid w:val="00AF577C"/>
    <w:rsid w:val="00AF7F3D"/>
    <w:rsid w:val="00B02851"/>
    <w:rsid w:val="00B03C2B"/>
    <w:rsid w:val="00B04B33"/>
    <w:rsid w:val="00B060A7"/>
    <w:rsid w:val="00B106B4"/>
    <w:rsid w:val="00B1226A"/>
    <w:rsid w:val="00B12AD3"/>
    <w:rsid w:val="00B12C0C"/>
    <w:rsid w:val="00B171C6"/>
    <w:rsid w:val="00B21141"/>
    <w:rsid w:val="00B227E2"/>
    <w:rsid w:val="00B233D9"/>
    <w:rsid w:val="00B248F4"/>
    <w:rsid w:val="00B253E8"/>
    <w:rsid w:val="00B26477"/>
    <w:rsid w:val="00B35416"/>
    <w:rsid w:val="00B36577"/>
    <w:rsid w:val="00B50073"/>
    <w:rsid w:val="00B50080"/>
    <w:rsid w:val="00B50B32"/>
    <w:rsid w:val="00B5169A"/>
    <w:rsid w:val="00B56102"/>
    <w:rsid w:val="00B5669C"/>
    <w:rsid w:val="00B63D37"/>
    <w:rsid w:val="00B65D07"/>
    <w:rsid w:val="00B814E1"/>
    <w:rsid w:val="00B8341B"/>
    <w:rsid w:val="00B83773"/>
    <w:rsid w:val="00B83EF5"/>
    <w:rsid w:val="00B90C92"/>
    <w:rsid w:val="00B91F27"/>
    <w:rsid w:val="00B94DEA"/>
    <w:rsid w:val="00B94E0A"/>
    <w:rsid w:val="00BA3963"/>
    <w:rsid w:val="00BA75CF"/>
    <w:rsid w:val="00BB02A4"/>
    <w:rsid w:val="00BB0EBB"/>
    <w:rsid w:val="00BB167D"/>
    <w:rsid w:val="00BB2A22"/>
    <w:rsid w:val="00BB7E86"/>
    <w:rsid w:val="00BC0BAE"/>
    <w:rsid w:val="00BC19C9"/>
    <w:rsid w:val="00BC2850"/>
    <w:rsid w:val="00BC39EC"/>
    <w:rsid w:val="00BC4832"/>
    <w:rsid w:val="00BC6A9D"/>
    <w:rsid w:val="00BD3574"/>
    <w:rsid w:val="00BE181F"/>
    <w:rsid w:val="00BE5CD0"/>
    <w:rsid w:val="00BE6F6C"/>
    <w:rsid w:val="00BF3392"/>
    <w:rsid w:val="00BF66A1"/>
    <w:rsid w:val="00C028DD"/>
    <w:rsid w:val="00C119D6"/>
    <w:rsid w:val="00C141F0"/>
    <w:rsid w:val="00C14C81"/>
    <w:rsid w:val="00C14CA5"/>
    <w:rsid w:val="00C179BF"/>
    <w:rsid w:val="00C35074"/>
    <w:rsid w:val="00C379CC"/>
    <w:rsid w:val="00C50971"/>
    <w:rsid w:val="00C5313C"/>
    <w:rsid w:val="00C557F1"/>
    <w:rsid w:val="00C62296"/>
    <w:rsid w:val="00C64269"/>
    <w:rsid w:val="00C6595F"/>
    <w:rsid w:val="00C80C03"/>
    <w:rsid w:val="00C84AFC"/>
    <w:rsid w:val="00C8632D"/>
    <w:rsid w:val="00C8666B"/>
    <w:rsid w:val="00C87CD4"/>
    <w:rsid w:val="00C906AC"/>
    <w:rsid w:val="00C917A3"/>
    <w:rsid w:val="00C921B9"/>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20E"/>
    <w:rsid w:val="00CF7B7E"/>
    <w:rsid w:val="00D03A17"/>
    <w:rsid w:val="00D03ABF"/>
    <w:rsid w:val="00D06146"/>
    <w:rsid w:val="00D0679C"/>
    <w:rsid w:val="00D07546"/>
    <w:rsid w:val="00D1062C"/>
    <w:rsid w:val="00D13505"/>
    <w:rsid w:val="00D138DE"/>
    <w:rsid w:val="00D21793"/>
    <w:rsid w:val="00D2540C"/>
    <w:rsid w:val="00D34AA7"/>
    <w:rsid w:val="00D40651"/>
    <w:rsid w:val="00D43A37"/>
    <w:rsid w:val="00D457C6"/>
    <w:rsid w:val="00D459B0"/>
    <w:rsid w:val="00D46755"/>
    <w:rsid w:val="00D47EFA"/>
    <w:rsid w:val="00D534E0"/>
    <w:rsid w:val="00D57CD4"/>
    <w:rsid w:val="00D60207"/>
    <w:rsid w:val="00D60DEB"/>
    <w:rsid w:val="00D630B6"/>
    <w:rsid w:val="00D66D57"/>
    <w:rsid w:val="00D72011"/>
    <w:rsid w:val="00D72AA6"/>
    <w:rsid w:val="00D74852"/>
    <w:rsid w:val="00D76CBF"/>
    <w:rsid w:val="00D81DD3"/>
    <w:rsid w:val="00D82E66"/>
    <w:rsid w:val="00D83D42"/>
    <w:rsid w:val="00D842D2"/>
    <w:rsid w:val="00D866AB"/>
    <w:rsid w:val="00D91BF5"/>
    <w:rsid w:val="00D9309E"/>
    <w:rsid w:val="00D9676F"/>
    <w:rsid w:val="00DB12C9"/>
    <w:rsid w:val="00DB2FBB"/>
    <w:rsid w:val="00DB3897"/>
    <w:rsid w:val="00DB7813"/>
    <w:rsid w:val="00DC05F4"/>
    <w:rsid w:val="00DC0C02"/>
    <w:rsid w:val="00DC50C3"/>
    <w:rsid w:val="00DC6A87"/>
    <w:rsid w:val="00DD2819"/>
    <w:rsid w:val="00DE1BCC"/>
    <w:rsid w:val="00DE24D6"/>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1012B"/>
    <w:rsid w:val="00E11A26"/>
    <w:rsid w:val="00E1644A"/>
    <w:rsid w:val="00E24533"/>
    <w:rsid w:val="00E27465"/>
    <w:rsid w:val="00E35901"/>
    <w:rsid w:val="00E41DD4"/>
    <w:rsid w:val="00E429DB"/>
    <w:rsid w:val="00E43526"/>
    <w:rsid w:val="00E47D87"/>
    <w:rsid w:val="00E5119E"/>
    <w:rsid w:val="00E56625"/>
    <w:rsid w:val="00E57C1A"/>
    <w:rsid w:val="00E70423"/>
    <w:rsid w:val="00E7108D"/>
    <w:rsid w:val="00E71C3E"/>
    <w:rsid w:val="00E80401"/>
    <w:rsid w:val="00E8145E"/>
    <w:rsid w:val="00E81FEC"/>
    <w:rsid w:val="00E831A8"/>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5119"/>
    <w:rsid w:val="00EB5EBA"/>
    <w:rsid w:val="00EB755D"/>
    <w:rsid w:val="00EC3532"/>
    <w:rsid w:val="00EC6DED"/>
    <w:rsid w:val="00ED48E5"/>
    <w:rsid w:val="00EE05FC"/>
    <w:rsid w:val="00EE0869"/>
    <w:rsid w:val="00EE0FCB"/>
    <w:rsid w:val="00EE21DA"/>
    <w:rsid w:val="00EE2ABF"/>
    <w:rsid w:val="00EE5513"/>
    <w:rsid w:val="00EF0121"/>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33D0F"/>
    <w:rsid w:val="00F407F8"/>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12B"/>
    <w:pPr>
      <w:widowControl w:val="0"/>
      <w:jc w:val="both"/>
    </w:pPr>
    <w:rPr>
      <w:rFonts w:eastAsia="仿宋_GB2312"/>
      <w:kern w:val="2"/>
      <w:sz w:val="32"/>
      <w:szCs w:val="32"/>
    </w:rPr>
  </w:style>
  <w:style w:type="paragraph" w:styleId="1">
    <w:name w:val="heading 1"/>
    <w:basedOn w:val="a"/>
    <w:next w:val="a"/>
    <w:link w:val="1Char"/>
    <w:qFormat/>
    <w:rsid w:val="00E101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E1012B"/>
    <w:rPr>
      <w:rFonts w:ascii="宋体" w:eastAsia="宋体"/>
      <w:sz w:val="18"/>
      <w:szCs w:val="18"/>
    </w:rPr>
  </w:style>
  <w:style w:type="paragraph" w:styleId="a4">
    <w:name w:val="annotation text"/>
    <w:basedOn w:val="a"/>
    <w:link w:val="Char2"/>
    <w:rsid w:val="00E1012B"/>
    <w:pPr>
      <w:jc w:val="left"/>
    </w:pPr>
    <w:rPr>
      <w:rFonts w:eastAsia="宋体"/>
      <w:sz w:val="21"/>
      <w:szCs w:val="22"/>
    </w:rPr>
  </w:style>
  <w:style w:type="paragraph" w:styleId="a5">
    <w:name w:val="Body Text"/>
    <w:basedOn w:val="a"/>
    <w:link w:val="Char"/>
    <w:qFormat/>
    <w:rsid w:val="00E1012B"/>
    <w:pPr>
      <w:autoSpaceDE w:val="0"/>
      <w:autoSpaceDN w:val="0"/>
      <w:ind w:left="118"/>
      <w:jc w:val="left"/>
    </w:pPr>
    <w:rPr>
      <w:rFonts w:ascii="微软雅黑" w:eastAsia="微软雅黑" w:hAnsi="Times New Roman"/>
      <w:kern w:val="0"/>
    </w:rPr>
  </w:style>
  <w:style w:type="paragraph" w:styleId="a6">
    <w:name w:val="Body Text Indent"/>
    <w:basedOn w:val="a"/>
    <w:link w:val="Char0"/>
    <w:rsid w:val="00E1012B"/>
    <w:pPr>
      <w:spacing w:after="120"/>
      <w:ind w:leftChars="200" w:left="420"/>
    </w:pPr>
  </w:style>
  <w:style w:type="paragraph" w:styleId="a7">
    <w:name w:val="Plain Text"/>
    <w:basedOn w:val="a"/>
    <w:link w:val="Char20"/>
    <w:rsid w:val="00E1012B"/>
    <w:rPr>
      <w:rFonts w:ascii="宋体" w:eastAsia="宋体" w:hAnsi="Courier New"/>
      <w:sz w:val="21"/>
      <w:szCs w:val="20"/>
    </w:rPr>
  </w:style>
  <w:style w:type="paragraph" w:styleId="a8">
    <w:name w:val="Balloon Text"/>
    <w:basedOn w:val="a"/>
    <w:link w:val="Char10"/>
    <w:rsid w:val="00E1012B"/>
    <w:rPr>
      <w:rFonts w:ascii="仿宋_GB2312"/>
      <w:sz w:val="18"/>
      <w:szCs w:val="18"/>
    </w:rPr>
  </w:style>
  <w:style w:type="paragraph" w:styleId="a9">
    <w:name w:val="footer"/>
    <w:basedOn w:val="a"/>
    <w:link w:val="Char11"/>
    <w:qFormat/>
    <w:rsid w:val="00E1012B"/>
    <w:pPr>
      <w:tabs>
        <w:tab w:val="center" w:pos="4153"/>
        <w:tab w:val="right" w:pos="8306"/>
      </w:tabs>
      <w:snapToGrid w:val="0"/>
      <w:jc w:val="left"/>
    </w:pPr>
    <w:rPr>
      <w:sz w:val="18"/>
      <w:szCs w:val="18"/>
    </w:rPr>
  </w:style>
  <w:style w:type="paragraph" w:styleId="aa">
    <w:name w:val="header"/>
    <w:basedOn w:val="a"/>
    <w:link w:val="Char12"/>
    <w:qFormat/>
    <w:rsid w:val="00E101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1012B"/>
  </w:style>
  <w:style w:type="paragraph" w:styleId="ab">
    <w:name w:val="Normal (Web)"/>
    <w:basedOn w:val="a"/>
    <w:qFormat/>
    <w:rsid w:val="00E1012B"/>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E1012B"/>
    <w:rPr>
      <w:rFonts w:eastAsia="仿宋_GB2312"/>
      <w:b/>
      <w:bCs/>
    </w:rPr>
  </w:style>
  <w:style w:type="character" w:styleId="ad">
    <w:name w:val="page number"/>
    <w:basedOn w:val="a0"/>
    <w:rsid w:val="00E1012B"/>
  </w:style>
  <w:style w:type="character" w:styleId="ae">
    <w:name w:val="Hyperlink"/>
    <w:uiPriority w:val="99"/>
    <w:rsid w:val="00E1012B"/>
    <w:rPr>
      <w:color w:val="0000FF"/>
      <w:u w:val="single"/>
    </w:rPr>
  </w:style>
  <w:style w:type="character" w:styleId="af">
    <w:name w:val="annotation reference"/>
    <w:rsid w:val="00E1012B"/>
    <w:rPr>
      <w:sz w:val="21"/>
      <w:szCs w:val="21"/>
    </w:rPr>
  </w:style>
  <w:style w:type="character" w:customStyle="1" w:styleId="1Char">
    <w:name w:val="标题 1 Char"/>
    <w:basedOn w:val="a0"/>
    <w:link w:val="1"/>
    <w:rsid w:val="00E1012B"/>
    <w:rPr>
      <w:rFonts w:eastAsia="仿宋_GB2312"/>
      <w:b/>
      <w:bCs/>
      <w:kern w:val="44"/>
      <w:sz w:val="44"/>
      <w:szCs w:val="44"/>
    </w:rPr>
  </w:style>
  <w:style w:type="character" w:customStyle="1" w:styleId="Char1">
    <w:name w:val="文档结构图 Char1"/>
    <w:link w:val="a3"/>
    <w:locked/>
    <w:rsid w:val="00E1012B"/>
    <w:rPr>
      <w:rFonts w:ascii="宋体" w:eastAsia="宋体" w:hAnsi="Calibri"/>
      <w:kern w:val="2"/>
      <w:sz w:val="18"/>
      <w:szCs w:val="18"/>
      <w:lang w:bidi="ar-SA"/>
    </w:rPr>
  </w:style>
  <w:style w:type="character" w:customStyle="1" w:styleId="Char2">
    <w:name w:val="批注文字 Char2"/>
    <w:link w:val="a4"/>
    <w:locked/>
    <w:rsid w:val="00E1012B"/>
    <w:rPr>
      <w:kern w:val="2"/>
      <w:sz w:val="21"/>
      <w:szCs w:val="22"/>
      <w:lang w:bidi="ar-SA"/>
    </w:rPr>
  </w:style>
  <w:style w:type="character" w:customStyle="1" w:styleId="Char">
    <w:name w:val="正文文本 Char"/>
    <w:link w:val="a5"/>
    <w:rsid w:val="00E1012B"/>
    <w:rPr>
      <w:rFonts w:ascii="微软雅黑" w:eastAsia="微软雅黑" w:hAnsi="Times New Roman" w:cs="微软雅黑"/>
      <w:sz w:val="32"/>
      <w:szCs w:val="32"/>
    </w:rPr>
  </w:style>
  <w:style w:type="character" w:customStyle="1" w:styleId="Char0">
    <w:name w:val="正文文本缩进 Char"/>
    <w:link w:val="a6"/>
    <w:rsid w:val="00E1012B"/>
    <w:rPr>
      <w:rFonts w:eastAsia="仿宋_GB2312"/>
      <w:kern w:val="2"/>
      <w:sz w:val="32"/>
      <w:szCs w:val="32"/>
    </w:rPr>
  </w:style>
  <w:style w:type="character" w:customStyle="1" w:styleId="Char20">
    <w:name w:val="纯文本 Char2"/>
    <w:link w:val="a7"/>
    <w:locked/>
    <w:rsid w:val="00E1012B"/>
    <w:rPr>
      <w:rFonts w:ascii="宋体" w:eastAsia="宋体" w:hAnsi="Courier New"/>
      <w:kern w:val="2"/>
      <w:sz w:val="21"/>
      <w:lang w:bidi="ar-SA"/>
    </w:rPr>
  </w:style>
  <w:style w:type="character" w:customStyle="1" w:styleId="Char10">
    <w:name w:val="批注框文本 Char1"/>
    <w:link w:val="a8"/>
    <w:locked/>
    <w:rsid w:val="00E1012B"/>
    <w:rPr>
      <w:rFonts w:ascii="仿宋_GB2312" w:eastAsia="仿宋_GB2312"/>
      <w:kern w:val="2"/>
      <w:sz w:val="18"/>
      <w:szCs w:val="18"/>
      <w:lang w:bidi="ar-SA"/>
    </w:rPr>
  </w:style>
  <w:style w:type="character" w:customStyle="1" w:styleId="Char11">
    <w:name w:val="页脚 Char1"/>
    <w:link w:val="a9"/>
    <w:locked/>
    <w:rsid w:val="00E1012B"/>
    <w:rPr>
      <w:rFonts w:ascii="Calibri" w:eastAsia="仿宋_GB2312" w:hAnsi="Calibri"/>
      <w:kern w:val="2"/>
      <w:sz w:val="18"/>
      <w:szCs w:val="18"/>
      <w:lang w:val="en-US" w:eastAsia="zh-CN" w:bidi="ar-SA"/>
    </w:rPr>
  </w:style>
  <w:style w:type="character" w:customStyle="1" w:styleId="Char12">
    <w:name w:val="页眉 Char1"/>
    <w:link w:val="aa"/>
    <w:locked/>
    <w:rsid w:val="00E1012B"/>
    <w:rPr>
      <w:rFonts w:ascii="Calibri" w:eastAsia="仿宋_GB2312" w:hAnsi="Calibri"/>
      <w:kern w:val="2"/>
      <w:sz w:val="18"/>
      <w:szCs w:val="18"/>
      <w:lang w:val="en-US" w:eastAsia="zh-CN" w:bidi="ar-SA"/>
    </w:rPr>
  </w:style>
  <w:style w:type="character" w:customStyle="1" w:styleId="Char13">
    <w:name w:val="批注主题 Char1"/>
    <w:link w:val="ac"/>
    <w:locked/>
    <w:rsid w:val="00E1012B"/>
    <w:rPr>
      <w:rFonts w:ascii="Calibri" w:eastAsia="仿宋_GB2312" w:hAnsi="Calibri" w:cs="Times New Roman" w:hint="default"/>
      <w:b/>
      <w:bCs/>
      <w:kern w:val="2"/>
      <w:sz w:val="21"/>
      <w:szCs w:val="22"/>
      <w:lang w:bidi="ar-SA"/>
    </w:rPr>
  </w:style>
  <w:style w:type="character" w:customStyle="1" w:styleId="13">
    <w:name w:val="正文文本 (13)_"/>
    <w:link w:val="130"/>
    <w:locked/>
    <w:rsid w:val="00E1012B"/>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E1012B"/>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E1012B"/>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E1012B"/>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E1012B"/>
    <w:rPr>
      <w:rFonts w:ascii="Calibri" w:eastAsia="仿宋_GB2312" w:hAnsi="Calibri"/>
      <w:kern w:val="2"/>
      <w:sz w:val="18"/>
      <w:szCs w:val="18"/>
      <w:lang w:bidi="ar-SA"/>
    </w:rPr>
  </w:style>
  <w:style w:type="character" w:customStyle="1" w:styleId="32">
    <w:name w:val="标题 #3 (2)_"/>
    <w:link w:val="320"/>
    <w:locked/>
    <w:rsid w:val="00E1012B"/>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E1012B"/>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E1012B"/>
    <w:rPr>
      <w:rFonts w:ascii="MingLiU" w:eastAsia="MingLiU" w:hAnsi="MingLiU"/>
      <w:shd w:val="clear" w:color="auto" w:fill="FFFFFF"/>
      <w:lang w:bidi="ar-SA"/>
    </w:rPr>
  </w:style>
  <w:style w:type="paragraph" w:customStyle="1" w:styleId="330">
    <w:name w:val="标题 #3 (3)"/>
    <w:basedOn w:val="a"/>
    <w:link w:val="33"/>
    <w:rsid w:val="00E1012B"/>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E1012B"/>
    <w:rPr>
      <w:rFonts w:ascii="方正书宋简体" w:eastAsia="方正书宋简体" w:hAnsi="Calibri"/>
      <w:kern w:val="2"/>
      <w:sz w:val="26"/>
      <w:szCs w:val="26"/>
      <w:lang w:val="en-US" w:eastAsia="zh-CN" w:bidi="ar-SA"/>
    </w:rPr>
  </w:style>
  <w:style w:type="paragraph" w:customStyle="1" w:styleId="11">
    <w:name w:val="样式1"/>
    <w:basedOn w:val="a"/>
    <w:link w:val="1Char0"/>
    <w:rsid w:val="00E1012B"/>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E1012B"/>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E1012B"/>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E1012B"/>
    <w:rPr>
      <w:rFonts w:ascii="MingLiU" w:eastAsia="MingLiU" w:hAnsi="MingLiU"/>
      <w:shd w:val="clear" w:color="auto" w:fill="FFFFFF"/>
      <w:lang w:bidi="ar-SA"/>
    </w:rPr>
  </w:style>
  <w:style w:type="paragraph" w:customStyle="1" w:styleId="40">
    <w:name w:val="标题 #4"/>
    <w:basedOn w:val="a"/>
    <w:link w:val="4"/>
    <w:rsid w:val="00E1012B"/>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E1012B"/>
    <w:rPr>
      <w:rFonts w:ascii="MingLiU" w:eastAsia="MingLiU" w:hAnsi="MingLiU"/>
      <w:shd w:val="clear" w:color="auto" w:fill="FFFFFF"/>
      <w:lang w:bidi="ar-SA"/>
    </w:rPr>
  </w:style>
  <w:style w:type="paragraph" w:customStyle="1" w:styleId="122">
    <w:name w:val="标题 #1 (2)"/>
    <w:basedOn w:val="a"/>
    <w:link w:val="121"/>
    <w:rsid w:val="00E1012B"/>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E1012B"/>
    <w:rPr>
      <w:rFonts w:ascii="Sylfaen" w:hAnsi="Sylfaen"/>
      <w:sz w:val="15"/>
      <w:szCs w:val="15"/>
      <w:shd w:val="clear" w:color="auto" w:fill="FFFFFF"/>
      <w:lang w:bidi="ar-SA"/>
    </w:rPr>
  </w:style>
  <w:style w:type="paragraph" w:customStyle="1" w:styleId="30">
    <w:name w:val="正文文本 (3)"/>
    <w:basedOn w:val="a"/>
    <w:link w:val="3"/>
    <w:rsid w:val="00E1012B"/>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E1012B"/>
    <w:rPr>
      <w:rFonts w:ascii="MingLiU" w:eastAsia="MingLiU" w:hAnsi="MingLiU"/>
      <w:sz w:val="14"/>
      <w:szCs w:val="14"/>
      <w:shd w:val="clear" w:color="auto" w:fill="FFFFFF"/>
      <w:lang w:bidi="ar-SA"/>
    </w:rPr>
  </w:style>
  <w:style w:type="paragraph" w:customStyle="1" w:styleId="410">
    <w:name w:val="正文文本 (4)1"/>
    <w:basedOn w:val="a"/>
    <w:link w:val="41"/>
    <w:rsid w:val="00E1012B"/>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E1012B"/>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E1012B"/>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E1012B"/>
    <w:rPr>
      <w:rFonts w:ascii="Calibri" w:eastAsia="仿宋_GB2312" w:hAnsi="Calibri" w:cs="Times New Roman" w:hint="default"/>
      <w:kern w:val="2"/>
      <w:sz w:val="32"/>
      <w:szCs w:val="32"/>
    </w:rPr>
  </w:style>
  <w:style w:type="character" w:customStyle="1" w:styleId="Char5">
    <w:name w:val="批注主题 Char"/>
    <w:locked/>
    <w:rsid w:val="00E1012B"/>
    <w:rPr>
      <w:rFonts w:ascii="Calibri" w:eastAsia="仿宋_GB2312" w:hAnsi="Calibri" w:cs="Times New Roman" w:hint="default"/>
      <w:b/>
      <w:bCs/>
      <w:kern w:val="2"/>
      <w:sz w:val="21"/>
      <w:szCs w:val="22"/>
      <w:lang w:bidi="ar-SA"/>
    </w:rPr>
  </w:style>
  <w:style w:type="character" w:customStyle="1" w:styleId="9">
    <w:name w:val="正文文本 (9)_"/>
    <w:link w:val="90"/>
    <w:locked/>
    <w:rsid w:val="00E1012B"/>
    <w:rPr>
      <w:rFonts w:ascii="MingLiU" w:eastAsia="MingLiU" w:hAnsi="MingLiU"/>
      <w:spacing w:val="20"/>
      <w:sz w:val="16"/>
      <w:szCs w:val="16"/>
      <w:shd w:val="clear" w:color="auto" w:fill="FFFFFF"/>
      <w:lang w:bidi="ar-SA"/>
    </w:rPr>
  </w:style>
  <w:style w:type="paragraph" w:customStyle="1" w:styleId="90">
    <w:name w:val="正文文本 (9)"/>
    <w:basedOn w:val="a"/>
    <w:link w:val="9"/>
    <w:rsid w:val="00E1012B"/>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E1012B"/>
    <w:rPr>
      <w:rFonts w:ascii="MingLiU" w:eastAsia="MingLiU" w:hAnsi="MingLiU"/>
      <w:w w:val="75"/>
      <w:sz w:val="26"/>
      <w:szCs w:val="26"/>
      <w:shd w:val="clear" w:color="auto" w:fill="FFFFFF"/>
      <w:lang w:bidi="ar-SA"/>
    </w:rPr>
  </w:style>
  <w:style w:type="paragraph" w:customStyle="1" w:styleId="15">
    <w:name w:val="标题 #1"/>
    <w:basedOn w:val="a"/>
    <w:link w:val="14"/>
    <w:rsid w:val="00E1012B"/>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E1012B"/>
    <w:rPr>
      <w:rFonts w:ascii="MingLiU" w:eastAsia="MingLiU" w:hAnsi="MingLiU"/>
      <w:spacing w:val="20"/>
      <w:sz w:val="16"/>
      <w:szCs w:val="16"/>
      <w:shd w:val="clear" w:color="auto" w:fill="FFFFFF"/>
      <w:lang w:bidi="ar-SA"/>
    </w:rPr>
  </w:style>
  <w:style w:type="paragraph" w:customStyle="1" w:styleId="80">
    <w:name w:val="正文文本 (8)"/>
    <w:basedOn w:val="a"/>
    <w:link w:val="8"/>
    <w:rsid w:val="00E1012B"/>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E1012B"/>
    <w:rPr>
      <w:rFonts w:ascii="MingLiU" w:eastAsia="MingLiU" w:hAnsi="MingLiU"/>
      <w:sz w:val="14"/>
      <w:szCs w:val="14"/>
      <w:shd w:val="clear" w:color="auto" w:fill="FFFFFF"/>
      <w:lang w:bidi="ar-SA"/>
    </w:rPr>
  </w:style>
  <w:style w:type="paragraph" w:customStyle="1" w:styleId="af1">
    <w:name w:val="表格标题"/>
    <w:basedOn w:val="a"/>
    <w:link w:val="af0"/>
    <w:rsid w:val="00E1012B"/>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E1012B"/>
    <w:rPr>
      <w:kern w:val="2"/>
      <w:sz w:val="18"/>
      <w:szCs w:val="18"/>
      <w:lang w:bidi="ar-SA"/>
    </w:rPr>
  </w:style>
  <w:style w:type="character" w:customStyle="1" w:styleId="6">
    <w:name w:val="正文文本 (6)_"/>
    <w:link w:val="60"/>
    <w:locked/>
    <w:rsid w:val="00E1012B"/>
    <w:rPr>
      <w:rFonts w:ascii="MingLiU" w:eastAsia="MingLiU" w:hAnsi="MingLiU"/>
      <w:spacing w:val="20"/>
      <w:sz w:val="12"/>
      <w:szCs w:val="12"/>
      <w:shd w:val="clear" w:color="auto" w:fill="FFFFFF"/>
      <w:lang w:bidi="ar-SA"/>
    </w:rPr>
  </w:style>
  <w:style w:type="paragraph" w:customStyle="1" w:styleId="60">
    <w:name w:val="正文文本 (6)"/>
    <w:basedOn w:val="a"/>
    <w:link w:val="6"/>
    <w:rsid w:val="00E1012B"/>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E1012B"/>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E1012B"/>
    <w:rPr>
      <w:rFonts w:ascii="MingLiU" w:eastAsia="MingLiU" w:hAnsi="MingLiU"/>
      <w:shd w:val="clear" w:color="auto" w:fill="FFFFFF"/>
      <w:lang w:bidi="ar-SA"/>
    </w:rPr>
  </w:style>
  <w:style w:type="paragraph" w:customStyle="1" w:styleId="20">
    <w:name w:val="标题 #2"/>
    <w:basedOn w:val="a"/>
    <w:link w:val="2"/>
    <w:rsid w:val="00E1012B"/>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E1012B"/>
    <w:rPr>
      <w:rFonts w:ascii="黑体" w:eastAsia="黑体" w:hAnsi="Calibri"/>
      <w:kern w:val="2"/>
      <w:sz w:val="26"/>
      <w:szCs w:val="26"/>
      <w:lang w:val="en-US" w:eastAsia="zh-CN" w:bidi="ar-SA"/>
    </w:rPr>
  </w:style>
  <w:style w:type="paragraph" w:customStyle="1" w:styleId="91">
    <w:name w:val="样式9"/>
    <w:basedOn w:val="42"/>
    <w:link w:val="9Char"/>
    <w:rsid w:val="00E1012B"/>
    <w:rPr>
      <w:rFonts w:ascii="黑体" w:eastAsia="黑体"/>
    </w:rPr>
  </w:style>
  <w:style w:type="paragraph" w:customStyle="1" w:styleId="42">
    <w:name w:val="样式4"/>
    <w:basedOn w:val="11"/>
    <w:link w:val="4Char"/>
    <w:rsid w:val="00E1012B"/>
    <w:pPr>
      <w:spacing w:line="338" w:lineRule="auto"/>
    </w:pPr>
  </w:style>
  <w:style w:type="character" w:customStyle="1" w:styleId="4Char">
    <w:name w:val="样式4 Char"/>
    <w:basedOn w:val="1Char0"/>
    <w:link w:val="42"/>
    <w:rsid w:val="00E1012B"/>
    <w:rPr>
      <w:rFonts w:ascii="方正书宋简体" w:eastAsia="方正书宋简体" w:hAnsi="Calibri"/>
      <w:kern w:val="2"/>
      <w:sz w:val="26"/>
      <w:szCs w:val="26"/>
      <w:lang w:val="en-US" w:eastAsia="zh-CN" w:bidi="ar-SA"/>
    </w:rPr>
  </w:style>
  <w:style w:type="character" w:customStyle="1" w:styleId="7">
    <w:name w:val="正文文本 (7)_"/>
    <w:link w:val="70"/>
    <w:locked/>
    <w:rsid w:val="00E1012B"/>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E1012B"/>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E1012B"/>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E1012B"/>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E1012B"/>
    <w:rPr>
      <w:rFonts w:ascii="宋体" w:eastAsia="宋体" w:hAnsi="Courier New"/>
      <w:kern w:val="2"/>
      <w:sz w:val="21"/>
      <w:szCs w:val="22"/>
      <w:lang w:bidi="ar-SA"/>
    </w:rPr>
  </w:style>
  <w:style w:type="character" w:customStyle="1" w:styleId="21">
    <w:name w:val="表格标题 (2)_"/>
    <w:link w:val="22"/>
    <w:locked/>
    <w:rsid w:val="00E1012B"/>
    <w:rPr>
      <w:rFonts w:ascii="MingLiU" w:eastAsia="MingLiU" w:hAnsi="MingLiU"/>
      <w:sz w:val="12"/>
      <w:szCs w:val="12"/>
      <w:shd w:val="clear" w:color="auto" w:fill="FFFFFF"/>
      <w:lang w:bidi="ar-SA"/>
    </w:rPr>
  </w:style>
  <w:style w:type="paragraph" w:customStyle="1" w:styleId="22">
    <w:name w:val="表格标题 (2)"/>
    <w:basedOn w:val="a"/>
    <w:link w:val="21"/>
    <w:rsid w:val="00E1012B"/>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E1012B"/>
    <w:rPr>
      <w:rFonts w:ascii="宋体" w:eastAsia="宋体" w:hAnsi="Courier New" w:cs="Courier New" w:hint="eastAsia"/>
      <w:szCs w:val="21"/>
    </w:rPr>
  </w:style>
  <w:style w:type="character" w:customStyle="1" w:styleId="Char8">
    <w:name w:val="批注框文本 Char"/>
    <w:locked/>
    <w:rsid w:val="00E1012B"/>
    <w:rPr>
      <w:rFonts w:ascii="仿宋_GB2312" w:eastAsia="仿宋_GB2312"/>
      <w:kern w:val="2"/>
      <w:sz w:val="18"/>
      <w:szCs w:val="18"/>
      <w:lang w:bidi="ar-SA"/>
    </w:rPr>
  </w:style>
  <w:style w:type="character" w:customStyle="1" w:styleId="Char15">
    <w:name w:val="批注文字 Char1"/>
    <w:locked/>
    <w:rsid w:val="00E1012B"/>
    <w:rPr>
      <w:rFonts w:ascii="Calibri" w:eastAsia="仿宋_GB2312" w:hAnsi="Calibri"/>
      <w:kern w:val="2"/>
      <w:sz w:val="32"/>
      <w:szCs w:val="32"/>
      <w:lang w:bidi="ar-SA"/>
    </w:rPr>
  </w:style>
  <w:style w:type="character" w:customStyle="1" w:styleId="31">
    <w:name w:val="标题 #3_"/>
    <w:link w:val="34"/>
    <w:locked/>
    <w:rsid w:val="00E1012B"/>
    <w:rPr>
      <w:rFonts w:ascii="MingLiU" w:eastAsia="MingLiU" w:hAnsi="MingLiU"/>
      <w:spacing w:val="30"/>
      <w:sz w:val="16"/>
      <w:szCs w:val="16"/>
      <w:shd w:val="clear" w:color="auto" w:fill="FFFFFF"/>
      <w:lang w:bidi="ar-SA"/>
    </w:rPr>
  </w:style>
  <w:style w:type="paragraph" w:customStyle="1" w:styleId="34">
    <w:name w:val="标题 #3"/>
    <w:basedOn w:val="a"/>
    <w:link w:val="31"/>
    <w:rsid w:val="00E1012B"/>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E1012B"/>
    <w:rPr>
      <w:rFonts w:ascii="MingLiU" w:eastAsia="MingLiU" w:hAnsi="MingLiU"/>
      <w:spacing w:val="20"/>
      <w:sz w:val="15"/>
      <w:szCs w:val="15"/>
      <w:shd w:val="clear" w:color="auto" w:fill="FFFFFF"/>
      <w:lang w:bidi="ar-SA"/>
    </w:rPr>
  </w:style>
  <w:style w:type="paragraph" w:customStyle="1" w:styleId="24">
    <w:name w:val="正文文本 (2)"/>
    <w:basedOn w:val="a"/>
    <w:link w:val="23"/>
    <w:rsid w:val="00E1012B"/>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E1012B"/>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E1012B"/>
    <w:rPr>
      <w:rFonts w:ascii="宋体" w:eastAsia="宋体" w:hAnsi="Calibri"/>
      <w:kern w:val="2"/>
      <w:sz w:val="18"/>
      <w:szCs w:val="18"/>
      <w:lang w:bidi="ar-SA"/>
    </w:rPr>
  </w:style>
  <w:style w:type="paragraph" w:customStyle="1" w:styleId="71">
    <w:name w:val="样式7"/>
    <w:basedOn w:val="25"/>
    <w:rsid w:val="00E1012B"/>
    <w:pPr>
      <w:spacing w:line="338" w:lineRule="auto"/>
    </w:pPr>
  </w:style>
  <w:style w:type="paragraph" w:customStyle="1" w:styleId="25">
    <w:name w:val="样式2"/>
    <w:basedOn w:val="a"/>
    <w:rsid w:val="00E1012B"/>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E1012B"/>
  </w:style>
  <w:style w:type="paragraph" w:customStyle="1" w:styleId="msolistparagraph0">
    <w:name w:val="msolistparagraph"/>
    <w:basedOn w:val="a"/>
    <w:rsid w:val="00E1012B"/>
    <w:pPr>
      <w:ind w:firstLineChars="200" w:firstLine="420"/>
    </w:pPr>
    <w:rPr>
      <w:rFonts w:eastAsia="宋体"/>
      <w:sz w:val="21"/>
      <w:szCs w:val="22"/>
    </w:rPr>
  </w:style>
  <w:style w:type="paragraph" w:customStyle="1" w:styleId="16">
    <w:name w:val="列出段落1"/>
    <w:basedOn w:val="a"/>
    <w:qFormat/>
    <w:rsid w:val="00E1012B"/>
    <w:pPr>
      <w:ind w:firstLineChars="200" w:firstLine="420"/>
    </w:pPr>
    <w:rPr>
      <w:rFonts w:eastAsia="宋体"/>
      <w:sz w:val="21"/>
      <w:szCs w:val="24"/>
    </w:rPr>
  </w:style>
  <w:style w:type="paragraph" w:customStyle="1" w:styleId="msonormalcxspmiddle">
    <w:name w:val="msonormalcxspmiddle"/>
    <w:basedOn w:val="a"/>
    <w:rsid w:val="00E1012B"/>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E1012B"/>
    <w:pPr>
      <w:spacing w:line="338" w:lineRule="auto"/>
    </w:pPr>
  </w:style>
  <w:style w:type="paragraph" w:customStyle="1" w:styleId="35">
    <w:name w:val="样式3"/>
    <w:basedOn w:val="a"/>
    <w:rsid w:val="00E1012B"/>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E1012B"/>
    <w:pPr>
      <w:spacing w:beforeLines="90" w:afterLines="90"/>
      <w:outlineLvl w:val="9"/>
    </w:pPr>
    <w:rPr>
      <w:sz w:val="30"/>
      <w:szCs w:val="30"/>
    </w:rPr>
  </w:style>
  <w:style w:type="paragraph" w:customStyle="1" w:styleId="81">
    <w:name w:val="样式8"/>
    <w:basedOn w:val="42"/>
    <w:rsid w:val="00E1012B"/>
  </w:style>
  <w:style w:type="paragraph" w:customStyle="1" w:styleId="210">
    <w:name w:val="正文文本 (2)1"/>
    <w:basedOn w:val="a"/>
    <w:rsid w:val="00E1012B"/>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E1012B"/>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E1012B"/>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E1012B"/>
    <w:rPr>
      <w:shd w:val="clear" w:color="auto" w:fill="FFFFFF"/>
      <w:lang w:val="zh-CN" w:bidi="zh-CN"/>
    </w:rPr>
  </w:style>
  <w:style w:type="paragraph" w:customStyle="1" w:styleId="Headerorfooter20">
    <w:name w:val="Header or footer|2"/>
    <w:basedOn w:val="a"/>
    <w:link w:val="Headerorfooter2"/>
    <w:rsid w:val="00E1012B"/>
    <w:pPr>
      <w:shd w:val="clear" w:color="auto" w:fill="FFFFFF"/>
      <w:jc w:val="left"/>
    </w:pPr>
    <w:rPr>
      <w:rFonts w:eastAsia="宋体"/>
      <w:kern w:val="0"/>
      <w:sz w:val="20"/>
      <w:szCs w:val="20"/>
      <w:lang w:val="zh-CN" w:bidi="zh-CN"/>
    </w:rPr>
  </w:style>
  <w:style w:type="paragraph" w:styleId="af2">
    <w:name w:val="List Paragraph"/>
    <w:basedOn w:val="a"/>
    <w:qFormat/>
    <w:rsid w:val="00E1012B"/>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E1012B"/>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E1012B"/>
    <w:pPr>
      <w:spacing w:beforeLines="100" w:afterLines="100"/>
      <w:outlineLvl w:val="9"/>
    </w:pPr>
    <w:rPr>
      <w:rFonts w:ascii="黑体" w:eastAsia="黑体" w:hAnsi="黑体"/>
      <w:sz w:val="32"/>
      <w:szCs w:val="32"/>
    </w:rPr>
  </w:style>
  <w:style w:type="paragraph" w:customStyle="1" w:styleId="123">
    <w:name w:val="样式12"/>
    <w:basedOn w:val="102"/>
    <w:qFormat/>
    <w:rsid w:val="00E1012B"/>
  </w:style>
  <w:style w:type="paragraph" w:customStyle="1" w:styleId="WPSOffice1">
    <w:name w:val="WPSOffice手动目录 1"/>
    <w:rsid w:val="00E1012B"/>
  </w:style>
  <w:style w:type="paragraph" w:customStyle="1" w:styleId="af4">
    <w:basedOn w:val="1"/>
    <w:next w:val="a"/>
    <w:uiPriority w:val="39"/>
    <w:unhideWhenUsed/>
    <w:qFormat/>
    <w:rsid w:val="00E1012B"/>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7</Pages>
  <Words>600</Words>
  <Characters>3424</Characters>
  <Application>Microsoft Office Word</Application>
  <DocSecurity>0</DocSecurity>
  <Lines>28</Lines>
  <Paragraphs>8</Paragraphs>
  <ScaleCrop>false</ScaleCrop>
  <Company/>
  <LinksUpToDate>false</LinksUpToDate>
  <CharactersWithSpaces>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34</cp:revision>
  <cp:lastPrinted>2023-04-02T04:12:00Z</cp:lastPrinted>
  <dcterms:created xsi:type="dcterms:W3CDTF">2023-04-02T02:15:00Z</dcterms:created>
  <dcterms:modified xsi:type="dcterms:W3CDTF">2024-01-30T10:05:00Z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