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840ECF">
      <w:pPr>
        <w:pStyle w:val="71"/>
        <w:spacing w:before="480" w:afterLines="150" w:line="312" w:lineRule="auto"/>
        <w:rPr>
          <w:color w:val="000000"/>
        </w:rPr>
      </w:pPr>
      <w:bookmarkStart w:id="0" w:name="_Toc101857085"/>
      <w:bookmarkStart w:id="1" w:name="_Toc131429051"/>
      <w:bookmarkStart w:id="2" w:name="_Toc31637"/>
      <w:r>
        <w:rPr>
          <w:rFonts w:hint="eastAsia"/>
          <w:color w:val="000000"/>
        </w:rPr>
        <w:t>天津市跨省异地就医定点医疗机构医疗服务附加协议</w:t>
      </w:r>
      <w:bookmarkEnd w:id="0"/>
      <w:bookmarkEnd w:id="1"/>
      <w:bookmarkEnd w:id="2"/>
    </w:p>
    <w:p w:rsidR="003803C7" w:rsidRDefault="00AF7F3D">
      <w:pPr>
        <w:pStyle w:val="81"/>
        <w:spacing w:line="353" w:lineRule="auto"/>
        <w:rPr>
          <w:rFonts w:ascii="Times New Roman" w:hAnsi="方正书宋简体"/>
          <w:color w:val="000000"/>
        </w:rPr>
      </w:pPr>
      <w:r>
        <w:rPr>
          <w:rFonts w:ascii="Times New Roman" w:hAnsi="方正书宋简体"/>
          <w:color w:val="000000"/>
        </w:rPr>
        <w:t>为加强和规范异地定点医疗机构管理，深入推进跨省异地就医住院、门诊、门诊慢特病等跨省异地就医直接结算工作，根据《中华人民共和国社会保险法》、《国家医保局财政部关于进一步做好基本医疗保险跨省异地就医直接结算工作的通知》及本市异地就医相关规定，甲乙双方</w:t>
      </w:r>
      <w:r>
        <w:rPr>
          <w:rFonts w:ascii="Times New Roman" w:hAnsi="方正书宋简体" w:hint="eastAsia"/>
          <w:color w:val="000000"/>
        </w:rPr>
        <w:t>签订《天津市跨省异地就医定点医疗机构医疗服务附加协议》</w:t>
      </w:r>
      <w:r>
        <w:rPr>
          <w:rFonts w:ascii="Times New Roman" w:hAnsi="方正书宋简体"/>
          <w:color w:val="000000"/>
        </w:rPr>
        <w:t>。</w:t>
      </w:r>
    </w:p>
    <w:p w:rsidR="003803C7" w:rsidRDefault="00AF7F3D">
      <w:pPr>
        <w:pStyle w:val="81"/>
        <w:spacing w:line="353" w:lineRule="auto"/>
        <w:rPr>
          <w:rFonts w:ascii="Times New Roman" w:hAnsi="Times New Roman"/>
          <w:color w:val="000000"/>
        </w:rPr>
      </w:pPr>
      <w:r>
        <w:rPr>
          <w:rFonts w:ascii="黑体" w:eastAsia="黑体" w:hAnsi="黑体"/>
          <w:color w:val="000000"/>
        </w:rPr>
        <w:t>第一条</w:t>
      </w:r>
      <w:r>
        <w:rPr>
          <w:rFonts w:ascii="Times New Roman" w:hAnsi="方正书宋简体"/>
          <w:color w:val="000000"/>
        </w:rPr>
        <w:t>按照国家跨省就医工作的总体要求，甲乙双方共同完善跨省异地就医结算的经办对接工作，组织协调并实施跨省异地就医管理服务工作。</w:t>
      </w:r>
    </w:p>
    <w:p w:rsidR="003803C7" w:rsidRDefault="00AF7F3D">
      <w:pPr>
        <w:pStyle w:val="81"/>
        <w:spacing w:line="353" w:lineRule="auto"/>
        <w:rPr>
          <w:rFonts w:ascii="Times New Roman" w:hAnsi="Times New Roman"/>
          <w:color w:val="000000"/>
        </w:rPr>
      </w:pPr>
      <w:r>
        <w:rPr>
          <w:rFonts w:ascii="黑体" w:eastAsia="黑体" w:hAnsi="黑体"/>
          <w:color w:val="000000"/>
        </w:rPr>
        <w:t>第二条</w:t>
      </w:r>
      <w:r>
        <w:rPr>
          <w:rFonts w:ascii="Times New Roman" w:hAnsi="方正书宋简体"/>
        </w:rPr>
        <w:t>甲乙双方</w:t>
      </w:r>
      <w:r>
        <w:rPr>
          <w:rFonts w:ascii="Times New Roman" w:hAnsi="方正书宋简体"/>
          <w:color w:val="000000"/>
        </w:rPr>
        <w:t>应根据国家异地就医接口标准，进行本地异地就医结算系统的改造，为异地参保人员提供跨省异地就医结算服务。</w:t>
      </w:r>
    </w:p>
    <w:p w:rsidR="003803C7" w:rsidRDefault="00AF7F3D">
      <w:pPr>
        <w:pStyle w:val="81"/>
        <w:spacing w:line="353" w:lineRule="auto"/>
        <w:rPr>
          <w:rFonts w:ascii="Times New Roman" w:hAnsi="Times New Roman"/>
          <w:color w:val="000000"/>
        </w:rPr>
      </w:pPr>
      <w:r>
        <w:rPr>
          <w:rFonts w:ascii="黑体" w:eastAsia="黑体" w:hAnsi="黑体"/>
          <w:color w:val="000000"/>
        </w:rPr>
        <w:t>第三条</w:t>
      </w:r>
      <w:r>
        <w:rPr>
          <w:rFonts w:ascii="Times New Roman" w:hAnsi="方正书宋简体"/>
          <w:color w:val="000000"/>
        </w:rPr>
        <w:t>乙方应认真履行天津市医疗保障定点医疗机构医疗服务协议约定条款，设立具有明显异地就医结算标识的异地就医结算窗口，实现异地参保人员持社会保障卡或医保电子凭证就医、即时结算。</w:t>
      </w:r>
    </w:p>
    <w:p w:rsidR="003803C7" w:rsidRDefault="00AF7F3D">
      <w:pPr>
        <w:pStyle w:val="81"/>
        <w:spacing w:line="353" w:lineRule="auto"/>
        <w:rPr>
          <w:rFonts w:ascii="Times New Roman" w:hAnsi="Times New Roman"/>
          <w:color w:val="000000"/>
        </w:rPr>
      </w:pPr>
      <w:r>
        <w:rPr>
          <w:rFonts w:ascii="黑体" w:eastAsia="黑体" w:hAnsi="黑体"/>
          <w:color w:val="000000"/>
        </w:rPr>
        <w:t>第四条</w:t>
      </w:r>
      <w:r>
        <w:rPr>
          <w:rFonts w:ascii="Times New Roman" w:hAnsi="方正书宋简体"/>
          <w:color w:val="000000"/>
        </w:rPr>
        <w:t>乙方为异地参保人员提供医疗服务时，按照天津市支付范围及有关规定（基本医疗保险药品目录、诊疗项目和医疗服务设施标准）做好服务。乙方为异地参保人员诊治过程中，应做到因病施治、合理检查、合理治疗、合理用药，同样病情患者的人均费用不得明显高于本市平均水平。</w:t>
      </w:r>
    </w:p>
    <w:p w:rsidR="003803C7" w:rsidRDefault="00AF7F3D">
      <w:pPr>
        <w:pStyle w:val="81"/>
        <w:spacing w:line="353" w:lineRule="auto"/>
        <w:rPr>
          <w:rFonts w:ascii="Times New Roman" w:hAnsi="Times New Roman"/>
          <w:color w:val="000000"/>
        </w:rPr>
      </w:pPr>
      <w:r>
        <w:rPr>
          <w:rFonts w:ascii="黑体" w:eastAsia="黑体" w:hAnsi="黑体"/>
          <w:color w:val="000000"/>
        </w:rPr>
        <w:t>第五条</w:t>
      </w:r>
      <w:r>
        <w:rPr>
          <w:rFonts w:ascii="Times New Roman" w:hAnsi="方正书宋简体"/>
          <w:color w:val="000000"/>
        </w:rPr>
        <w:t>甲方按照国家及本市文件要求，确定本市异地定点医疗机构范围、医保服务类别，制定异地清算流程。</w:t>
      </w:r>
    </w:p>
    <w:p w:rsidR="003803C7" w:rsidRDefault="00AF7F3D">
      <w:pPr>
        <w:pStyle w:val="81"/>
        <w:spacing w:line="353" w:lineRule="auto"/>
        <w:rPr>
          <w:rFonts w:ascii="Times New Roman" w:hAnsi="Times New Roman"/>
          <w:color w:val="000000"/>
        </w:rPr>
      </w:pPr>
      <w:r>
        <w:rPr>
          <w:rFonts w:ascii="黑体" w:eastAsia="黑体" w:hAnsi="黑体"/>
          <w:color w:val="000000"/>
        </w:rPr>
        <w:t xml:space="preserve">第六条 </w:t>
      </w:r>
      <w:r>
        <w:rPr>
          <w:rFonts w:ascii="Times New Roman" w:hAnsi="方正书宋简体"/>
          <w:color w:val="000000"/>
        </w:rPr>
        <w:t>乙方应按照国家及本市要求，优化异地结算流程，为符合本市规定的门</w:t>
      </w:r>
      <w:r>
        <w:rPr>
          <w:rFonts w:ascii="Times New Roman" w:hAnsi="Times New Roman" w:hint="eastAsia"/>
          <w:color w:val="000000"/>
        </w:rPr>
        <w:t>（</w:t>
      </w:r>
      <w:r>
        <w:rPr>
          <w:rFonts w:ascii="Times New Roman" w:hAnsi="方正书宋简体"/>
          <w:color w:val="000000"/>
        </w:rPr>
        <w:t>急</w:t>
      </w:r>
      <w:r>
        <w:rPr>
          <w:rFonts w:ascii="Times New Roman" w:hAnsi="Times New Roman" w:hint="eastAsia"/>
          <w:color w:val="000000"/>
        </w:rPr>
        <w:t>）</w:t>
      </w:r>
      <w:r>
        <w:rPr>
          <w:rFonts w:ascii="Times New Roman" w:hAnsi="方正书宋简体"/>
          <w:color w:val="000000"/>
        </w:rPr>
        <w:t>诊、住院异地参保人员提供合理规范的诊疗服务及方便快捷的跨省异</w:t>
      </w:r>
      <w:r>
        <w:rPr>
          <w:rFonts w:ascii="Times New Roman" w:hAnsi="方正书宋简体"/>
          <w:color w:val="000000"/>
        </w:rPr>
        <w:lastRenderedPageBreak/>
        <w:t>地就医直接结算服务，实时上传就医和结算信息，根据</w:t>
      </w:r>
      <w:r>
        <w:rPr>
          <w:rFonts w:ascii="Times New Roman" w:hAnsi="Times New Roman"/>
          <w:color w:val="000000"/>
        </w:rPr>
        <w:t>“</w:t>
      </w:r>
      <w:r>
        <w:rPr>
          <w:rFonts w:ascii="Times New Roman" w:hAnsi="方正书宋简体"/>
          <w:color w:val="000000"/>
        </w:rPr>
        <w:t>参保地待遇</w:t>
      </w:r>
      <w:r>
        <w:rPr>
          <w:rFonts w:ascii="Times New Roman" w:hAnsi="Times New Roman"/>
          <w:color w:val="000000"/>
        </w:rPr>
        <w:t>”</w:t>
      </w:r>
      <w:r>
        <w:rPr>
          <w:rFonts w:ascii="Times New Roman" w:hAnsi="方正书宋简体"/>
          <w:color w:val="000000"/>
        </w:rPr>
        <w:t>一单式结算。</w:t>
      </w:r>
    </w:p>
    <w:p w:rsidR="003803C7" w:rsidRDefault="00AF7F3D">
      <w:pPr>
        <w:pStyle w:val="81"/>
        <w:spacing w:line="353" w:lineRule="auto"/>
        <w:rPr>
          <w:rFonts w:ascii="Times New Roman" w:hAnsi="Times New Roman"/>
        </w:rPr>
      </w:pPr>
      <w:r>
        <w:rPr>
          <w:rFonts w:ascii="黑体" w:eastAsia="黑体" w:hAnsi="黑体"/>
          <w:color w:val="000000"/>
        </w:rPr>
        <w:t>第七条</w:t>
      </w:r>
      <w:r>
        <w:rPr>
          <w:rFonts w:ascii="Times New Roman" w:hAnsi="方正书宋简体"/>
        </w:rPr>
        <w:t>乙方应在异地参保人员出院时，按照国家平台下载的《天津市跨省异地就医住院结算单》，</w:t>
      </w:r>
      <w:r>
        <w:rPr>
          <w:rFonts w:ascii="Times New Roman" w:hAnsi="方正书宋简体"/>
          <w:color w:val="000000"/>
        </w:rPr>
        <w:t>与异地参保人员结清应由个人承担的费用，并提供结算单及医疗专用票据；属于医保基金支付的费用，由甲乙双方按协议结算。乙方应指引未办理异地就医备案的异地参保人员及时办理备案手续，出院结算前完成登记备案的，乙方应支持跨省异地就医直接结算。</w:t>
      </w:r>
    </w:p>
    <w:p w:rsidR="003803C7" w:rsidRDefault="00AF7F3D">
      <w:pPr>
        <w:pStyle w:val="81"/>
        <w:spacing w:line="353" w:lineRule="auto"/>
        <w:rPr>
          <w:rFonts w:ascii="Times New Roman" w:hAnsi="Times New Roman"/>
          <w:color w:val="000000"/>
        </w:rPr>
      </w:pPr>
      <w:r>
        <w:rPr>
          <w:rFonts w:ascii="黑体" w:eastAsia="黑体" w:hAnsi="黑体"/>
          <w:color w:val="000000"/>
        </w:rPr>
        <w:t>第八条</w:t>
      </w:r>
      <w:r>
        <w:rPr>
          <w:rFonts w:ascii="Times New Roman" w:hAnsi="方正书宋简体"/>
          <w:color w:val="000000"/>
        </w:rPr>
        <w:t>乙方开展异地门诊慢特病相关病种服务的，在接诊异地门诊慢特病患者时，按照本市规定专病专治，合理用药；没有相应门诊慢特病病种服务的，乙方要遵循相关病种诊疗规范及用药规定合理诊疗。</w:t>
      </w:r>
    </w:p>
    <w:p w:rsidR="003803C7" w:rsidRDefault="00AF7F3D">
      <w:pPr>
        <w:pStyle w:val="81"/>
        <w:spacing w:line="353" w:lineRule="auto"/>
        <w:rPr>
          <w:rFonts w:ascii="Times New Roman" w:hAnsi="Times New Roman"/>
          <w:color w:val="000000"/>
        </w:rPr>
      </w:pPr>
      <w:r>
        <w:rPr>
          <w:rFonts w:ascii="黑体" w:eastAsia="黑体" w:hAnsi="黑体"/>
          <w:color w:val="000000"/>
        </w:rPr>
        <w:t>第九条</w:t>
      </w:r>
      <w:r>
        <w:rPr>
          <w:rFonts w:ascii="Times New Roman" w:hAnsi="方正书宋简体"/>
          <w:color w:val="000000"/>
        </w:rPr>
        <w:t>乙方应按照有关规定，严格执行跨省异地就医退费管理。异地参保人员确需办理退费的，乙方应做好退费服务。</w:t>
      </w:r>
    </w:p>
    <w:p w:rsidR="003803C7" w:rsidRDefault="00AF7F3D">
      <w:pPr>
        <w:pStyle w:val="81"/>
        <w:spacing w:line="353" w:lineRule="auto"/>
        <w:rPr>
          <w:rFonts w:ascii="Times New Roman" w:hAnsi="Times New Roman"/>
          <w:color w:val="000000"/>
        </w:rPr>
      </w:pPr>
      <w:r>
        <w:rPr>
          <w:rFonts w:ascii="黑体" w:eastAsia="黑体" w:hAnsi="黑体"/>
          <w:color w:val="000000"/>
        </w:rPr>
        <w:t>第十条</w:t>
      </w:r>
      <w:r>
        <w:rPr>
          <w:rFonts w:ascii="Times New Roman" w:hAnsi="方正书宋简体"/>
          <w:color w:val="000000"/>
        </w:rPr>
        <w:t>乙方应根据医保电子凭证或社会保障卡等有效凭证采集参保人员有关信息，并将医疗费用明细、诊断等就诊信息及时上传至国家医疗保障信息平台，支持全国开展跨省异地就医手工报销线上办理试点。参保人员因故全额垫付医疗费用的，乙方应为参保人员提供说明，方便参保人员回参保地报销。</w:t>
      </w:r>
    </w:p>
    <w:p w:rsidR="003803C7" w:rsidRDefault="00AF7F3D">
      <w:pPr>
        <w:pStyle w:val="81"/>
        <w:spacing w:line="353" w:lineRule="auto"/>
        <w:rPr>
          <w:rFonts w:ascii="Times New Roman" w:hAnsi="Times New Roman"/>
          <w:color w:val="000000"/>
        </w:rPr>
      </w:pPr>
      <w:r>
        <w:rPr>
          <w:rFonts w:ascii="黑体" w:eastAsia="黑体" w:hAnsi="黑体"/>
          <w:color w:val="000000"/>
        </w:rPr>
        <w:t>第十一条</w:t>
      </w:r>
      <w:r>
        <w:rPr>
          <w:rFonts w:ascii="Times New Roman" w:hAnsi="方正书宋简体"/>
          <w:color w:val="000000"/>
        </w:rPr>
        <w:t>乙方因技术条件和设备条件所限，对于异地就医患者住院期间确因病情需要到其他定点医疗机构检查治疗或到定点药店购药的，需提供《住院期间外院检查治疗或定点药店购药单》，加盖定点医疗机构医疗保险办公室章，相关费用纳入本次住院费用跨省直接结算。</w:t>
      </w:r>
    </w:p>
    <w:p w:rsidR="003803C7" w:rsidRDefault="00AF7F3D">
      <w:pPr>
        <w:pStyle w:val="81"/>
        <w:spacing w:line="353" w:lineRule="auto"/>
        <w:rPr>
          <w:rFonts w:ascii="Times New Roman" w:hAnsi="Times New Roman"/>
        </w:rPr>
      </w:pPr>
      <w:r>
        <w:rPr>
          <w:rFonts w:ascii="黑体" w:eastAsia="黑体" w:hAnsi="黑体"/>
          <w:color w:val="000000"/>
        </w:rPr>
        <w:t xml:space="preserve">第十二条 </w:t>
      </w:r>
      <w:r>
        <w:rPr>
          <w:rFonts w:ascii="Times New Roman" w:hAnsi="方正书宋简体"/>
        </w:rPr>
        <w:t>乙方接诊异地参保人员因急诊抢救就医的，在为参保人员办理</w:t>
      </w:r>
      <w:r>
        <w:rPr>
          <w:rFonts w:ascii="Times New Roman" w:hAnsi="Times New Roman"/>
        </w:rPr>
        <w:t>“</w:t>
      </w:r>
      <w:r>
        <w:rPr>
          <w:rFonts w:ascii="Times New Roman" w:hAnsi="方正书宋简体"/>
        </w:rPr>
        <w:t>门诊结算</w:t>
      </w:r>
      <w:r>
        <w:rPr>
          <w:rFonts w:ascii="Times New Roman" w:hAnsi="Times New Roman"/>
        </w:rPr>
        <w:t>”</w:t>
      </w:r>
      <w:r>
        <w:rPr>
          <w:rFonts w:ascii="Times New Roman" w:hAnsi="方正书宋简体"/>
        </w:rPr>
        <w:t>或</w:t>
      </w:r>
      <w:r>
        <w:rPr>
          <w:rFonts w:ascii="Times New Roman" w:hAnsi="Times New Roman"/>
        </w:rPr>
        <w:t>“</w:t>
      </w:r>
      <w:r>
        <w:rPr>
          <w:rFonts w:ascii="Times New Roman" w:hAnsi="方正书宋简体"/>
        </w:rPr>
        <w:t>入院登记</w:t>
      </w:r>
      <w:r>
        <w:rPr>
          <w:rFonts w:ascii="Times New Roman" w:hAnsi="Times New Roman"/>
        </w:rPr>
        <w:t>”</w:t>
      </w:r>
      <w:r>
        <w:rPr>
          <w:rFonts w:ascii="Times New Roman" w:hAnsi="方正书宋简体"/>
        </w:rPr>
        <w:t>时，应按接口标准规范要求如实上传</w:t>
      </w:r>
      <w:r>
        <w:rPr>
          <w:rFonts w:ascii="Times New Roman" w:hAnsi="Times New Roman"/>
        </w:rPr>
        <w:t>“</w:t>
      </w:r>
      <w:r>
        <w:rPr>
          <w:rFonts w:ascii="Times New Roman" w:hAnsi="方正书宋简体"/>
        </w:rPr>
        <w:t>门诊急诊转诊标志</w:t>
      </w:r>
      <w:r>
        <w:rPr>
          <w:rFonts w:ascii="Times New Roman" w:hAnsi="Times New Roman"/>
        </w:rPr>
        <w:t>”</w:t>
      </w:r>
      <w:r>
        <w:rPr>
          <w:rFonts w:ascii="Times New Roman" w:hAnsi="方正书宋简体"/>
        </w:rPr>
        <w:t>或</w:t>
      </w:r>
      <w:r>
        <w:rPr>
          <w:rFonts w:ascii="Times New Roman" w:hAnsi="Times New Roman"/>
        </w:rPr>
        <w:t>“</w:t>
      </w:r>
      <w:r>
        <w:rPr>
          <w:rFonts w:ascii="Times New Roman" w:hAnsi="方正书宋简体"/>
        </w:rPr>
        <w:t>住院类型</w:t>
      </w:r>
      <w:r>
        <w:rPr>
          <w:rFonts w:ascii="Times New Roman" w:hAnsi="Times New Roman"/>
        </w:rPr>
        <w:t>”</w:t>
      </w:r>
      <w:r>
        <w:rPr>
          <w:rFonts w:ascii="Times New Roman" w:hAnsi="Times New Roman" w:hint="eastAsia"/>
        </w:rPr>
        <w:t>，</w:t>
      </w:r>
      <w:r>
        <w:rPr>
          <w:rFonts w:ascii="Times New Roman" w:hAnsi="方正书宋简体" w:hint="eastAsia"/>
        </w:rPr>
        <w:t>支持</w:t>
      </w:r>
      <w:r>
        <w:rPr>
          <w:rFonts w:ascii="Times New Roman" w:hAnsi="方正书宋简体"/>
        </w:rPr>
        <w:t>参保人员按参保地异地急诊抢救相关待遇标准直接结算相关门诊、住院医疗费用。</w:t>
      </w:r>
    </w:p>
    <w:p w:rsidR="003803C7" w:rsidRDefault="00AF7F3D">
      <w:pPr>
        <w:pStyle w:val="81"/>
        <w:spacing w:line="353" w:lineRule="auto"/>
        <w:rPr>
          <w:rFonts w:ascii="Times New Roman" w:hAnsi="Times New Roman"/>
          <w:color w:val="000000"/>
        </w:rPr>
      </w:pPr>
      <w:r>
        <w:rPr>
          <w:rFonts w:ascii="黑体" w:eastAsia="黑体" w:hAnsi="黑体"/>
          <w:color w:val="000000"/>
        </w:rPr>
        <w:lastRenderedPageBreak/>
        <w:t>第十三条</w:t>
      </w:r>
      <w:r>
        <w:rPr>
          <w:rFonts w:ascii="Times New Roman" w:hAnsi="方正书宋简体"/>
          <w:color w:val="000000"/>
        </w:rPr>
        <w:t>乙方应支持无第三方责任外伤参保人员享受跨省异地就医直接联网结算服务。加强外伤人员身份认证，对于符合就医地基本医疗保险支付范围，参保人员主诉无第三方责任的医疗费用，可结合接诊及参保人员病情等实际情况，由参保人员填写《外伤无第三方责任承诺书》，为参保人员办理异地就医直接结算。乙方在为参保人员办理入院登记时，应按接口标准规范要求，通过</w:t>
      </w:r>
      <w:r>
        <w:rPr>
          <w:rFonts w:ascii="Times New Roman" w:hAnsi="Times New Roman"/>
          <w:color w:val="000000"/>
        </w:rPr>
        <w:t>“</w:t>
      </w:r>
      <w:r>
        <w:rPr>
          <w:rFonts w:ascii="Times New Roman" w:hAnsi="方正书宋简体"/>
          <w:color w:val="000000"/>
        </w:rPr>
        <w:t>外伤标志</w:t>
      </w:r>
      <w:r>
        <w:rPr>
          <w:rFonts w:ascii="Times New Roman" w:hAnsi="Times New Roman"/>
          <w:color w:val="000000"/>
        </w:rPr>
        <w:t>”</w:t>
      </w:r>
      <w:r>
        <w:rPr>
          <w:rFonts w:ascii="Times New Roman" w:hAnsi="方正书宋简体"/>
          <w:color w:val="000000"/>
        </w:rPr>
        <w:t>和</w:t>
      </w:r>
      <w:r>
        <w:rPr>
          <w:rFonts w:ascii="Times New Roman" w:hAnsi="Times New Roman"/>
          <w:color w:val="000000"/>
        </w:rPr>
        <w:t>“</w:t>
      </w:r>
      <w:r>
        <w:rPr>
          <w:rFonts w:ascii="Times New Roman" w:hAnsi="方正书宋简体"/>
          <w:color w:val="000000"/>
        </w:rPr>
        <w:t>涉及第三方标志</w:t>
      </w:r>
      <w:r>
        <w:rPr>
          <w:rFonts w:ascii="Times New Roman" w:hAnsi="Times New Roman"/>
          <w:color w:val="000000"/>
        </w:rPr>
        <w:t>”</w:t>
      </w:r>
      <w:r>
        <w:rPr>
          <w:rFonts w:ascii="Times New Roman" w:hAnsi="方正书宋简体"/>
          <w:color w:val="000000"/>
        </w:rPr>
        <w:t>两个接口，如实上传参保人员外伤就医情况。</w:t>
      </w:r>
    </w:p>
    <w:p w:rsidR="003803C7" w:rsidRDefault="00AF7F3D">
      <w:pPr>
        <w:pStyle w:val="81"/>
        <w:spacing w:line="353" w:lineRule="auto"/>
        <w:rPr>
          <w:rFonts w:ascii="Times New Roman" w:hAnsi="Times New Roman"/>
        </w:rPr>
      </w:pPr>
      <w:r>
        <w:rPr>
          <w:rFonts w:ascii="黑体" w:eastAsia="黑体" w:hAnsi="黑体"/>
          <w:color w:val="000000"/>
        </w:rPr>
        <w:t>第十四条</w:t>
      </w:r>
      <w:r>
        <w:rPr>
          <w:rFonts w:ascii="Times New Roman" w:hAnsi="方正书宋简体"/>
        </w:rPr>
        <w:t>乙方应按照国家及本市住院和门诊费用跨省直接结算经办规程要求，确保上传明细及时、准确、完整。甲乙双方应实现参保地、就医地异地就医结算系统和国家异地就医结算系统的三方对账准确，做到数据相符。</w:t>
      </w:r>
    </w:p>
    <w:p w:rsidR="003803C7" w:rsidRDefault="00AF7F3D">
      <w:pPr>
        <w:pStyle w:val="81"/>
        <w:spacing w:line="353" w:lineRule="auto"/>
        <w:rPr>
          <w:rFonts w:ascii="Times New Roman" w:hAnsi="Times New Roman"/>
        </w:rPr>
      </w:pPr>
      <w:r>
        <w:rPr>
          <w:rFonts w:ascii="黑体" w:eastAsia="黑体" w:hAnsi="黑体"/>
          <w:color w:val="000000"/>
        </w:rPr>
        <w:t>第十五条</w:t>
      </w:r>
      <w:r>
        <w:rPr>
          <w:rFonts w:ascii="Times New Roman" w:hAnsi="方正书宋简体"/>
        </w:rPr>
        <w:t>经三方对账成功后医疗费用，乙方进行费用申报时，对于违反医疗保险规定、过度服务或服务不足等情况一经查实，相关费用甲方不予支付，已支付医保基金有权予以追回并按主协议条款处理。</w:t>
      </w:r>
    </w:p>
    <w:p w:rsidR="003803C7" w:rsidRDefault="00AF7F3D">
      <w:pPr>
        <w:pStyle w:val="81"/>
        <w:spacing w:line="353" w:lineRule="auto"/>
        <w:rPr>
          <w:rFonts w:ascii="Times New Roman" w:hAnsi="Times New Roman"/>
        </w:rPr>
      </w:pPr>
      <w:r>
        <w:rPr>
          <w:rFonts w:ascii="黑体" w:eastAsia="黑体" w:hAnsi="黑体"/>
          <w:color w:val="000000"/>
        </w:rPr>
        <w:t>第十六条</w:t>
      </w:r>
      <w:r>
        <w:rPr>
          <w:rFonts w:ascii="Times New Roman" w:hAnsi="方正书宋简体"/>
        </w:rPr>
        <w:t>甲方应于每月</w:t>
      </w:r>
      <w:r>
        <w:rPr>
          <w:rFonts w:ascii="Times New Roman" w:hAnsi="Times New Roman"/>
        </w:rPr>
        <w:t>25</w:t>
      </w:r>
      <w:r>
        <w:rPr>
          <w:rFonts w:ascii="Times New Roman" w:hAnsi="方正书宋简体"/>
        </w:rPr>
        <w:t>日前，通过国家异地就医结算系统对国家平台生成的上月清算数据进行确认，按照规定的流程与乙方进行清算。遇信息系统原因、法定节假日等特殊情况清算时间顺延。</w:t>
      </w:r>
    </w:p>
    <w:p w:rsidR="003803C7" w:rsidRDefault="00AF7F3D">
      <w:pPr>
        <w:pStyle w:val="81"/>
        <w:spacing w:line="353" w:lineRule="auto"/>
        <w:rPr>
          <w:rFonts w:ascii="Times New Roman" w:hAnsi="Times New Roman"/>
        </w:rPr>
      </w:pPr>
      <w:r>
        <w:rPr>
          <w:rFonts w:ascii="黑体" w:eastAsia="黑体" w:hAnsi="黑体"/>
          <w:color w:val="000000"/>
        </w:rPr>
        <w:t>第十七条</w:t>
      </w:r>
      <w:r>
        <w:rPr>
          <w:rFonts w:ascii="Times New Roman" w:hAnsi="方正书宋简体"/>
        </w:rPr>
        <w:t>甲方依据乙方承担的住院、门诊、门诊慢特病等医疗服务类别确定相应的考核指标，参与年度内天津市绩效考核。</w:t>
      </w:r>
    </w:p>
    <w:p w:rsidR="003803C7" w:rsidRDefault="00AF7F3D">
      <w:pPr>
        <w:pStyle w:val="81"/>
        <w:spacing w:line="353" w:lineRule="auto"/>
        <w:rPr>
          <w:rFonts w:ascii="Times New Roman" w:hAnsi="Times New Roman"/>
        </w:rPr>
      </w:pPr>
      <w:r>
        <w:rPr>
          <w:rFonts w:ascii="黑体" w:eastAsia="黑体" w:hAnsi="黑体"/>
          <w:color w:val="000000"/>
        </w:rPr>
        <w:t>第十八条</w:t>
      </w:r>
      <w:r>
        <w:rPr>
          <w:rFonts w:ascii="Times New Roman" w:hAnsi="方正书宋简体"/>
        </w:rPr>
        <w:t>乙方违反基本医疗保障法律法规构成欺诈骗保违法行为的，甲方应当提请医疗保障行政部门进行行政处理。</w:t>
      </w:r>
    </w:p>
    <w:p w:rsidR="003803C7" w:rsidRDefault="00AF7F3D">
      <w:pPr>
        <w:pStyle w:val="81"/>
        <w:spacing w:line="353" w:lineRule="auto"/>
        <w:rPr>
          <w:rFonts w:ascii="Times New Roman" w:hAnsi="Times New Roman"/>
        </w:rPr>
      </w:pPr>
      <w:r>
        <w:rPr>
          <w:rFonts w:ascii="黑体" w:eastAsia="黑体" w:hAnsi="黑体"/>
          <w:color w:val="000000"/>
        </w:rPr>
        <w:t>第十九条</w:t>
      </w:r>
      <w:r>
        <w:rPr>
          <w:rFonts w:ascii="Times New Roman" w:hAnsi="方正书宋简体"/>
        </w:rPr>
        <w:t>乙方应建立异地就医联网结算对接机制，设置投诉举报窗口，向甲方反馈信息，协调处理因异地就医结算过程中发生的争议及纠纷。</w:t>
      </w:r>
    </w:p>
    <w:p w:rsidR="003803C7" w:rsidRDefault="00AF7F3D">
      <w:pPr>
        <w:pStyle w:val="81"/>
        <w:spacing w:line="353" w:lineRule="auto"/>
        <w:rPr>
          <w:rFonts w:ascii="Times New Roman" w:hAnsi="Times New Roman"/>
        </w:rPr>
      </w:pPr>
      <w:r>
        <w:rPr>
          <w:rFonts w:ascii="黑体" w:eastAsia="黑体" w:hAnsi="黑体"/>
          <w:color w:val="000000"/>
        </w:rPr>
        <w:t>第二十条</w:t>
      </w:r>
      <w:r>
        <w:rPr>
          <w:rFonts w:ascii="Times New Roman" w:hAnsi="方正书宋简体"/>
        </w:rPr>
        <w:t>乙方应积极配合国家、本市、异地经办机构组织的跨省异地就医联审互查、协同工作，及本地的异地就医监督管理工作。</w:t>
      </w:r>
    </w:p>
    <w:p w:rsidR="003803C7" w:rsidRDefault="00AF7F3D">
      <w:pPr>
        <w:pStyle w:val="81"/>
        <w:spacing w:line="353" w:lineRule="auto"/>
        <w:rPr>
          <w:rFonts w:ascii="Times New Roman" w:hAnsi="Times New Roman"/>
        </w:rPr>
      </w:pPr>
      <w:r>
        <w:rPr>
          <w:rFonts w:ascii="黑体" w:eastAsia="黑体" w:hAnsi="黑体"/>
          <w:color w:val="000000"/>
        </w:rPr>
        <w:lastRenderedPageBreak/>
        <w:t xml:space="preserve">第二十一条 </w:t>
      </w:r>
      <w:r>
        <w:rPr>
          <w:rFonts w:ascii="Times New Roman" w:hAnsi="方正书宋简体"/>
        </w:rPr>
        <w:t>乙方因违反《天津市医疗保障定点医疗机构医疗服务协议书》主协议约定，被中止或解除服务协议（含科室、服务类别及服务医师）等，异地协议同步处理。</w:t>
      </w:r>
    </w:p>
    <w:p w:rsidR="003803C7" w:rsidRDefault="00AF7F3D">
      <w:pPr>
        <w:pStyle w:val="81"/>
        <w:spacing w:line="353" w:lineRule="auto"/>
        <w:rPr>
          <w:rFonts w:ascii="Times New Roman" w:hAnsi="Times New Roman"/>
        </w:rPr>
      </w:pPr>
      <w:r>
        <w:rPr>
          <w:rFonts w:ascii="黑体" w:eastAsia="黑体" w:hAnsi="黑体"/>
          <w:color w:val="000000"/>
        </w:rPr>
        <w:t>第二十二条</w:t>
      </w:r>
      <w:r>
        <w:rPr>
          <w:rFonts w:ascii="Times New Roman" w:hAnsi="方正书宋简体"/>
        </w:rPr>
        <w:t>乙方停止服务期间（含中止、解除协议），应在其营业场所显著位置将有关情况向参保人员进行告知。</w:t>
      </w:r>
    </w:p>
    <w:p w:rsidR="003803C7" w:rsidRDefault="00AF7F3D">
      <w:pPr>
        <w:pStyle w:val="81"/>
        <w:spacing w:line="353" w:lineRule="auto"/>
        <w:rPr>
          <w:rFonts w:ascii="Times New Roman" w:hAnsi="Times New Roman"/>
        </w:rPr>
      </w:pPr>
      <w:r>
        <w:rPr>
          <w:rFonts w:ascii="黑体" w:eastAsia="黑体" w:hAnsi="黑体"/>
          <w:color w:val="000000"/>
        </w:rPr>
        <w:t>第二十三条</w:t>
      </w:r>
      <w:r>
        <w:rPr>
          <w:rFonts w:ascii="Times New Roman" w:hAnsi="方正书宋简体"/>
        </w:rPr>
        <w:t>经查实，乙方具有骗取医保基金情形的，甲方可提请有关部门将违反本协议的乙方及相关负责人纳入医保领域失信联合惩戒对象名单，并按相关规定进行管理。</w:t>
      </w:r>
    </w:p>
    <w:p w:rsidR="003803C7" w:rsidRDefault="00AF7F3D">
      <w:pPr>
        <w:pStyle w:val="81"/>
        <w:spacing w:line="353" w:lineRule="auto"/>
        <w:rPr>
          <w:rFonts w:ascii="Times New Roman" w:hAnsi="Times New Roman"/>
        </w:rPr>
      </w:pPr>
      <w:r>
        <w:rPr>
          <w:rFonts w:ascii="黑体" w:eastAsia="黑体" w:hAnsi="黑体"/>
          <w:color w:val="000000"/>
        </w:rPr>
        <w:t>第二十四条</w:t>
      </w:r>
      <w:r>
        <w:rPr>
          <w:rFonts w:ascii="Times New Roman" w:hAnsi="方正书宋简体"/>
        </w:rPr>
        <w:t>甲乙双方就医保协议签订、履行、变更和解除发生争议的，可以自行协商解决或者请求同级医疗保障行政部门协调处理，协商不成可以依法提起行政复议或者行政诉讼解决。</w:t>
      </w:r>
    </w:p>
    <w:p w:rsidR="003803C7" w:rsidRDefault="00AF7F3D">
      <w:pPr>
        <w:pStyle w:val="81"/>
        <w:spacing w:line="353" w:lineRule="auto"/>
        <w:rPr>
          <w:rFonts w:ascii="Times New Roman" w:hAnsi="Times New Roman"/>
        </w:rPr>
      </w:pPr>
      <w:r>
        <w:rPr>
          <w:rFonts w:ascii="黑体" w:eastAsia="黑体" w:hAnsi="黑体"/>
          <w:color w:val="000000"/>
        </w:rPr>
        <w:t>第二十五条</w:t>
      </w:r>
      <w:r>
        <w:rPr>
          <w:rFonts w:ascii="Times New Roman" w:hAnsi="方正书宋简体"/>
        </w:rPr>
        <w:t>乙方应同时遵守本年度《天津市医疗保障定点医疗机构医疗服务协议书》相关条款的要求。如有违约情况参照《天津市医疗保障定点医疗机构医疗服务协议书》相关条款处理。</w:t>
      </w:r>
    </w:p>
    <w:p w:rsidR="003803C7" w:rsidRDefault="00AF7F3D">
      <w:pPr>
        <w:pStyle w:val="81"/>
        <w:spacing w:line="353" w:lineRule="auto"/>
        <w:rPr>
          <w:rFonts w:ascii="Times New Roman" w:hAnsi="Times New Roman"/>
        </w:rPr>
      </w:pPr>
      <w:r>
        <w:rPr>
          <w:rFonts w:ascii="黑体" w:eastAsia="黑体" w:hAnsi="黑体"/>
          <w:color w:val="000000"/>
        </w:rPr>
        <w:t xml:space="preserve">第二十六条 </w:t>
      </w:r>
      <w:r>
        <w:rPr>
          <w:rFonts w:ascii="Times New Roman" w:hAnsi="方正书宋简体" w:hint="eastAsia"/>
        </w:rPr>
        <w:t>本附加协议有效期与主协议保持一致</w:t>
      </w:r>
      <w:r>
        <w:rPr>
          <w:rFonts w:ascii="Times New Roman" w:hAnsi="方正书宋简体"/>
        </w:rPr>
        <w:t>。</w:t>
      </w:r>
    </w:p>
    <w:p w:rsidR="003803C7" w:rsidRDefault="003803C7">
      <w:pPr>
        <w:pStyle w:val="81"/>
        <w:spacing w:line="353" w:lineRule="auto"/>
        <w:rPr>
          <w:rFonts w:ascii="Times New Roman" w:hAnsi="Times New Roman"/>
        </w:rPr>
      </w:pPr>
    </w:p>
    <w:p w:rsidR="003803C7" w:rsidRDefault="003803C7">
      <w:pPr>
        <w:pStyle w:val="81"/>
        <w:spacing w:line="353" w:lineRule="auto"/>
        <w:rPr>
          <w:rFonts w:ascii="Times New Roman" w:hAnsi="Times New Roman"/>
        </w:rPr>
      </w:pPr>
    </w:p>
    <w:p w:rsidR="003803C7" w:rsidRDefault="003803C7">
      <w:pPr>
        <w:pStyle w:val="81"/>
        <w:spacing w:line="353" w:lineRule="auto"/>
        <w:rPr>
          <w:rFonts w:ascii="Times New Roman" w:hAnsi="Times New Roman"/>
        </w:rPr>
      </w:pPr>
    </w:p>
    <w:p w:rsidR="003803C7" w:rsidRDefault="00AF7F3D">
      <w:pPr>
        <w:pStyle w:val="81"/>
        <w:spacing w:line="353" w:lineRule="auto"/>
        <w:rPr>
          <w:rFonts w:ascii="Times New Roman" w:hAnsi="Times New Roman"/>
        </w:rPr>
      </w:pPr>
      <w:r>
        <w:rPr>
          <w:rFonts w:ascii="Times New Roman" w:hAnsi="方正书宋简体"/>
        </w:rPr>
        <w:t>甲方（公章）：</w:t>
      </w:r>
      <w:r>
        <w:rPr>
          <w:rFonts w:ascii="Times New Roman" w:hAnsi="Times New Roman"/>
        </w:rPr>
        <w:tab/>
      </w:r>
      <w:r>
        <w:rPr>
          <w:rFonts w:ascii="Times New Roman" w:hAnsi="方正书宋简体"/>
        </w:rPr>
        <w:t>乙方（公章）：</w:t>
      </w:r>
    </w:p>
    <w:p w:rsidR="003803C7" w:rsidRDefault="003803C7">
      <w:pPr>
        <w:pStyle w:val="81"/>
        <w:spacing w:line="353" w:lineRule="auto"/>
        <w:rPr>
          <w:rFonts w:ascii="Times New Roman" w:hAnsi="Times New Roman"/>
        </w:rPr>
      </w:pPr>
    </w:p>
    <w:p w:rsidR="003803C7" w:rsidRDefault="00AF7F3D">
      <w:pPr>
        <w:pStyle w:val="81"/>
        <w:spacing w:line="353" w:lineRule="auto"/>
        <w:rPr>
          <w:rFonts w:ascii="Times New Roman" w:hAnsi="Times New Roman"/>
        </w:rPr>
      </w:pPr>
      <w:r>
        <w:rPr>
          <w:rFonts w:ascii="Times New Roman" w:hAnsi="方正书宋简体"/>
        </w:rPr>
        <w:t>法定代表人或负责人（签章）：法定代表人或负责人（签章）：</w:t>
      </w:r>
    </w:p>
    <w:p w:rsidR="003803C7" w:rsidRDefault="003803C7">
      <w:pPr>
        <w:pStyle w:val="81"/>
        <w:spacing w:line="353" w:lineRule="auto"/>
        <w:rPr>
          <w:rFonts w:ascii="Times New Roman" w:hAnsi="Times New Roman"/>
        </w:rPr>
      </w:pPr>
    </w:p>
    <w:p w:rsidR="003803C7" w:rsidRDefault="00AF7F3D" w:rsidP="00DB1E05">
      <w:pPr>
        <w:pStyle w:val="81"/>
        <w:spacing w:line="353" w:lineRule="auto"/>
      </w:pPr>
      <w:r>
        <w:rPr>
          <w:rFonts w:ascii="Times New Roman" w:hAnsi="方正书宋简体"/>
        </w:rPr>
        <w:t>年月日</w:t>
      </w:r>
      <w:r>
        <w:rPr>
          <w:rFonts w:ascii="Times New Roman" w:hAnsi="Times New Roman"/>
        </w:rPr>
        <w:tab/>
      </w:r>
      <w:r>
        <w:rPr>
          <w:rFonts w:ascii="Times New Roman" w:hAnsi="Times New Roman"/>
        </w:rPr>
        <w:tab/>
      </w:r>
      <w:r>
        <w:rPr>
          <w:rFonts w:ascii="Times New Roman" w:hAnsi="Times New Roman"/>
        </w:rPr>
        <w:tab/>
      </w:r>
      <w:r>
        <w:rPr>
          <w:rFonts w:ascii="Times New Roman" w:hAnsi="方正书宋简体"/>
        </w:rPr>
        <w:t>年月日</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E77" w:rsidRDefault="00887E77">
      <w:r>
        <w:separator/>
      </w:r>
    </w:p>
  </w:endnote>
  <w:endnote w:type="continuationSeparator" w:id="1">
    <w:p w:rsidR="00887E77" w:rsidRDefault="00887E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753064">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DB1E05">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E77" w:rsidRDefault="00887E77">
      <w:r>
        <w:separator/>
      </w:r>
    </w:p>
  </w:footnote>
  <w:footnote w:type="continuationSeparator" w:id="1">
    <w:p w:rsidR="00887E77" w:rsidRDefault="00887E7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6CE"/>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B5B25"/>
    <w:rsid w:val="003C1C0A"/>
    <w:rsid w:val="003C3164"/>
    <w:rsid w:val="003C4663"/>
    <w:rsid w:val="003C5AEB"/>
    <w:rsid w:val="003D10CB"/>
    <w:rsid w:val="003D386D"/>
    <w:rsid w:val="003D64AD"/>
    <w:rsid w:val="003D7B89"/>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6045"/>
    <w:rsid w:val="00437B19"/>
    <w:rsid w:val="004450BE"/>
    <w:rsid w:val="004479A1"/>
    <w:rsid w:val="00450A5E"/>
    <w:rsid w:val="00456407"/>
    <w:rsid w:val="0046341C"/>
    <w:rsid w:val="00466289"/>
    <w:rsid w:val="00466D12"/>
    <w:rsid w:val="00467D78"/>
    <w:rsid w:val="00471E3D"/>
    <w:rsid w:val="004726EA"/>
    <w:rsid w:val="00474E2E"/>
    <w:rsid w:val="00477DC3"/>
    <w:rsid w:val="00487145"/>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E4ABC"/>
    <w:rsid w:val="005F19F6"/>
    <w:rsid w:val="005F2740"/>
    <w:rsid w:val="005F4ED9"/>
    <w:rsid w:val="005F5A89"/>
    <w:rsid w:val="005F7470"/>
    <w:rsid w:val="005F7BFE"/>
    <w:rsid w:val="0060055A"/>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B77E9"/>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3064"/>
    <w:rsid w:val="00754D5D"/>
    <w:rsid w:val="007555CC"/>
    <w:rsid w:val="00756618"/>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0D22"/>
    <w:rsid w:val="007C1B80"/>
    <w:rsid w:val="007C1F23"/>
    <w:rsid w:val="007C3317"/>
    <w:rsid w:val="007C3BEC"/>
    <w:rsid w:val="007C5871"/>
    <w:rsid w:val="007C75F2"/>
    <w:rsid w:val="007D22E5"/>
    <w:rsid w:val="007D4EE3"/>
    <w:rsid w:val="007D76B5"/>
    <w:rsid w:val="007D7902"/>
    <w:rsid w:val="007D7F46"/>
    <w:rsid w:val="007E3BE4"/>
    <w:rsid w:val="007F5654"/>
    <w:rsid w:val="007F6E63"/>
    <w:rsid w:val="00800B77"/>
    <w:rsid w:val="00801D5F"/>
    <w:rsid w:val="008042B4"/>
    <w:rsid w:val="008057BA"/>
    <w:rsid w:val="00813862"/>
    <w:rsid w:val="00816F04"/>
    <w:rsid w:val="0082395D"/>
    <w:rsid w:val="008268D0"/>
    <w:rsid w:val="008317CE"/>
    <w:rsid w:val="00832C7F"/>
    <w:rsid w:val="00834481"/>
    <w:rsid w:val="008400C9"/>
    <w:rsid w:val="00840ECF"/>
    <w:rsid w:val="00846A74"/>
    <w:rsid w:val="00853BD2"/>
    <w:rsid w:val="00854A6A"/>
    <w:rsid w:val="008553A8"/>
    <w:rsid w:val="00862793"/>
    <w:rsid w:val="0086782E"/>
    <w:rsid w:val="00870769"/>
    <w:rsid w:val="0087086C"/>
    <w:rsid w:val="008721FE"/>
    <w:rsid w:val="00877B75"/>
    <w:rsid w:val="00881760"/>
    <w:rsid w:val="008872D5"/>
    <w:rsid w:val="00887E77"/>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C7262"/>
    <w:rsid w:val="009D3D90"/>
    <w:rsid w:val="009D664F"/>
    <w:rsid w:val="009D6CD5"/>
    <w:rsid w:val="009D7D24"/>
    <w:rsid w:val="009E088E"/>
    <w:rsid w:val="009E2607"/>
    <w:rsid w:val="009E71E6"/>
    <w:rsid w:val="009F18D2"/>
    <w:rsid w:val="009F201C"/>
    <w:rsid w:val="009F5971"/>
    <w:rsid w:val="009F5EE8"/>
    <w:rsid w:val="009F61D7"/>
    <w:rsid w:val="009F7D7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11CE"/>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464C"/>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1E05"/>
    <w:rsid w:val="00DB2FBB"/>
    <w:rsid w:val="00DB3897"/>
    <w:rsid w:val="00DB7813"/>
    <w:rsid w:val="00DC05F4"/>
    <w:rsid w:val="00DC0C02"/>
    <w:rsid w:val="00DC50C3"/>
    <w:rsid w:val="00DC6A87"/>
    <w:rsid w:val="00DD2819"/>
    <w:rsid w:val="00DE1BCC"/>
    <w:rsid w:val="00DE24D6"/>
    <w:rsid w:val="00DE29D8"/>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351"/>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3D0F"/>
    <w:rsid w:val="00F407F8"/>
    <w:rsid w:val="00F40C3C"/>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4</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38</cp:revision>
  <cp:lastPrinted>2023-04-02T04:12:00Z</cp:lastPrinted>
  <dcterms:created xsi:type="dcterms:W3CDTF">2023-04-02T02:15:00Z</dcterms:created>
  <dcterms:modified xsi:type="dcterms:W3CDTF">2024-01-30T10:13:00Z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