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68594B">
      <w:pPr>
        <w:pStyle w:val="71"/>
        <w:spacing w:before="480" w:afterLines="150"/>
      </w:pPr>
      <w:bookmarkStart w:id="0" w:name="_Toc3668"/>
      <w:bookmarkStart w:id="1" w:name="_Toc101857086"/>
      <w:bookmarkStart w:id="2" w:name="_Toc131429050"/>
      <w:r>
        <w:rPr>
          <w:rFonts w:hint="eastAsia"/>
        </w:rPr>
        <w:t>天津市医疗保障门诊特定疾病鉴定机构附加协议</w:t>
      </w:r>
      <w:bookmarkEnd w:id="0"/>
      <w:bookmarkEnd w:id="1"/>
      <w:bookmarkEnd w:id="2"/>
    </w:p>
    <w:p w:rsidR="003803C7" w:rsidRDefault="00AF7F3D" w:rsidP="000958D3">
      <w:pPr>
        <w:pStyle w:val="81"/>
        <w:spacing w:line="300" w:lineRule="auto"/>
        <w:rPr>
          <w:rFonts w:ascii="黑体" w:eastAsia="黑体"/>
        </w:rPr>
      </w:pPr>
      <w:r>
        <w:rPr>
          <w:rFonts w:hint="eastAsia"/>
        </w:rPr>
        <w:t>为进一步规范本市门诊特定疾病鉴定机构协议管理，根据《市医疗保障局市卫生健康委关于明确门诊特定疾病待遇资格鉴定管理有关问题的通知》</w:t>
      </w:r>
      <w:r>
        <w:rPr>
          <w:rFonts w:ascii="仿宋_GB2312" w:hAnsi="仿宋" w:hint="eastAsia"/>
        </w:rPr>
        <w:t>（</w:t>
      </w:r>
      <w:r>
        <w:rPr>
          <w:rFonts w:hint="eastAsia"/>
        </w:rPr>
        <w:t>津医保局发〔2019〕27号）和天津市基本医疗保险门诊特定疾病待遇资格鉴定管理办法》</w:t>
      </w:r>
      <w:r>
        <w:rPr>
          <w:rFonts w:ascii="仿宋_GB2312" w:hAnsi="仿宋" w:hint="eastAsia"/>
        </w:rPr>
        <w:t>（</w:t>
      </w:r>
      <w:r>
        <w:rPr>
          <w:rFonts w:hint="eastAsia"/>
        </w:rPr>
        <w:t>津医保局发〔2018〕57号）相关规定，甲乙双方签订《天津市医疗保障门诊特定疾病鉴定机构附加协议》。</w:t>
      </w:r>
    </w:p>
    <w:p w:rsidR="003803C7" w:rsidRDefault="00AF7F3D" w:rsidP="000958D3">
      <w:pPr>
        <w:pStyle w:val="81"/>
        <w:spacing w:line="300" w:lineRule="auto"/>
      </w:pPr>
      <w:r>
        <w:rPr>
          <w:rFonts w:ascii="黑体" w:eastAsia="黑体" w:hint="eastAsia"/>
        </w:rPr>
        <w:t xml:space="preserve">第一条  </w:t>
      </w:r>
      <w:r>
        <w:rPr>
          <w:rFonts w:hint="eastAsia"/>
        </w:rPr>
        <w:t>甲方应及时向乙方通报门诊特定疾病（以下简称门特病）工作的相关法规政策、经办规定、管理制度、操作流程及其变化情况，接受乙方咨询。</w:t>
      </w:r>
    </w:p>
    <w:p w:rsidR="003803C7" w:rsidRDefault="00AF7F3D" w:rsidP="000958D3">
      <w:pPr>
        <w:pStyle w:val="81"/>
        <w:spacing w:line="300" w:lineRule="auto"/>
        <w:rPr>
          <w:rFonts w:ascii="黑体" w:eastAsia="黑体"/>
        </w:rPr>
      </w:pPr>
      <w:r>
        <w:rPr>
          <w:rFonts w:hint="eastAsia"/>
        </w:rPr>
        <w:t>乙方应当按照医疗保障和卫生健康部门相关规定，为参保人员提供门特病待遇资格鉴定工作，具体承担的门特病病种以医疗保障部门确定结果为准。</w:t>
      </w:r>
    </w:p>
    <w:p w:rsidR="003803C7" w:rsidRDefault="00AF7F3D" w:rsidP="000958D3">
      <w:pPr>
        <w:pStyle w:val="81"/>
        <w:spacing w:line="300" w:lineRule="auto"/>
      </w:pPr>
      <w:r>
        <w:rPr>
          <w:rFonts w:ascii="黑体" w:eastAsia="黑体" w:hint="eastAsia"/>
        </w:rPr>
        <w:t>第二条</w:t>
      </w:r>
      <w:r>
        <w:t>门特病鉴定工作应当遵循标准科学、程序规范、管理严格、客观公正、高效便捷的原则</w:t>
      </w:r>
      <w:r>
        <w:rPr>
          <w:rFonts w:hint="eastAsia"/>
        </w:rPr>
        <w:t>。</w:t>
      </w:r>
    </w:p>
    <w:p w:rsidR="003803C7" w:rsidRDefault="00AF7F3D" w:rsidP="000958D3">
      <w:pPr>
        <w:pStyle w:val="81"/>
        <w:spacing w:line="300" w:lineRule="auto"/>
      </w:pPr>
      <w:r>
        <w:rPr>
          <w:rFonts w:ascii="黑体" w:eastAsia="黑体" w:hint="eastAsia"/>
        </w:rPr>
        <w:t xml:space="preserve">第三条  </w:t>
      </w:r>
      <w:r>
        <w:rPr>
          <w:rFonts w:hint="eastAsia"/>
        </w:rPr>
        <w:t>乙方开展</w:t>
      </w:r>
      <w:r>
        <w:t>门特病鉴定工作应当</w:t>
      </w:r>
      <w:r>
        <w:rPr>
          <w:rFonts w:hint="eastAsia"/>
        </w:rPr>
        <w:t>符合</w:t>
      </w:r>
      <w:r>
        <w:t>以下基本条件</w:t>
      </w:r>
      <w:r>
        <w:rPr>
          <w:rFonts w:hint="eastAsia"/>
        </w:rPr>
        <w:t>：</w:t>
      </w:r>
    </w:p>
    <w:p w:rsidR="003803C7" w:rsidRDefault="00AF7F3D" w:rsidP="000958D3">
      <w:pPr>
        <w:pStyle w:val="81"/>
        <w:spacing w:line="300" w:lineRule="auto"/>
      </w:pPr>
      <w:r>
        <w:rPr>
          <w:rFonts w:hint="eastAsia"/>
        </w:rPr>
        <w:t xml:space="preserve">1. </w:t>
      </w:r>
      <w:r>
        <w:t>具备相应门特病种的住院诊疗条件，相应科室有3名以上具有高级专业技术职称的临床医师</w:t>
      </w:r>
      <w:r>
        <w:rPr>
          <w:rFonts w:hint="eastAsia"/>
        </w:rPr>
        <w:t>。</w:t>
      </w:r>
    </w:p>
    <w:p w:rsidR="003803C7" w:rsidRDefault="00AF7F3D" w:rsidP="000958D3">
      <w:pPr>
        <w:pStyle w:val="81"/>
        <w:spacing w:line="300" w:lineRule="auto"/>
      </w:pPr>
      <w:r>
        <w:rPr>
          <w:rFonts w:hint="eastAsia"/>
        </w:rPr>
        <w:t>2.</w:t>
      </w:r>
      <w:r>
        <w:t xml:space="preserve"> 具备实施门特病鉴定工作的必要场所，安排专门工作人员，并按要求安装</w:t>
      </w:r>
      <w:r>
        <w:rPr>
          <w:rFonts w:hint="eastAsia"/>
        </w:rPr>
        <w:t>“</w:t>
      </w:r>
      <w:r>
        <w:t>互联网+</w:t>
      </w:r>
      <w:r>
        <w:rPr>
          <w:rFonts w:hint="eastAsia"/>
        </w:rPr>
        <w:t>”</w:t>
      </w:r>
      <w:r>
        <w:t>视频监控、人脸识别等监管设备</w:t>
      </w:r>
      <w:r>
        <w:rPr>
          <w:rFonts w:hint="eastAsia"/>
        </w:rPr>
        <w:t>。</w:t>
      </w:r>
    </w:p>
    <w:p w:rsidR="003803C7" w:rsidRDefault="00AF7F3D" w:rsidP="000958D3">
      <w:pPr>
        <w:pStyle w:val="81"/>
        <w:spacing w:line="300" w:lineRule="auto"/>
      </w:pPr>
      <w:r>
        <w:rPr>
          <w:rFonts w:hint="eastAsia"/>
        </w:rPr>
        <w:t>3.</w:t>
      </w:r>
      <w:r>
        <w:t xml:space="preserve"> 遵守医疗保险法律法规和协议管理的有关规定，愿意执行本市门特病鉴定管理规定</w:t>
      </w:r>
      <w:r>
        <w:rPr>
          <w:rFonts w:hint="eastAsia"/>
        </w:rPr>
        <w:t>。</w:t>
      </w:r>
    </w:p>
    <w:p w:rsidR="003803C7" w:rsidRDefault="00AF7F3D" w:rsidP="000958D3">
      <w:pPr>
        <w:pStyle w:val="81"/>
        <w:spacing w:line="300" w:lineRule="auto"/>
      </w:pPr>
      <w:r>
        <w:rPr>
          <w:rFonts w:hint="eastAsia"/>
        </w:rPr>
        <w:t>4.</w:t>
      </w:r>
      <w:r>
        <w:t xml:space="preserve"> 适应不同门特病种鉴定工作需要应当具备的其他条件</w:t>
      </w:r>
      <w:r>
        <w:rPr>
          <w:rFonts w:hint="eastAsia"/>
        </w:rPr>
        <w:t>。</w:t>
      </w:r>
    </w:p>
    <w:p w:rsidR="003803C7" w:rsidRDefault="00AF7F3D" w:rsidP="000958D3">
      <w:pPr>
        <w:pStyle w:val="81"/>
        <w:spacing w:line="300" w:lineRule="auto"/>
      </w:pPr>
      <w:r>
        <w:rPr>
          <w:rFonts w:ascii="黑体" w:eastAsia="黑体" w:hint="eastAsia"/>
        </w:rPr>
        <w:t xml:space="preserve">第四条  </w:t>
      </w:r>
      <w:r>
        <w:rPr>
          <w:rFonts w:hint="eastAsia"/>
        </w:rPr>
        <w:t>乙方</w:t>
      </w:r>
      <w:r>
        <w:t>应在本单位择优</w:t>
      </w:r>
      <w:r>
        <w:rPr>
          <w:rFonts w:hint="eastAsia"/>
        </w:rPr>
        <w:t>选择</w:t>
      </w:r>
      <w:r>
        <w:t>符合</w:t>
      </w:r>
      <w:r>
        <w:rPr>
          <w:rFonts w:hint="eastAsia"/>
        </w:rPr>
        <w:t>以下条件</w:t>
      </w:r>
      <w:r>
        <w:t>的医师作为门特病鉴定医师，</w:t>
      </w:r>
      <w:r>
        <w:rPr>
          <w:rFonts w:hint="eastAsia"/>
        </w:rPr>
        <w:t>并按要求向甲方</w:t>
      </w:r>
      <w:r>
        <w:t>备案</w:t>
      </w:r>
      <w:r>
        <w:rPr>
          <w:rFonts w:hint="eastAsia"/>
        </w:rPr>
        <w:t>。</w:t>
      </w:r>
    </w:p>
    <w:p w:rsidR="003803C7" w:rsidRDefault="00AF7F3D" w:rsidP="000958D3">
      <w:pPr>
        <w:pStyle w:val="81"/>
        <w:spacing w:line="300" w:lineRule="auto"/>
      </w:pPr>
      <w:r>
        <w:rPr>
          <w:rFonts w:hint="eastAsia"/>
        </w:rPr>
        <w:t>1.</w:t>
      </w:r>
      <w:r>
        <w:t xml:space="preserve"> 具有高级专业技术职称，并在所属医疗机构从事相应专业的临床诊疗工作</w:t>
      </w:r>
      <w:r>
        <w:rPr>
          <w:rFonts w:hint="eastAsia"/>
        </w:rPr>
        <w:t>。</w:t>
      </w:r>
    </w:p>
    <w:p w:rsidR="003803C7" w:rsidRDefault="00AF7F3D" w:rsidP="000958D3">
      <w:pPr>
        <w:pStyle w:val="81"/>
        <w:spacing w:line="300" w:lineRule="auto"/>
      </w:pPr>
      <w:r>
        <w:rPr>
          <w:rFonts w:hint="eastAsia"/>
        </w:rPr>
        <w:t>2.</w:t>
      </w:r>
      <w:r>
        <w:t xml:space="preserve"> 熟悉医疗保险门特病相关政策和鉴定标准</w:t>
      </w:r>
      <w:r>
        <w:rPr>
          <w:rFonts w:hint="eastAsia"/>
        </w:rPr>
        <w:t>。</w:t>
      </w:r>
    </w:p>
    <w:p w:rsidR="003803C7" w:rsidRDefault="00AF7F3D" w:rsidP="000958D3">
      <w:pPr>
        <w:pStyle w:val="81"/>
        <w:spacing w:line="300" w:lineRule="auto"/>
      </w:pPr>
      <w:r>
        <w:rPr>
          <w:rFonts w:hint="eastAsia"/>
        </w:rPr>
        <w:lastRenderedPageBreak/>
        <w:t>3.</w:t>
      </w:r>
      <w:r>
        <w:t xml:space="preserve"> 具有良好的职业道德，两年内无医疗保险违法违规处理记录</w:t>
      </w:r>
      <w:r>
        <w:rPr>
          <w:rFonts w:hint="eastAsia"/>
        </w:rPr>
        <w:t>。</w:t>
      </w:r>
    </w:p>
    <w:p w:rsidR="003803C7" w:rsidRDefault="00AF7F3D" w:rsidP="000958D3">
      <w:pPr>
        <w:pStyle w:val="81"/>
        <w:spacing w:line="300" w:lineRule="auto"/>
      </w:pPr>
      <w:r>
        <w:rPr>
          <w:rFonts w:ascii="黑体" w:eastAsia="黑体" w:hint="eastAsia"/>
        </w:rPr>
        <w:t>第五条</w:t>
      </w:r>
      <w:r>
        <w:rPr>
          <w:rFonts w:hint="eastAsia"/>
        </w:rPr>
        <w:t xml:space="preserve">  乙方</w:t>
      </w:r>
      <w:r>
        <w:t>应当建立健全鉴定工作管理制度，认真审核申请人提交的病历等医学材料，严格把握鉴定标准，坚持实名制鉴定管理，杜绝冒名顶替等虚假鉴定行为，鉴定中心及其鉴定医师应对鉴定结论终身负责</w:t>
      </w:r>
      <w:r>
        <w:rPr>
          <w:rFonts w:hint="eastAsia"/>
        </w:rPr>
        <w:t>。</w:t>
      </w:r>
    </w:p>
    <w:p w:rsidR="003803C7" w:rsidRDefault="00AF7F3D" w:rsidP="000958D3">
      <w:pPr>
        <w:pStyle w:val="81"/>
        <w:spacing w:line="300" w:lineRule="auto"/>
      </w:pPr>
      <w:r>
        <w:rPr>
          <w:rFonts w:ascii="黑体" w:eastAsia="黑体" w:hint="eastAsia"/>
        </w:rPr>
        <w:t>第六条</w:t>
      </w:r>
      <w:r>
        <w:rPr>
          <w:rFonts w:hint="eastAsia"/>
        </w:rPr>
        <w:t xml:space="preserve">  乙方应加强对鉴定场地的规范化管理，可充分利用现有诊室资源开展鉴定，积极探索利用视频监控、人脸识别等技术实现实名鉴定。有条件的可以设立独立的鉴定场所。</w:t>
      </w:r>
    </w:p>
    <w:p w:rsidR="003803C7" w:rsidRDefault="00AF7F3D" w:rsidP="000958D3">
      <w:pPr>
        <w:pStyle w:val="81"/>
        <w:spacing w:line="300" w:lineRule="auto"/>
      </w:pPr>
      <w:r>
        <w:rPr>
          <w:rFonts w:ascii="黑体" w:eastAsia="黑体" w:hint="eastAsia"/>
        </w:rPr>
        <w:t>第七条</w:t>
      </w:r>
      <w:r>
        <w:rPr>
          <w:rFonts w:hint="eastAsia"/>
        </w:rPr>
        <w:t xml:space="preserve">  乙方</w:t>
      </w:r>
      <w:r>
        <w:t>收到参保人员鉴定申请后，可根据本单位鉴定场地、鉴定医师等实际情况和各类门特病鉴定的实际需要，自行确定鉴定工作安排</w:t>
      </w:r>
      <w:r>
        <w:rPr>
          <w:rFonts w:hint="eastAsia"/>
        </w:rPr>
        <w:t>。</w:t>
      </w:r>
    </w:p>
    <w:p w:rsidR="003803C7" w:rsidRPr="000958D3" w:rsidRDefault="00AF7F3D" w:rsidP="000958D3">
      <w:pPr>
        <w:pStyle w:val="81"/>
        <w:spacing w:line="300" w:lineRule="auto"/>
        <w:rPr>
          <w:w w:val="98"/>
        </w:rPr>
      </w:pPr>
      <w:r>
        <w:rPr>
          <w:rFonts w:ascii="黑体" w:eastAsia="黑体" w:hint="eastAsia"/>
        </w:rPr>
        <w:t>第八条</w:t>
      </w:r>
      <w:r w:rsidRPr="000958D3">
        <w:rPr>
          <w:rFonts w:hint="eastAsia"/>
          <w:w w:val="98"/>
        </w:rPr>
        <w:t>乙方按照规定对门特病申请人员进行鉴定时，可指定医师做好检查、化验等工作。抽取一定数量（原则上不少于3人）的鉴定医师召开鉴定会议，分析病情，做出鉴定结论。</w:t>
      </w:r>
      <w:r w:rsidRPr="000958D3">
        <w:rPr>
          <w:w w:val="98"/>
        </w:rPr>
        <w:t>做出鉴定结论的时间自现场鉴定之日起不超过10个工作日</w:t>
      </w:r>
      <w:r w:rsidRPr="000958D3">
        <w:rPr>
          <w:rFonts w:hint="eastAsia"/>
          <w:w w:val="98"/>
        </w:rPr>
        <w:t>。</w:t>
      </w:r>
    </w:p>
    <w:p w:rsidR="003803C7" w:rsidRDefault="00AF7F3D" w:rsidP="000958D3">
      <w:pPr>
        <w:pStyle w:val="81"/>
        <w:spacing w:line="300" w:lineRule="auto"/>
      </w:pPr>
      <w:r>
        <w:rPr>
          <w:rFonts w:ascii="黑体" w:eastAsia="黑体" w:hint="eastAsia"/>
        </w:rPr>
        <w:t>第九条</w:t>
      </w:r>
      <w:r>
        <w:rPr>
          <w:rFonts w:hint="eastAsia"/>
        </w:rPr>
        <w:t xml:space="preserve">  乙方对病史清晰、诊断明确、依据充分的鉴定申请人，可根据实际情况简化鉴定程序，凭已有的病历及相关检查检验结果，依据鉴定标准及时作出鉴定结论。</w:t>
      </w:r>
    </w:p>
    <w:p w:rsidR="003803C7" w:rsidRDefault="00AF7F3D" w:rsidP="000958D3">
      <w:pPr>
        <w:pStyle w:val="81"/>
        <w:spacing w:line="300" w:lineRule="auto"/>
      </w:pPr>
      <w:r>
        <w:rPr>
          <w:rFonts w:ascii="黑体" w:eastAsia="黑体" w:hint="eastAsia"/>
        </w:rPr>
        <w:t>第十条</w:t>
      </w:r>
      <w:r>
        <w:rPr>
          <w:rFonts w:hint="eastAsia"/>
        </w:rPr>
        <w:t xml:space="preserve">  参保人员提出偏瘫门特病鉴定申请，需在原发脑血管疾病发病住院起，经系统治疗满</w:t>
      </w:r>
      <w:r>
        <w:t>6</w:t>
      </w:r>
      <w:r>
        <w:rPr>
          <w:rFonts w:hint="eastAsia"/>
        </w:rPr>
        <w:t>个月后，经鉴定符合偏瘫门特标准的，享受门特医保报销待遇。参保人员如因病情严重、门诊医疗费用额度较大，可在发病起</w:t>
      </w:r>
      <w:r>
        <w:t>6</w:t>
      </w:r>
      <w:r>
        <w:rPr>
          <w:rFonts w:hint="eastAsia"/>
        </w:rPr>
        <w:t>个月内申请临时鉴定，达到偏瘫门特病标准的，乙方可为其办理临时门特病登记，临时鉴定结论有效期最长</w:t>
      </w:r>
      <w:r>
        <w:t>6</w:t>
      </w:r>
      <w:r>
        <w:rPr>
          <w:rFonts w:hint="eastAsia"/>
        </w:rPr>
        <w:t>个月。</w:t>
      </w:r>
    </w:p>
    <w:p w:rsidR="003803C7" w:rsidRDefault="00AF7F3D" w:rsidP="000958D3">
      <w:pPr>
        <w:pStyle w:val="81"/>
        <w:spacing w:line="300" w:lineRule="auto"/>
      </w:pPr>
      <w:r>
        <w:t>偏瘫临时登记的参保患者，在原发脑血管疾病发病住院起，经系统治疗满6个月后，可申请进行长期登记。经鉴定符合偏瘫门特鉴定标准的，</w:t>
      </w:r>
      <w:r>
        <w:rPr>
          <w:rFonts w:hint="eastAsia"/>
        </w:rPr>
        <w:t>乙方</w:t>
      </w:r>
      <w:r>
        <w:t>可将临时登记修改为长期登记</w:t>
      </w:r>
      <w:r>
        <w:rPr>
          <w:rFonts w:hint="eastAsia"/>
        </w:rPr>
        <w:t>。</w:t>
      </w:r>
    </w:p>
    <w:p w:rsidR="003803C7" w:rsidRDefault="00AF7F3D" w:rsidP="000958D3">
      <w:pPr>
        <w:pStyle w:val="81"/>
        <w:spacing w:line="300" w:lineRule="auto"/>
      </w:pPr>
      <w:r>
        <w:t>参保患者申请临时鉴定登记时，经鉴定会议认定为病情不能恢复的，鉴定机构可直接进行长期登记，无需进行临时登记</w:t>
      </w:r>
      <w:r>
        <w:rPr>
          <w:rFonts w:hint="eastAsia"/>
        </w:rPr>
        <w:t>。</w:t>
      </w:r>
    </w:p>
    <w:p w:rsidR="003803C7" w:rsidRDefault="00AF7F3D" w:rsidP="000958D3">
      <w:pPr>
        <w:pStyle w:val="81"/>
        <w:spacing w:line="300" w:lineRule="auto"/>
      </w:pPr>
      <w:r>
        <w:rPr>
          <w:rFonts w:ascii="黑体" w:eastAsia="黑体" w:hint="eastAsia"/>
        </w:rPr>
        <w:t>第十一条</w:t>
      </w:r>
      <w:r>
        <w:t>鉴定结论作出后，由</w:t>
      </w:r>
      <w:r>
        <w:rPr>
          <w:rFonts w:hint="eastAsia"/>
        </w:rPr>
        <w:t>乙方上传至医保</w:t>
      </w:r>
      <w:r>
        <w:t>信息系统。</w:t>
      </w:r>
    </w:p>
    <w:p w:rsidR="003803C7" w:rsidRDefault="00AF7F3D" w:rsidP="000958D3">
      <w:pPr>
        <w:pStyle w:val="81"/>
        <w:spacing w:line="300" w:lineRule="auto"/>
      </w:pPr>
      <w:r>
        <w:rPr>
          <w:rFonts w:ascii="黑体" w:eastAsia="黑体" w:hint="eastAsia"/>
        </w:rPr>
        <w:t>第十二条</w:t>
      </w:r>
      <w:r>
        <w:rPr>
          <w:rFonts w:hint="eastAsia"/>
        </w:rPr>
        <w:t xml:space="preserve">  乙方</w:t>
      </w:r>
      <w:r>
        <w:t>要加强对门特病鉴定材料的管理，坚持实行电子化存储模式，</w:t>
      </w:r>
      <w:r>
        <w:lastRenderedPageBreak/>
        <w:t>实现门特病鉴定档案电子化长期保存，并按月报送至</w:t>
      </w:r>
      <w:r>
        <w:rPr>
          <w:rFonts w:hint="eastAsia"/>
        </w:rPr>
        <w:t>属地</w:t>
      </w:r>
      <w:r>
        <w:t>医保分中心，分中心需单独电子化管理建档。对于有条件存储纸质鉴定材料的，</w:t>
      </w:r>
      <w:r>
        <w:rPr>
          <w:rFonts w:hint="eastAsia"/>
        </w:rPr>
        <w:t>乙方</w:t>
      </w:r>
      <w:r>
        <w:t>可参照病案管理有关规定存储门特病鉴定档案，保管期限不低于2年</w:t>
      </w:r>
      <w:r>
        <w:rPr>
          <w:rFonts w:hint="eastAsia"/>
        </w:rPr>
        <w:t>。</w:t>
      </w:r>
    </w:p>
    <w:p w:rsidR="003803C7" w:rsidRDefault="00AF7F3D" w:rsidP="000958D3">
      <w:pPr>
        <w:pStyle w:val="81"/>
        <w:spacing w:line="300" w:lineRule="auto"/>
      </w:pPr>
      <w:r>
        <w:rPr>
          <w:rFonts w:ascii="黑体" w:eastAsia="黑体" w:hint="eastAsia"/>
        </w:rPr>
        <w:t>第十三条</w:t>
      </w:r>
      <w:r>
        <w:rPr>
          <w:rFonts w:hint="eastAsia"/>
        </w:rPr>
        <w:t xml:space="preserve">  参保人员在乙方进行门特病鉴定所发生的医疗费用，按门特病报销政策执行。乙方须通过医保结算系统实时将门特病鉴定相关医疗费向甲方申报，即时结清参保人员个人负担的医疗费。</w:t>
      </w:r>
    </w:p>
    <w:p w:rsidR="003803C7" w:rsidRDefault="00AF7F3D" w:rsidP="000958D3">
      <w:pPr>
        <w:pStyle w:val="81"/>
        <w:spacing w:line="300" w:lineRule="auto"/>
      </w:pPr>
      <w:r>
        <w:rPr>
          <w:rFonts w:ascii="黑体" w:eastAsia="黑体" w:hint="eastAsia"/>
        </w:rPr>
        <w:t>第十四条</w:t>
      </w:r>
      <w:r>
        <w:rPr>
          <w:rFonts w:hint="eastAsia"/>
        </w:rPr>
        <w:t xml:space="preserve">  糖尿病、偏瘫、肺心病等病种的鉴定，甲方按照人头付费方式向乙方支付鉴定费用，标准参照现行有效政策执行，并依据实际执行情况做适当调整。其他病种的鉴定，甲方按照项目付费方式向乙方支付鉴定费用。甲方按月支付乙方申报的鉴定费用，不留取质量保证金。</w:t>
      </w:r>
    </w:p>
    <w:p w:rsidR="003803C7" w:rsidRDefault="00AF7F3D" w:rsidP="000958D3">
      <w:pPr>
        <w:pStyle w:val="81"/>
        <w:spacing w:line="300" w:lineRule="auto"/>
      </w:pPr>
      <w:r>
        <w:rPr>
          <w:rFonts w:ascii="黑体" w:eastAsia="黑体" w:hint="eastAsia"/>
        </w:rPr>
        <w:t xml:space="preserve">第十五条 </w:t>
      </w:r>
      <w:r>
        <w:rPr>
          <w:rFonts w:hint="eastAsia"/>
        </w:rPr>
        <w:t xml:space="preserve"> 甲方将乙方门特病鉴定管理工作纳入日常协议管理和绩效考核。甲方可会同有关行政主管部门和相关行业专家，对乙方提供的服务进行监督、核查及评估。</w:t>
      </w:r>
    </w:p>
    <w:p w:rsidR="003803C7" w:rsidRDefault="00AF7F3D" w:rsidP="000958D3">
      <w:pPr>
        <w:pStyle w:val="81"/>
        <w:spacing w:line="300" w:lineRule="auto"/>
      </w:pPr>
      <w:r>
        <w:rPr>
          <w:rFonts w:ascii="黑体" w:eastAsia="黑体" w:hint="eastAsia"/>
        </w:rPr>
        <w:t xml:space="preserve">第十六条  </w:t>
      </w:r>
      <w:r>
        <w:rPr>
          <w:rFonts w:hint="eastAsia"/>
        </w:rPr>
        <w:t>乙方及乙方鉴定医师应当遵守临床诊疗规范，严格遵守鉴定标准，做出合理准确的鉴定结论，不得发生以下情形：</w:t>
      </w:r>
    </w:p>
    <w:p w:rsidR="003803C7" w:rsidRDefault="00AF7F3D" w:rsidP="000958D3">
      <w:pPr>
        <w:pStyle w:val="81"/>
        <w:spacing w:line="300" w:lineRule="auto"/>
      </w:pPr>
      <w:r>
        <w:rPr>
          <w:rFonts w:hint="eastAsia"/>
        </w:rPr>
        <w:t>1. 未核实身份信息，导致不符合鉴定标准的参保人员获得门特病待遇资格。</w:t>
      </w:r>
    </w:p>
    <w:p w:rsidR="003803C7" w:rsidRDefault="00AF7F3D" w:rsidP="000958D3">
      <w:pPr>
        <w:pStyle w:val="81"/>
        <w:spacing w:line="300" w:lineRule="auto"/>
      </w:pPr>
      <w:r>
        <w:rPr>
          <w:rFonts w:hint="eastAsia"/>
        </w:rPr>
        <w:t>2. 通过降低诊断标准、虚构检测指标等方式，导致不符合鉴定标准的参保人员获得门特病待遇资格。</w:t>
      </w:r>
    </w:p>
    <w:p w:rsidR="003803C7" w:rsidRDefault="00AF7F3D" w:rsidP="000958D3">
      <w:pPr>
        <w:pStyle w:val="81"/>
        <w:spacing w:line="300" w:lineRule="auto"/>
      </w:pPr>
      <w:r>
        <w:rPr>
          <w:rFonts w:hint="eastAsia"/>
        </w:rPr>
        <w:t>3. 以年龄、费用标准等为由拒绝为参保人员提供门特病鉴定服务。</w:t>
      </w:r>
    </w:p>
    <w:p w:rsidR="003803C7" w:rsidRDefault="00AF7F3D" w:rsidP="000958D3">
      <w:pPr>
        <w:pStyle w:val="81"/>
        <w:spacing w:line="300" w:lineRule="auto"/>
      </w:pPr>
      <w:r>
        <w:rPr>
          <w:rFonts w:hint="eastAsia"/>
        </w:rPr>
        <w:t>4. 向参保人员超标准收取门特病鉴定费用。</w:t>
      </w:r>
    </w:p>
    <w:p w:rsidR="003803C7" w:rsidRDefault="00AF7F3D" w:rsidP="000958D3">
      <w:pPr>
        <w:pStyle w:val="81"/>
        <w:spacing w:line="300" w:lineRule="auto"/>
        <w:rPr>
          <w:rFonts w:ascii="Times New Roman" w:hAnsi="Times New Roman"/>
          <w:spacing w:val="2"/>
          <w:szCs w:val="21"/>
        </w:rPr>
      </w:pPr>
      <w:r>
        <w:rPr>
          <w:rFonts w:ascii="黑体" w:eastAsia="黑体" w:hint="eastAsia"/>
        </w:rPr>
        <w:t>第十七条</w:t>
      </w:r>
      <w:r>
        <w:rPr>
          <w:rFonts w:hint="eastAsia"/>
        </w:rPr>
        <w:t xml:space="preserve">  乙方或相关责任部门、责任人在开展门特病鉴定工作中存在违反法律法规规定、医保服务协议主协议或本附加协议约定情形的，按照医保服务协议主协议相关条款进行处理。</w:t>
      </w:r>
    </w:p>
    <w:p w:rsidR="003803C7" w:rsidRDefault="00AF7F3D" w:rsidP="000958D3">
      <w:pPr>
        <w:pStyle w:val="81"/>
        <w:spacing w:line="300" w:lineRule="auto"/>
      </w:pPr>
      <w:r>
        <w:rPr>
          <w:rFonts w:ascii="黑体" w:eastAsia="黑体" w:hint="eastAsia"/>
        </w:rPr>
        <w:t>第十八条</w:t>
      </w:r>
      <w:r>
        <w:rPr>
          <w:rFonts w:hint="eastAsia"/>
        </w:rPr>
        <w:t xml:space="preserve">  本附加协议有效期与主协议保持一致。</w:t>
      </w:r>
    </w:p>
    <w:p w:rsidR="003803C7" w:rsidRDefault="00AF7F3D" w:rsidP="000958D3">
      <w:pPr>
        <w:pStyle w:val="81"/>
        <w:spacing w:line="300" w:lineRule="auto"/>
      </w:pPr>
      <w:r>
        <w:rPr>
          <w:rFonts w:hint="eastAsia"/>
        </w:rPr>
        <w:t xml:space="preserve">甲方（公章）：            </w:t>
      </w:r>
      <w:r>
        <w:rPr>
          <w:rFonts w:hint="eastAsia"/>
        </w:rPr>
        <w:tab/>
      </w:r>
      <w:r>
        <w:rPr>
          <w:rFonts w:hint="eastAsia"/>
        </w:rPr>
        <w:tab/>
      </w:r>
      <w:r>
        <w:rPr>
          <w:rFonts w:hint="eastAsia"/>
        </w:rPr>
        <w:tab/>
      </w:r>
      <w:r>
        <w:rPr>
          <w:rFonts w:hint="eastAsia"/>
        </w:rPr>
        <w:tab/>
        <w:t xml:space="preserve">乙方（公章）：  </w:t>
      </w:r>
    </w:p>
    <w:p w:rsidR="003803C7" w:rsidRDefault="00AF7F3D" w:rsidP="000958D3">
      <w:pPr>
        <w:pStyle w:val="81"/>
        <w:spacing w:line="300" w:lineRule="auto"/>
      </w:pPr>
      <w:r>
        <w:rPr>
          <w:rFonts w:hint="eastAsia"/>
        </w:rPr>
        <w:t xml:space="preserve">法定代表人或负责人（签章）：     </w:t>
      </w:r>
      <w:r>
        <w:rPr>
          <w:rFonts w:hint="eastAsia"/>
        </w:rPr>
        <w:tab/>
        <w:t>法定代表人或负责人（签章）：</w:t>
      </w:r>
    </w:p>
    <w:p w:rsidR="003803C7" w:rsidRDefault="00AF7F3D" w:rsidP="0068594B">
      <w:pPr>
        <w:pStyle w:val="81"/>
        <w:spacing w:line="300" w:lineRule="auto"/>
      </w:pPr>
      <w:r>
        <w:rPr>
          <w:rFonts w:hint="eastAsia"/>
        </w:rPr>
        <w:t xml:space="preserve">        年    月    日 </w:t>
      </w:r>
      <w:r>
        <w:rPr>
          <w:rFonts w:hint="eastAsia"/>
        </w:rPr>
        <w:tab/>
      </w:r>
      <w:r>
        <w:rPr>
          <w:rFonts w:hint="eastAsia"/>
        </w:rPr>
        <w:tab/>
      </w:r>
      <w:r>
        <w:rPr>
          <w:rFonts w:hint="eastAsia"/>
        </w:rPr>
        <w:tab/>
      </w:r>
      <w:r>
        <w:rPr>
          <w:rFonts w:hint="eastAsia"/>
        </w:rPr>
        <w:tab/>
        <w:t xml:space="preserve">        年    月    日  </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58A" w:rsidRDefault="00B6558A">
      <w:r>
        <w:separator/>
      </w:r>
    </w:p>
  </w:endnote>
  <w:endnote w:type="continuationSeparator" w:id="1">
    <w:p w:rsidR="00B6558A" w:rsidRDefault="00B655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D10AD6">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68594B">
      <w:rPr>
        <w:rStyle w:val="ad"/>
        <w:rFonts w:ascii="Times New Roman" w:hAnsi="Times New Roman"/>
        <w:noProof/>
        <w:sz w:val="26"/>
        <w:szCs w:val="26"/>
      </w:rPr>
      <w:t>1</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58A" w:rsidRDefault="00B6558A">
      <w:r>
        <w:separator/>
      </w:r>
    </w:p>
  </w:footnote>
  <w:footnote w:type="continuationSeparator" w:id="1">
    <w:p w:rsidR="00B6558A" w:rsidRDefault="00B6558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6CE"/>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8B3"/>
    <w:rsid w:val="00201E57"/>
    <w:rsid w:val="00205919"/>
    <w:rsid w:val="00205BCC"/>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B5B25"/>
    <w:rsid w:val="003C1C0A"/>
    <w:rsid w:val="003C3164"/>
    <w:rsid w:val="003C4663"/>
    <w:rsid w:val="003C5AEB"/>
    <w:rsid w:val="003D10CB"/>
    <w:rsid w:val="003D386D"/>
    <w:rsid w:val="003D64AD"/>
    <w:rsid w:val="003D7B89"/>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6045"/>
    <w:rsid w:val="00437B19"/>
    <w:rsid w:val="004450BE"/>
    <w:rsid w:val="004479A1"/>
    <w:rsid w:val="00450A5E"/>
    <w:rsid w:val="00456407"/>
    <w:rsid w:val="0046341C"/>
    <w:rsid w:val="00466289"/>
    <w:rsid w:val="00466D12"/>
    <w:rsid w:val="00467D78"/>
    <w:rsid w:val="00471E3D"/>
    <w:rsid w:val="004726EA"/>
    <w:rsid w:val="00474E2E"/>
    <w:rsid w:val="00477DC3"/>
    <w:rsid w:val="00487145"/>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65E18"/>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E4ABC"/>
    <w:rsid w:val="005F19F6"/>
    <w:rsid w:val="005F2740"/>
    <w:rsid w:val="005F4ED9"/>
    <w:rsid w:val="005F5A89"/>
    <w:rsid w:val="005F7470"/>
    <w:rsid w:val="005F7BFE"/>
    <w:rsid w:val="0060055A"/>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8594B"/>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B77E9"/>
    <w:rsid w:val="006C334B"/>
    <w:rsid w:val="006C61F6"/>
    <w:rsid w:val="006C7A2D"/>
    <w:rsid w:val="006C7CA7"/>
    <w:rsid w:val="006D15CC"/>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6618"/>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0D22"/>
    <w:rsid w:val="007C1B80"/>
    <w:rsid w:val="007C1F23"/>
    <w:rsid w:val="007C3317"/>
    <w:rsid w:val="007C3BEC"/>
    <w:rsid w:val="007C5871"/>
    <w:rsid w:val="007C75F2"/>
    <w:rsid w:val="007D22E5"/>
    <w:rsid w:val="007D4EE3"/>
    <w:rsid w:val="007D76B5"/>
    <w:rsid w:val="007D7902"/>
    <w:rsid w:val="007D7F46"/>
    <w:rsid w:val="007E3BE4"/>
    <w:rsid w:val="007F565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53BD2"/>
    <w:rsid w:val="00854A6A"/>
    <w:rsid w:val="008553A8"/>
    <w:rsid w:val="00862793"/>
    <w:rsid w:val="0086782E"/>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C7262"/>
    <w:rsid w:val="009D3D90"/>
    <w:rsid w:val="009D664F"/>
    <w:rsid w:val="009D6CD5"/>
    <w:rsid w:val="009D7D24"/>
    <w:rsid w:val="009E088E"/>
    <w:rsid w:val="009E2607"/>
    <w:rsid w:val="009E71E6"/>
    <w:rsid w:val="009F18D2"/>
    <w:rsid w:val="009F201C"/>
    <w:rsid w:val="009F5971"/>
    <w:rsid w:val="009F5EE8"/>
    <w:rsid w:val="009F61D7"/>
    <w:rsid w:val="009F7D7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577C"/>
    <w:rsid w:val="00AF7F3D"/>
    <w:rsid w:val="00B011CE"/>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58A"/>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464C"/>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0AD6"/>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29D8"/>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7465"/>
    <w:rsid w:val="00E35901"/>
    <w:rsid w:val="00E41DD4"/>
    <w:rsid w:val="00E429DB"/>
    <w:rsid w:val="00E43526"/>
    <w:rsid w:val="00E47D87"/>
    <w:rsid w:val="00E5119E"/>
    <w:rsid w:val="00E56351"/>
    <w:rsid w:val="00E56625"/>
    <w:rsid w:val="00E57C1A"/>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33D0F"/>
    <w:rsid w:val="00F407F8"/>
    <w:rsid w:val="00F40C3C"/>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37</cp:revision>
  <cp:lastPrinted>2023-04-02T04:12:00Z</cp:lastPrinted>
  <dcterms:created xsi:type="dcterms:W3CDTF">2023-04-02T02:15:00Z</dcterms:created>
  <dcterms:modified xsi:type="dcterms:W3CDTF">2024-01-30T10:12:00Z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