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88" w:lineRule="exact"/>
        <w:textAlignment w:val="auto"/>
        <w:rPr>
          <w:rFonts w:hint="eastAsia" w:ascii="方正黑体_GBK" w:hAnsi="方正黑体_GBK" w:eastAsia="方正黑体_GBK" w:cs="方正黑体_GBK"/>
          <w:color w:val="auto"/>
          <w:sz w:val="30"/>
          <w:szCs w:val="30"/>
          <w:lang w:val="en" w:eastAsia="zh-CN"/>
        </w:rPr>
      </w:pPr>
    </w:p>
    <w:p>
      <w:pPr>
        <w:pStyle w:val="10"/>
        <w:spacing w:before="0" w:beforeAutospacing="0" w:after="0" w:afterAutospacing="0"/>
        <w:ind w:firstLine="529" w:firstLineChars="189"/>
        <w:contextualSpacing/>
        <w:jc w:val="both"/>
        <w:rPr>
          <w:rFonts w:hint="eastAsia" w:asciiTheme="minorEastAsia" w:hAnsiTheme="minorEastAsia" w:eastAsiaTheme="minorEastAsia"/>
          <w:color w:val="auto"/>
          <w:sz w:val="28"/>
          <w:szCs w:val="28"/>
        </w:rPr>
      </w:pPr>
    </w:p>
    <w:p>
      <w:pPr>
        <w:pStyle w:val="10"/>
        <w:spacing w:before="0" w:beforeAutospacing="0" w:after="0" w:afterAutospacing="0"/>
        <w:ind w:firstLine="529" w:firstLineChars="189"/>
        <w:contextualSpacing/>
        <w:jc w:val="both"/>
        <w:rPr>
          <w:rFonts w:hint="eastAsia" w:asciiTheme="minorEastAsia" w:hAnsiTheme="minorEastAsia" w:eastAsiaTheme="minorEastAsia"/>
          <w:color w:val="auto"/>
          <w:sz w:val="28"/>
          <w:szCs w:val="28"/>
        </w:rPr>
      </w:pPr>
    </w:p>
    <w:p>
      <w:pPr>
        <w:pStyle w:val="3"/>
        <w:pageBreakBefore w:val="0"/>
        <w:kinsoku/>
        <w:wordWrap/>
        <w:overflowPunct/>
        <w:topLinePunct w:val="0"/>
        <w:autoSpaceDE/>
        <w:autoSpaceDN/>
        <w:bidi w:val="0"/>
        <w:snapToGrid/>
        <w:spacing w:before="0" w:after="0" w:line="588" w:lineRule="exact"/>
        <w:jc w:val="center"/>
        <w:textAlignment w:val="auto"/>
        <w:rPr>
          <w:rFonts w:hint="eastAsia" w:ascii="方正小标宋_GBK" w:hAnsi="方正小标宋_GBK" w:eastAsia="方正小标宋_GBK" w:cs="方正小标宋_GBK"/>
          <w:b w:val="0"/>
          <w:bCs w:val="0"/>
          <w:color w:val="auto"/>
          <w:sz w:val="40"/>
          <w:szCs w:val="36"/>
        </w:rPr>
      </w:pPr>
      <w:r>
        <w:rPr>
          <w:rFonts w:hint="eastAsia" w:ascii="方正小标宋_GBK" w:hAnsi="方正小标宋_GBK" w:eastAsia="方正小标宋_GBK" w:cs="方正小标宋_GBK"/>
          <w:b w:val="0"/>
          <w:bCs w:val="0"/>
          <w:color w:val="auto"/>
          <w:sz w:val="40"/>
          <w:szCs w:val="36"/>
        </w:rPr>
        <w:t>政府和社会资本合作项目特许经营方案编写大纲</w:t>
      </w:r>
    </w:p>
    <w:p>
      <w:pPr>
        <w:pStyle w:val="10"/>
        <w:ind w:firstLine="0" w:firstLineChars="0"/>
        <w:contextualSpacing/>
        <w:jc w:val="center"/>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2024年版</w:t>
      </w:r>
      <w:r>
        <w:rPr>
          <w:rFonts w:hint="eastAsia" w:ascii="Times New Roman" w:hAnsi="Times New Roman" w:eastAsia="方正楷体_GBK" w:cs="Times New Roman"/>
          <w:color w:val="auto"/>
          <w:sz w:val="32"/>
          <w:szCs w:val="32"/>
          <w:lang w:val="en-US" w:eastAsia="zh-CN"/>
        </w:rPr>
        <w:t>，征求意见稿</w:t>
      </w:r>
      <w:r>
        <w:rPr>
          <w:rFonts w:hint="default" w:ascii="Times New Roman" w:hAnsi="Times New Roman" w:eastAsia="方正楷体_GBK" w:cs="Times New Roman"/>
          <w:color w:val="auto"/>
          <w:sz w:val="32"/>
          <w:szCs w:val="32"/>
          <w:lang w:val="en-US" w:eastAsia="zh-CN"/>
        </w:rPr>
        <w:t>）</w:t>
      </w:r>
    </w:p>
    <w:p>
      <w:pPr>
        <w:pStyle w:val="2"/>
        <w:pageBreakBefore w:val="0"/>
        <w:kinsoku/>
        <w:wordWrap/>
        <w:overflowPunct/>
        <w:topLinePunct w:val="0"/>
        <w:autoSpaceDE/>
        <w:autoSpaceDN/>
        <w:bidi w:val="0"/>
        <w:snapToGrid/>
        <w:spacing w:before="0" w:after="0" w:line="588" w:lineRule="exact"/>
        <w:contextualSpacing/>
        <w:jc w:val="center"/>
        <w:textAlignment w:val="auto"/>
        <w:rPr>
          <w:rFonts w:ascii="黑体" w:hAnsi="黑体" w:eastAsia="黑体"/>
          <w:b w:val="0"/>
          <w:color w:val="auto"/>
          <w:sz w:val="32"/>
        </w:rPr>
      </w:pPr>
      <w:r>
        <w:rPr>
          <w:rFonts w:ascii="黑体" w:hAnsi="黑体" w:eastAsia="黑体"/>
          <w:b w:val="0"/>
          <w:color w:val="auto"/>
          <w:sz w:val="32"/>
        </w:rPr>
        <w:t>第一部分</w:t>
      </w:r>
      <w:r>
        <w:rPr>
          <w:rFonts w:hint="eastAsia" w:ascii="黑体" w:hAnsi="黑体" w:eastAsia="黑体"/>
          <w:b w:val="0"/>
          <w:color w:val="auto"/>
          <w:sz w:val="32"/>
        </w:rPr>
        <w:t xml:space="preserve"> </w:t>
      </w:r>
      <w:r>
        <w:rPr>
          <w:rFonts w:ascii="黑体" w:hAnsi="黑体" w:eastAsia="黑体"/>
          <w:b w:val="0"/>
          <w:color w:val="auto"/>
          <w:sz w:val="32"/>
        </w:rPr>
        <w:t xml:space="preserve"> 概述</w:t>
      </w:r>
    </w:p>
    <w:p>
      <w:pPr>
        <w:pStyle w:val="3"/>
        <w:adjustRightInd/>
        <w:spacing w:before="0" w:after="0" w:line="588" w:lineRule="exact"/>
        <w:ind w:firstLine="562" w:firstLineChars="200"/>
        <w:rPr>
          <w:rFonts w:ascii="Cambria" w:hAnsi="Cambria" w:eastAsia="宋体"/>
          <w:color w:val="auto"/>
          <w:sz w:val="28"/>
          <w:szCs w:val="32"/>
        </w:rPr>
      </w:pPr>
      <w:r>
        <w:rPr>
          <w:rFonts w:hint="default" w:ascii="Cambria" w:hAnsi="Cambria" w:eastAsia="宋体"/>
          <w:color w:val="auto"/>
          <w:sz w:val="28"/>
          <w:szCs w:val="32"/>
        </w:rPr>
        <w:t>一</w:t>
      </w:r>
      <w:r>
        <w:rPr>
          <w:rFonts w:hint="default" w:ascii="Cambria" w:hAnsi="Cambria" w:eastAsia="宋体"/>
          <w:color w:val="auto"/>
          <w:sz w:val="28"/>
          <w:szCs w:val="32"/>
          <w:lang w:eastAsia="zh-CN"/>
        </w:rPr>
        <w:t>、</w:t>
      </w:r>
      <w:r>
        <w:rPr>
          <w:rFonts w:hint="default" w:ascii="Cambria" w:hAnsi="Cambria" w:eastAsia="宋体"/>
          <w:color w:val="auto"/>
          <w:sz w:val="28"/>
          <w:szCs w:val="32"/>
        </w:rPr>
        <w:t>项目概况</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rPr>
      </w:pPr>
      <w:r>
        <w:rPr>
          <w:rFonts w:asciiTheme="minorEastAsia" w:hAnsiTheme="minorEastAsia" w:eastAsiaTheme="minorEastAsia"/>
          <w:color w:val="auto"/>
          <w:sz w:val="28"/>
          <w:szCs w:val="28"/>
        </w:rPr>
        <w:t>项目全称及简称</w:t>
      </w:r>
      <w:r>
        <w:rPr>
          <w:rFonts w:hint="eastAsia" w:asciiTheme="minorEastAsia" w:hAnsiTheme="minorEastAsia" w:eastAsiaTheme="minorEastAsia"/>
          <w:color w:val="auto"/>
          <w:sz w:val="28"/>
          <w:szCs w:val="28"/>
          <w:lang w:eastAsia="zh-CN"/>
        </w:rPr>
        <w:t>，</w:t>
      </w:r>
      <w:r>
        <w:rPr>
          <w:rFonts w:asciiTheme="minorEastAsia" w:hAnsiTheme="minorEastAsia" w:eastAsiaTheme="minorEastAsia"/>
          <w:color w:val="auto"/>
          <w:sz w:val="28"/>
          <w:szCs w:val="28"/>
        </w:rPr>
        <w:t>建设目标和任务</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项目功能和定位、</w:t>
      </w:r>
      <w:r>
        <w:rPr>
          <w:rFonts w:hint="eastAsia" w:asciiTheme="minorEastAsia" w:hAnsiTheme="minorEastAsia" w:eastAsiaTheme="minorEastAsia"/>
          <w:color w:val="auto"/>
          <w:sz w:val="28"/>
          <w:szCs w:val="28"/>
        </w:rPr>
        <w:t>建设地点、</w:t>
      </w:r>
      <w:r>
        <w:rPr>
          <w:rFonts w:hint="eastAsia" w:asciiTheme="minorEastAsia" w:hAnsiTheme="minorEastAsia" w:eastAsiaTheme="minorEastAsia"/>
          <w:color w:val="auto"/>
          <w:sz w:val="28"/>
          <w:szCs w:val="28"/>
          <w:lang w:eastAsia="zh-CN"/>
        </w:rPr>
        <w:t>建设工期、</w:t>
      </w:r>
      <w:r>
        <w:rPr>
          <w:rFonts w:hint="eastAsia" w:asciiTheme="minorEastAsia" w:hAnsiTheme="minorEastAsia" w:eastAsiaTheme="minorEastAsia"/>
          <w:color w:val="auto"/>
          <w:sz w:val="28"/>
          <w:szCs w:val="28"/>
        </w:rPr>
        <w:t>建设内容和规模、投资规模和资金来源</w:t>
      </w:r>
      <w:r>
        <w:rPr>
          <w:rFonts w:hint="eastAsia" w:asciiTheme="minorEastAsia" w:hAnsiTheme="minorEastAsia" w:eastAsiaTheme="minorEastAsia"/>
          <w:color w:val="auto"/>
          <w:sz w:val="28"/>
          <w:szCs w:val="28"/>
          <w:lang w:eastAsia="zh-CN"/>
        </w:rPr>
        <w:t>，</w:t>
      </w:r>
      <w:r>
        <w:rPr>
          <w:rFonts w:asciiTheme="minorEastAsia" w:hAnsiTheme="minorEastAsia" w:eastAsiaTheme="minorEastAsia"/>
          <w:color w:val="auto"/>
          <w:sz w:val="28"/>
          <w:szCs w:val="28"/>
        </w:rPr>
        <w:t>主要</w:t>
      </w:r>
      <w:r>
        <w:rPr>
          <w:rFonts w:hint="eastAsia" w:asciiTheme="minorEastAsia" w:hAnsiTheme="minorEastAsia" w:eastAsiaTheme="minorEastAsia"/>
          <w:color w:val="auto"/>
          <w:sz w:val="28"/>
          <w:szCs w:val="28"/>
          <w:lang w:eastAsia="zh-CN"/>
        </w:rPr>
        <w:t>需求和</w:t>
      </w:r>
      <w:r>
        <w:rPr>
          <w:rFonts w:asciiTheme="minorEastAsia" w:hAnsiTheme="minorEastAsia" w:eastAsiaTheme="minorEastAsia"/>
          <w:color w:val="auto"/>
          <w:sz w:val="28"/>
          <w:szCs w:val="28"/>
        </w:rPr>
        <w:t>产出</w:t>
      </w:r>
      <w:r>
        <w:rPr>
          <w:rFonts w:hint="eastAsia" w:asciiTheme="minorEastAsia" w:hAnsiTheme="minorEastAsia" w:eastAsiaTheme="minorEastAsia"/>
          <w:color w:val="auto"/>
          <w:sz w:val="28"/>
          <w:szCs w:val="28"/>
        </w:rPr>
        <w:t>（服务）</w:t>
      </w:r>
      <w:r>
        <w:rPr>
          <w:rFonts w:hint="eastAsia" w:asciiTheme="minorEastAsia" w:hAnsiTheme="minorEastAsia" w:eastAsiaTheme="minorEastAsia"/>
          <w:color w:val="auto"/>
          <w:sz w:val="28"/>
          <w:szCs w:val="28"/>
          <w:lang w:eastAsia="zh-CN"/>
        </w:rPr>
        <w:t>，</w:t>
      </w:r>
      <w:r>
        <w:rPr>
          <w:rFonts w:asciiTheme="minorEastAsia" w:hAnsiTheme="minorEastAsia" w:eastAsiaTheme="minorEastAsia"/>
          <w:color w:val="auto"/>
          <w:sz w:val="28"/>
          <w:szCs w:val="28"/>
        </w:rPr>
        <w:t>主要技术经济指标</w:t>
      </w:r>
      <w:r>
        <w:rPr>
          <w:rFonts w:hint="eastAsia" w:asciiTheme="minorEastAsia" w:hAnsiTheme="minorEastAsia" w:eastAsiaTheme="minorEastAsia"/>
          <w:color w:val="auto"/>
          <w:sz w:val="28"/>
          <w:szCs w:val="28"/>
          <w:lang w:eastAsia="zh-CN"/>
        </w:rPr>
        <w:t>，前期工作进展情况</w:t>
      </w:r>
      <w:r>
        <w:rPr>
          <w:rFonts w:hint="eastAsia" w:asciiTheme="minorEastAsia" w:hAnsiTheme="minorEastAsia" w:eastAsiaTheme="minorEastAsia"/>
          <w:color w:val="auto"/>
          <w:sz w:val="28"/>
          <w:szCs w:val="28"/>
        </w:rPr>
        <w:t>等。</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如项目涉及存量资产，应说明存量资产内容、资产价值、资产权属或权利、存量债务、建设运营时间等。涉及改扩建的，应说明改扩建和存量资产的关系。应说明存量资产评估情况（含评估单位、评估目的、评估方法等），并将评估报告作为附件。</w:t>
      </w:r>
    </w:p>
    <w:p>
      <w:pPr>
        <w:pStyle w:val="3"/>
        <w:spacing w:before="0" w:after="0" w:line="588" w:lineRule="exact"/>
        <w:ind w:firstLine="562" w:firstLineChars="200"/>
        <w:rPr>
          <w:rFonts w:hint="eastAsia" w:ascii="Cambria" w:hAnsi="Cambria" w:eastAsia="宋体"/>
          <w:color w:val="auto"/>
          <w:sz w:val="28"/>
          <w:szCs w:val="32"/>
          <w:lang w:eastAsia="zh-CN"/>
        </w:rPr>
      </w:pPr>
      <w:r>
        <w:rPr>
          <w:rFonts w:hint="default" w:ascii="Cambria" w:hAnsi="Cambria" w:eastAsia="宋体"/>
          <w:color w:val="auto"/>
          <w:sz w:val="28"/>
          <w:szCs w:val="32"/>
        </w:rPr>
        <w:t>二</w:t>
      </w:r>
      <w:r>
        <w:rPr>
          <w:rFonts w:hint="default" w:ascii="Cambria" w:hAnsi="Cambria" w:eastAsia="宋体"/>
          <w:color w:val="auto"/>
          <w:sz w:val="28"/>
          <w:szCs w:val="32"/>
          <w:lang w:eastAsia="zh-CN"/>
        </w:rPr>
        <w:t>、</w:t>
      </w:r>
      <w:r>
        <w:rPr>
          <w:rFonts w:hint="default" w:ascii="Cambria" w:hAnsi="Cambria" w:eastAsia="宋体"/>
          <w:color w:val="auto"/>
          <w:sz w:val="28"/>
          <w:szCs w:val="32"/>
        </w:rPr>
        <w:t>项目</w:t>
      </w:r>
      <w:r>
        <w:rPr>
          <w:rFonts w:hint="eastAsia"/>
          <w:color w:val="auto"/>
          <w:sz w:val="28"/>
          <w:szCs w:val="32"/>
          <w:lang w:eastAsia="zh-CN"/>
        </w:rPr>
        <w:t>实施</w:t>
      </w:r>
      <w:r>
        <w:rPr>
          <w:rFonts w:ascii="Cambria" w:hAnsi="Cambria" w:eastAsia="宋体"/>
          <w:color w:val="auto"/>
          <w:sz w:val="28"/>
          <w:szCs w:val="32"/>
        </w:rPr>
        <w:t>机构</w:t>
      </w:r>
      <w:r>
        <w:rPr>
          <w:rFonts w:hint="eastAsia"/>
          <w:color w:val="auto"/>
          <w:sz w:val="28"/>
          <w:szCs w:val="32"/>
          <w:lang w:eastAsia="zh-CN"/>
        </w:rPr>
        <w:t>等</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rPr>
        <w:t>实施机构</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政府出资</w:t>
      </w:r>
      <w:r>
        <w:rPr>
          <w:rFonts w:hint="eastAsia" w:asciiTheme="minorEastAsia" w:hAnsiTheme="minorEastAsia" w:eastAsiaTheme="minorEastAsia"/>
          <w:color w:val="auto"/>
          <w:sz w:val="28"/>
          <w:szCs w:val="28"/>
          <w:lang w:eastAsia="zh-CN"/>
        </w:rPr>
        <w:t>人</w:t>
      </w:r>
      <w:r>
        <w:rPr>
          <w:rFonts w:asciiTheme="minorEastAsia" w:hAnsiTheme="minorEastAsia" w:eastAsiaTheme="minorEastAsia"/>
          <w:color w:val="auto"/>
          <w:sz w:val="28"/>
          <w:szCs w:val="28"/>
        </w:rPr>
        <w:t>代表</w:t>
      </w:r>
      <w:r>
        <w:rPr>
          <w:rFonts w:hint="eastAsia" w:asciiTheme="minorEastAsia" w:hAnsiTheme="minorEastAsia" w:eastAsiaTheme="minorEastAsia"/>
          <w:color w:val="auto"/>
          <w:sz w:val="28"/>
          <w:szCs w:val="28"/>
        </w:rPr>
        <w:t>（如有）</w:t>
      </w:r>
      <w:r>
        <w:rPr>
          <w:rFonts w:hint="eastAsia" w:asciiTheme="minorEastAsia" w:hAnsiTheme="minorEastAsia" w:eastAsiaTheme="minorEastAsia"/>
          <w:color w:val="auto"/>
          <w:sz w:val="28"/>
          <w:szCs w:val="28"/>
          <w:lang w:eastAsia="zh-CN"/>
        </w:rPr>
        <w:t>的职责</w:t>
      </w:r>
      <w:r>
        <w:rPr>
          <w:rFonts w:hint="eastAsia" w:asciiTheme="minorEastAsia" w:hAnsiTheme="minorEastAsia" w:eastAsiaTheme="minorEastAsia"/>
          <w:color w:val="auto"/>
          <w:sz w:val="28"/>
          <w:szCs w:val="28"/>
        </w:rPr>
        <w:t>及其</w:t>
      </w:r>
      <w:r>
        <w:rPr>
          <w:rFonts w:hint="eastAsia" w:asciiTheme="minorEastAsia" w:hAnsiTheme="minorEastAsia" w:eastAsiaTheme="minorEastAsia"/>
          <w:color w:val="auto"/>
          <w:sz w:val="28"/>
          <w:szCs w:val="28"/>
          <w:lang w:eastAsia="zh-CN"/>
        </w:rPr>
        <w:t>获县级以上人民政府</w:t>
      </w:r>
      <w:r>
        <w:rPr>
          <w:rFonts w:asciiTheme="minorEastAsia" w:hAnsiTheme="minorEastAsia" w:eastAsiaTheme="minorEastAsia"/>
          <w:color w:val="auto"/>
          <w:sz w:val="28"/>
          <w:szCs w:val="28"/>
        </w:rPr>
        <w:t>授权情况</w:t>
      </w:r>
      <w:r>
        <w:rPr>
          <w:rFonts w:hint="eastAsia" w:asciiTheme="minorEastAsia" w:hAnsiTheme="minorEastAsia" w:eastAsiaTheme="minorEastAsia"/>
          <w:color w:val="auto"/>
          <w:sz w:val="28"/>
          <w:szCs w:val="28"/>
          <w:lang w:eastAsia="zh-CN"/>
        </w:rPr>
        <w:t>，并将相关授权证明文件附后</w:t>
      </w:r>
      <w:r>
        <w:rPr>
          <w:rFonts w:asciiTheme="minorEastAsia" w:hAnsiTheme="minorEastAsia" w:eastAsiaTheme="minorEastAsia"/>
          <w:color w:val="auto"/>
          <w:sz w:val="28"/>
          <w:szCs w:val="28"/>
        </w:rPr>
        <w:t>。</w:t>
      </w:r>
    </w:p>
    <w:p>
      <w:pPr>
        <w:pStyle w:val="3"/>
        <w:spacing w:before="0" w:after="0" w:line="588" w:lineRule="exact"/>
        <w:ind w:firstLine="562" w:firstLineChars="200"/>
        <w:rPr>
          <w:rFonts w:hint="eastAsia" w:ascii="Cambria" w:hAnsi="Cambria" w:eastAsia="宋体"/>
          <w:color w:val="auto"/>
          <w:sz w:val="28"/>
          <w:szCs w:val="32"/>
        </w:rPr>
      </w:pPr>
      <w:r>
        <w:rPr>
          <w:rFonts w:hint="default" w:ascii="Cambria" w:hAnsi="Cambria" w:eastAsia="宋体"/>
          <w:color w:val="auto"/>
          <w:sz w:val="28"/>
          <w:szCs w:val="32"/>
        </w:rPr>
        <w:t>三</w:t>
      </w:r>
      <w:r>
        <w:rPr>
          <w:rFonts w:hint="default" w:ascii="Cambria" w:hAnsi="Cambria" w:eastAsia="宋体"/>
          <w:color w:val="auto"/>
          <w:sz w:val="28"/>
          <w:szCs w:val="32"/>
          <w:lang w:eastAsia="zh-CN"/>
        </w:rPr>
        <w:t>、</w:t>
      </w:r>
      <w:r>
        <w:rPr>
          <w:rFonts w:hint="eastAsia" w:ascii="Cambria" w:hAnsi="Cambria" w:eastAsia="宋体"/>
          <w:color w:val="auto"/>
          <w:sz w:val="28"/>
          <w:szCs w:val="32"/>
        </w:rPr>
        <w:t>特许经营</w:t>
      </w:r>
      <w:r>
        <w:rPr>
          <w:rFonts w:hint="eastAsia"/>
          <w:color w:val="auto"/>
          <w:sz w:val="28"/>
          <w:szCs w:val="32"/>
          <w:lang w:eastAsia="zh-CN"/>
        </w:rPr>
        <w:t>主要</w:t>
      </w:r>
      <w:r>
        <w:rPr>
          <w:rFonts w:hint="eastAsia" w:ascii="Cambria" w:hAnsi="Cambria" w:eastAsia="宋体"/>
          <w:color w:val="auto"/>
          <w:sz w:val="28"/>
          <w:szCs w:val="32"/>
        </w:rPr>
        <w:t>内容</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简述</w:t>
      </w:r>
      <w:r>
        <w:rPr>
          <w:rFonts w:asciiTheme="minorEastAsia" w:hAnsiTheme="minorEastAsia" w:eastAsiaTheme="minorEastAsia"/>
          <w:color w:val="auto"/>
          <w:sz w:val="28"/>
          <w:szCs w:val="28"/>
        </w:rPr>
        <w:t>收费渠道和方式</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特许经营</w:t>
      </w:r>
      <w:r>
        <w:rPr>
          <w:rFonts w:hint="eastAsia" w:asciiTheme="minorEastAsia" w:hAnsiTheme="minorEastAsia" w:eastAsiaTheme="minorEastAsia"/>
          <w:color w:val="auto"/>
          <w:sz w:val="28"/>
          <w:szCs w:val="28"/>
        </w:rPr>
        <w:t>实施方式、特许经营期限、</w:t>
      </w:r>
      <w:r>
        <w:rPr>
          <w:rFonts w:asciiTheme="minorEastAsia" w:hAnsiTheme="minorEastAsia" w:eastAsiaTheme="minorEastAsia"/>
          <w:color w:val="auto"/>
          <w:sz w:val="28"/>
          <w:szCs w:val="28"/>
        </w:rPr>
        <w:t>特许经营者的条件和选择方式</w:t>
      </w:r>
      <w:r>
        <w:rPr>
          <w:rFonts w:hint="eastAsia" w:asciiTheme="minorEastAsia" w:hAnsiTheme="minorEastAsia" w:eastAsiaTheme="minorEastAsia"/>
          <w:color w:val="auto"/>
          <w:sz w:val="28"/>
          <w:szCs w:val="28"/>
          <w:lang w:eastAsia="zh-CN"/>
        </w:rPr>
        <w:t>、特许经营服务范围。说明项目建设期是否提供政府投资支持、</w:t>
      </w:r>
      <w:r>
        <w:rPr>
          <w:rFonts w:asciiTheme="minorEastAsia" w:hAnsiTheme="minorEastAsia" w:eastAsiaTheme="minorEastAsia"/>
          <w:color w:val="auto"/>
          <w:sz w:val="28"/>
          <w:szCs w:val="28"/>
        </w:rPr>
        <w:t>政府</w:t>
      </w:r>
      <w:r>
        <w:rPr>
          <w:rFonts w:hint="eastAsia" w:asciiTheme="minorEastAsia" w:hAnsiTheme="minorEastAsia" w:eastAsiaTheme="minorEastAsia"/>
          <w:color w:val="auto"/>
          <w:sz w:val="28"/>
          <w:szCs w:val="28"/>
          <w:lang w:eastAsia="zh-CN"/>
        </w:rPr>
        <w:t>投资</w:t>
      </w:r>
      <w:r>
        <w:rPr>
          <w:rFonts w:asciiTheme="minorEastAsia" w:hAnsiTheme="minorEastAsia" w:eastAsiaTheme="minorEastAsia"/>
          <w:color w:val="auto"/>
          <w:sz w:val="28"/>
          <w:szCs w:val="28"/>
        </w:rPr>
        <w:t>支持方式和</w:t>
      </w:r>
      <w:r>
        <w:rPr>
          <w:rFonts w:hint="eastAsia" w:asciiTheme="minorEastAsia" w:hAnsiTheme="minorEastAsia" w:eastAsiaTheme="minorEastAsia"/>
          <w:color w:val="auto"/>
          <w:sz w:val="28"/>
          <w:szCs w:val="28"/>
          <w:lang w:eastAsia="zh-CN"/>
        </w:rPr>
        <w:t>预计</w:t>
      </w:r>
      <w:r>
        <w:rPr>
          <w:rFonts w:asciiTheme="minorEastAsia" w:hAnsiTheme="minorEastAsia" w:eastAsiaTheme="minorEastAsia"/>
          <w:color w:val="auto"/>
          <w:sz w:val="28"/>
          <w:szCs w:val="28"/>
        </w:rPr>
        <w:t>金额</w:t>
      </w:r>
      <w:r>
        <w:rPr>
          <w:rFonts w:hint="eastAsia" w:asciiTheme="minorEastAsia" w:hAnsiTheme="minorEastAsia" w:eastAsiaTheme="minorEastAsia"/>
          <w:color w:val="auto"/>
          <w:sz w:val="28"/>
          <w:szCs w:val="28"/>
          <w:lang w:eastAsia="zh-CN"/>
        </w:rPr>
        <w:t>或比例；是否按规定补贴运营、补贴依据、补贴期限、具体补贴方式</w:t>
      </w:r>
      <w:r>
        <w:rPr>
          <w:rFonts w:asciiTheme="minorEastAsia" w:hAnsiTheme="minorEastAsia" w:eastAsiaTheme="minorEastAsia"/>
          <w:color w:val="auto"/>
          <w:sz w:val="28"/>
          <w:szCs w:val="28"/>
        </w:rPr>
        <w:t>等</w:t>
      </w:r>
      <w:r>
        <w:rPr>
          <w:rFonts w:hint="eastAsia" w:asciiTheme="minorEastAsia" w:hAnsiTheme="minorEastAsia" w:eastAsiaTheme="minorEastAsia"/>
          <w:color w:val="auto"/>
          <w:sz w:val="28"/>
          <w:szCs w:val="28"/>
          <w:lang w:eastAsia="zh-CN"/>
        </w:rPr>
        <w:t>；以及其他需要说明的内容</w:t>
      </w:r>
      <w:r>
        <w:rPr>
          <w:rFonts w:asciiTheme="minorEastAsia" w:hAnsiTheme="minorEastAsia" w:eastAsiaTheme="minorEastAsia"/>
          <w:color w:val="auto"/>
          <w:sz w:val="28"/>
          <w:szCs w:val="28"/>
        </w:rPr>
        <w:t>。</w:t>
      </w:r>
    </w:p>
    <w:p>
      <w:pPr>
        <w:pStyle w:val="3"/>
        <w:spacing w:before="0" w:after="0" w:line="588" w:lineRule="exact"/>
        <w:ind w:firstLine="562" w:firstLineChars="200"/>
        <w:rPr>
          <w:rFonts w:hint="eastAsia" w:ascii="Cambria" w:hAnsi="Cambria" w:eastAsia="宋体"/>
          <w:color w:val="auto"/>
          <w:sz w:val="28"/>
          <w:szCs w:val="32"/>
          <w:lang w:eastAsia="zh-CN"/>
        </w:rPr>
      </w:pPr>
      <w:r>
        <w:rPr>
          <w:rFonts w:hint="eastAsia"/>
          <w:color w:val="auto"/>
          <w:sz w:val="28"/>
          <w:szCs w:val="32"/>
          <w:lang w:eastAsia="zh-CN"/>
        </w:rPr>
        <w:t>四</w:t>
      </w:r>
      <w:r>
        <w:rPr>
          <w:rFonts w:hint="default" w:ascii="Cambria" w:hAnsi="Cambria" w:eastAsia="宋体"/>
          <w:color w:val="auto"/>
          <w:sz w:val="28"/>
          <w:szCs w:val="32"/>
          <w:lang w:eastAsia="zh-CN"/>
        </w:rPr>
        <w:t>、</w:t>
      </w:r>
      <w:r>
        <w:rPr>
          <w:rFonts w:hint="eastAsia"/>
          <w:color w:val="auto"/>
          <w:sz w:val="28"/>
          <w:szCs w:val="32"/>
          <w:lang w:eastAsia="zh-CN"/>
        </w:rPr>
        <w:t>政府承诺和保障</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政府对项目前期、建设和运营期间的工作协助与支持，用地（用海）和移民搬迁安置补偿，排他性约定等作出的承诺和保障等。</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default" w:asciiTheme="minorEastAsia" w:hAnsiTheme="minorEastAsia" w:eastAsiaTheme="minorEastAsia"/>
          <w:color w:val="auto"/>
          <w:sz w:val="28"/>
          <w:szCs w:val="28"/>
          <w:lang w:val="en-US" w:eastAsia="zh-CN"/>
        </w:rPr>
      </w:pPr>
    </w:p>
    <w:p>
      <w:pPr>
        <w:pStyle w:val="2"/>
        <w:pageBreakBefore w:val="0"/>
        <w:kinsoku/>
        <w:wordWrap/>
        <w:overflowPunct/>
        <w:topLinePunct w:val="0"/>
        <w:autoSpaceDE/>
        <w:autoSpaceDN/>
        <w:bidi w:val="0"/>
        <w:snapToGrid/>
        <w:spacing w:before="0" w:after="0" w:line="588" w:lineRule="exact"/>
        <w:contextualSpacing/>
        <w:jc w:val="center"/>
        <w:textAlignment w:val="auto"/>
        <w:rPr>
          <w:rFonts w:ascii="黑体" w:hAnsi="黑体" w:eastAsia="黑体"/>
          <w:b w:val="0"/>
          <w:color w:val="auto"/>
          <w:sz w:val="32"/>
        </w:rPr>
      </w:pPr>
      <w:r>
        <w:rPr>
          <w:rFonts w:ascii="黑体" w:hAnsi="黑体" w:eastAsia="黑体"/>
          <w:b w:val="0"/>
          <w:color w:val="auto"/>
          <w:sz w:val="32"/>
        </w:rPr>
        <w:t>第二部分</w:t>
      </w:r>
      <w:r>
        <w:rPr>
          <w:rFonts w:hint="eastAsia" w:ascii="黑体" w:hAnsi="黑体" w:eastAsia="黑体"/>
          <w:b w:val="0"/>
          <w:color w:val="auto"/>
          <w:sz w:val="32"/>
        </w:rPr>
        <w:t xml:space="preserve">  </w:t>
      </w:r>
      <w:r>
        <w:rPr>
          <w:rFonts w:ascii="黑体" w:hAnsi="黑体" w:eastAsia="黑体"/>
          <w:b w:val="0"/>
          <w:color w:val="auto"/>
          <w:sz w:val="32"/>
        </w:rPr>
        <w:t>项目可行性分析</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一</w:t>
      </w:r>
      <w:r>
        <w:rPr>
          <w:rFonts w:hint="eastAsia"/>
          <w:color w:val="auto"/>
          <w:sz w:val="28"/>
        </w:rPr>
        <w:t>、</w:t>
      </w:r>
      <w:r>
        <w:rPr>
          <w:color w:val="auto"/>
          <w:sz w:val="28"/>
        </w:rPr>
        <w:t>建设必要性</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简述项目</w:t>
      </w:r>
      <w:r>
        <w:rPr>
          <w:rFonts w:hint="eastAsia" w:asciiTheme="minorEastAsia" w:hAnsiTheme="minorEastAsia" w:eastAsiaTheme="minorEastAsia"/>
          <w:color w:val="auto"/>
          <w:sz w:val="28"/>
          <w:szCs w:val="28"/>
        </w:rPr>
        <w:t>建设</w:t>
      </w:r>
      <w:r>
        <w:rPr>
          <w:rFonts w:asciiTheme="minorEastAsia" w:hAnsiTheme="minorEastAsia" w:eastAsiaTheme="minorEastAsia"/>
          <w:color w:val="auto"/>
          <w:sz w:val="28"/>
          <w:szCs w:val="28"/>
        </w:rPr>
        <w:t>背景</w:t>
      </w:r>
      <w:r>
        <w:rPr>
          <w:rFonts w:hint="eastAsia" w:asciiTheme="minorEastAsia" w:hAnsiTheme="minorEastAsia" w:eastAsiaTheme="minorEastAsia"/>
          <w:color w:val="auto"/>
          <w:sz w:val="28"/>
          <w:szCs w:val="28"/>
          <w:lang w:eastAsia="zh-CN"/>
        </w:rPr>
        <w:t>及对项目所提供产品或服务的公共需求，分析其与重大战略、发展</w:t>
      </w:r>
      <w:r>
        <w:rPr>
          <w:rFonts w:asciiTheme="minorEastAsia" w:hAnsiTheme="minorEastAsia" w:eastAsiaTheme="minorEastAsia"/>
          <w:color w:val="auto"/>
          <w:sz w:val="28"/>
          <w:szCs w:val="28"/>
        </w:rPr>
        <w:t>规划</w:t>
      </w:r>
      <w:r>
        <w:rPr>
          <w:rFonts w:hint="eastAsia" w:asciiTheme="minorEastAsia" w:hAnsiTheme="minorEastAsia" w:eastAsiaTheme="minorEastAsia"/>
          <w:color w:val="auto"/>
          <w:sz w:val="28"/>
          <w:szCs w:val="28"/>
          <w:lang w:eastAsia="zh-CN"/>
        </w:rPr>
        <w:t>、产业政策等</w:t>
      </w:r>
      <w:r>
        <w:rPr>
          <w:rFonts w:asciiTheme="minorEastAsia" w:hAnsiTheme="minorEastAsia" w:eastAsiaTheme="minorEastAsia"/>
          <w:color w:val="auto"/>
          <w:sz w:val="28"/>
          <w:szCs w:val="28"/>
        </w:rPr>
        <w:t>政策</w:t>
      </w:r>
      <w:r>
        <w:rPr>
          <w:rFonts w:hint="eastAsia" w:asciiTheme="minorEastAsia" w:hAnsiTheme="minorEastAsia" w:eastAsiaTheme="minorEastAsia"/>
          <w:color w:val="auto"/>
          <w:sz w:val="28"/>
          <w:szCs w:val="28"/>
          <w:lang w:eastAsia="zh-CN"/>
        </w:rPr>
        <w:t>和规划的</w:t>
      </w:r>
      <w:r>
        <w:rPr>
          <w:rFonts w:asciiTheme="minorEastAsia" w:hAnsiTheme="minorEastAsia" w:eastAsiaTheme="minorEastAsia"/>
          <w:color w:val="auto"/>
          <w:sz w:val="28"/>
          <w:szCs w:val="28"/>
        </w:rPr>
        <w:t>符</w:t>
      </w:r>
      <w:r>
        <w:rPr>
          <w:rFonts w:hint="eastAsia" w:asciiTheme="minorEastAsia" w:hAnsiTheme="minorEastAsia" w:eastAsiaTheme="minorEastAsia"/>
          <w:color w:val="auto"/>
          <w:sz w:val="28"/>
          <w:szCs w:val="28"/>
          <w:lang w:eastAsia="zh-CN"/>
        </w:rPr>
        <w:t>合性，论证项目建设的必要性和建设时机的适当性。在需求分析的基础上，提出拟建项目功能定位、近期和远期目标、产出（服务）的需求总量及结构。</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二</w:t>
      </w:r>
      <w:r>
        <w:rPr>
          <w:rFonts w:hint="eastAsia"/>
          <w:color w:val="auto"/>
          <w:sz w:val="28"/>
        </w:rPr>
        <w:t>、建设方案分析</w:t>
      </w:r>
    </w:p>
    <w:p>
      <w:pPr>
        <w:pStyle w:val="10"/>
        <w:spacing w:before="0" w:beforeAutospacing="0" w:after="0" w:afterAutospacing="0" w:line="588" w:lineRule="exact"/>
        <w:ind w:firstLine="529" w:firstLineChars="189"/>
        <w:contextualSpacing/>
        <w:jc w:val="both"/>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详细论述项目选址或选线方案、</w:t>
      </w:r>
      <w:r>
        <w:rPr>
          <w:rFonts w:hint="eastAsia" w:asciiTheme="minorEastAsia" w:hAnsiTheme="minorEastAsia" w:eastAsiaTheme="minorEastAsia"/>
          <w:color w:val="auto"/>
          <w:sz w:val="28"/>
          <w:szCs w:val="28"/>
        </w:rPr>
        <w:t>主要建设内容及规模</w:t>
      </w:r>
      <w:r>
        <w:rPr>
          <w:rFonts w:hint="eastAsia" w:asciiTheme="minorEastAsia" w:hAnsiTheme="minorEastAsia" w:eastAsiaTheme="minorEastAsia"/>
          <w:color w:val="auto"/>
          <w:sz w:val="28"/>
          <w:szCs w:val="28"/>
          <w:lang w:eastAsia="zh-CN"/>
        </w:rPr>
        <w:t>、建设主要约束条件、用地（用海）方式、选址地质条件、周边配套情况（如用水、用电、道路等）</w:t>
      </w:r>
      <w:r>
        <w:rPr>
          <w:rFonts w:hint="eastAsia" w:asciiTheme="minorEastAsia" w:hAnsiTheme="minorEastAsia" w:eastAsiaTheme="minorEastAsia"/>
          <w:color w:val="auto"/>
          <w:sz w:val="28"/>
          <w:szCs w:val="28"/>
        </w:rPr>
        <w:t>、建设工期和主要</w:t>
      </w:r>
      <w:r>
        <w:rPr>
          <w:rFonts w:hint="eastAsia" w:asciiTheme="minorEastAsia" w:hAnsiTheme="minorEastAsia" w:eastAsiaTheme="minorEastAsia"/>
          <w:color w:val="auto"/>
          <w:sz w:val="28"/>
          <w:szCs w:val="28"/>
          <w:lang w:eastAsia="zh-CN"/>
        </w:rPr>
        <w:t>进度</w:t>
      </w:r>
      <w:r>
        <w:rPr>
          <w:rFonts w:hint="eastAsia" w:asciiTheme="minorEastAsia" w:hAnsiTheme="minorEastAsia" w:eastAsiaTheme="minorEastAsia"/>
          <w:color w:val="auto"/>
          <w:sz w:val="28"/>
          <w:szCs w:val="28"/>
        </w:rPr>
        <w:t>节点</w:t>
      </w:r>
      <w:r>
        <w:rPr>
          <w:rFonts w:hint="eastAsia" w:asciiTheme="minorEastAsia" w:hAnsiTheme="minorEastAsia" w:eastAsiaTheme="minorEastAsia"/>
          <w:color w:val="auto"/>
          <w:sz w:val="28"/>
          <w:szCs w:val="28"/>
          <w:lang w:eastAsia="zh-CN"/>
        </w:rPr>
        <w:t>，以及</w:t>
      </w:r>
      <w:r>
        <w:rPr>
          <w:rFonts w:hint="eastAsia" w:asciiTheme="minorEastAsia" w:hAnsiTheme="minorEastAsia" w:eastAsiaTheme="minorEastAsia"/>
          <w:color w:val="auto"/>
          <w:sz w:val="28"/>
          <w:szCs w:val="28"/>
        </w:rPr>
        <w:t>正常运营年份应达到的产出能力</w:t>
      </w:r>
      <w:r>
        <w:rPr>
          <w:rFonts w:hint="eastAsia" w:asciiTheme="minorEastAsia" w:hAnsiTheme="minorEastAsia" w:eastAsiaTheme="minorEastAsia"/>
          <w:color w:val="auto"/>
          <w:sz w:val="28"/>
          <w:szCs w:val="28"/>
          <w:lang w:eastAsia="zh-CN"/>
        </w:rPr>
        <w:t>和</w:t>
      </w:r>
      <w:r>
        <w:rPr>
          <w:rFonts w:hint="eastAsia" w:asciiTheme="minorEastAsia" w:hAnsiTheme="minorEastAsia" w:eastAsiaTheme="minorEastAsia"/>
          <w:color w:val="auto"/>
          <w:sz w:val="28"/>
          <w:szCs w:val="28"/>
        </w:rPr>
        <w:t>服务要求。明确项目预期达到的建设标准、工程质量和安全管理目标等要求。通过技术、设备和工程方案的比选，确定项目初步建设方案。</w:t>
      </w:r>
    </w:p>
    <w:p>
      <w:pPr>
        <w:pStyle w:val="10"/>
        <w:spacing w:before="0" w:beforeAutospacing="0" w:after="0" w:afterAutospacing="0" w:line="588" w:lineRule="exact"/>
        <w:ind w:firstLine="529" w:firstLineChars="189"/>
        <w:contextualSpacing/>
        <w:jc w:val="both"/>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大型、复杂及分期建设项目应根据项目整体规划、资源利用条件及近远期需求预测，明确项目近远期建设规模、分阶段建设目标和建设进度安排，并说明预留发展空间及其合理性、预留条件对远期规模的影响等。</w:t>
      </w:r>
    </w:p>
    <w:p>
      <w:pPr>
        <w:pStyle w:val="10"/>
        <w:spacing w:before="0" w:beforeAutospacing="0" w:after="0" w:afterAutospacing="0" w:line="588" w:lineRule="exact"/>
        <w:ind w:firstLine="529" w:firstLineChars="189"/>
        <w:contextualSpacing/>
        <w:jc w:val="both"/>
        <w:rPr>
          <w:rFonts w:hint="eastAsia"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估算拟建项目从筹建、施工至投产所需的全部</w:t>
      </w:r>
      <w:r>
        <w:rPr>
          <w:rFonts w:hint="eastAsia" w:cs="宋体" w:asciiTheme="minorEastAsia" w:hAnsiTheme="minorEastAsia" w:eastAsiaTheme="minorEastAsia"/>
          <w:color w:val="auto"/>
          <w:kern w:val="0"/>
          <w:sz w:val="28"/>
          <w:szCs w:val="28"/>
          <w:lang w:eastAsia="zh-CN"/>
        </w:rPr>
        <w:t>建设投资</w:t>
      </w:r>
      <w:r>
        <w:rPr>
          <w:rFonts w:hint="eastAsia" w:cs="宋体" w:asciiTheme="minorEastAsia" w:hAnsiTheme="minorEastAsia" w:eastAsiaTheme="minorEastAsia"/>
          <w:color w:val="auto"/>
          <w:kern w:val="0"/>
          <w:sz w:val="28"/>
          <w:szCs w:val="28"/>
        </w:rPr>
        <w:t>，包括建筑工程费、设备购置费、安装工程费、工程建设其他费和预备费</w:t>
      </w:r>
      <w:r>
        <w:rPr>
          <w:rFonts w:hint="eastAsia" w:cs="宋体" w:asciiTheme="minorEastAsia" w:hAnsiTheme="minorEastAsia" w:eastAsiaTheme="minorEastAsia"/>
          <w:color w:val="auto"/>
          <w:kern w:val="0"/>
          <w:sz w:val="28"/>
          <w:szCs w:val="28"/>
          <w:lang w:eastAsia="zh-CN"/>
        </w:rPr>
        <w:t>等</w:t>
      </w:r>
      <w:r>
        <w:rPr>
          <w:rFonts w:hint="eastAsia" w:cs="宋体" w:asciiTheme="minorEastAsia" w:hAnsiTheme="minorEastAsia" w:eastAsiaTheme="minorEastAsia"/>
          <w:color w:val="auto"/>
          <w:kern w:val="0"/>
          <w:sz w:val="28"/>
          <w:szCs w:val="28"/>
        </w:rPr>
        <w:t>。</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三</w:t>
      </w:r>
      <w:r>
        <w:rPr>
          <w:rFonts w:hint="eastAsia"/>
          <w:color w:val="auto"/>
          <w:sz w:val="28"/>
        </w:rPr>
        <w:t>、</w:t>
      </w:r>
      <w:r>
        <w:rPr>
          <w:color w:val="auto"/>
          <w:sz w:val="28"/>
        </w:rPr>
        <w:t>要素保障条件</w:t>
      </w:r>
    </w:p>
    <w:p>
      <w:pPr>
        <w:ind w:firstLine="560" w:firstLineChars="200"/>
        <w:rPr>
          <w:sz w:val="28"/>
          <w:szCs w:val="28"/>
        </w:rPr>
      </w:pPr>
      <w:r>
        <w:rPr>
          <w:rFonts w:hint="eastAsia"/>
          <w:sz w:val="28"/>
          <w:szCs w:val="28"/>
        </w:rPr>
        <w:t>根据</w:t>
      </w:r>
      <w:r>
        <w:rPr>
          <w:rFonts w:hint="eastAsia"/>
          <w:sz w:val="28"/>
          <w:szCs w:val="28"/>
          <w:lang w:eastAsia="zh-CN"/>
        </w:rPr>
        <w:t>项目选址或选线方案，以及建设内容和规模等要求，</w:t>
      </w:r>
      <w:r>
        <w:rPr>
          <w:rFonts w:hint="eastAsia"/>
          <w:sz w:val="28"/>
          <w:szCs w:val="28"/>
        </w:rPr>
        <w:t>分析项目的要素保障条件及落实情况。说明有关部门针对项目规划、选址、用地（用海）等反馈意见情况。</w:t>
      </w:r>
    </w:p>
    <w:p>
      <w:pPr>
        <w:pStyle w:val="4"/>
        <w:adjustRightInd w:val="0"/>
        <w:spacing w:before="0" w:after="0" w:line="588" w:lineRule="exact"/>
        <w:ind w:firstLine="528" w:firstLineChars="188"/>
        <w:contextualSpacing/>
        <w:rPr>
          <w:rFonts w:hint="eastAsia"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lang w:eastAsia="zh-CN"/>
        </w:rPr>
        <w:t>（一）</w:t>
      </w:r>
      <w:r>
        <w:rPr>
          <w:rFonts w:hint="eastAsia" w:asciiTheme="minorEastAsia" w:hAnsiTheme="minorEastAsia" w:eastAsiaTheme="minorEastAsia"/>
          <w:color w:val="auto"/>
          <w:sz w:val="28"/>
          <w:szCs w:val="28"/>
        </w:rPr>
        <w:t>用地用海条件</w:t>
      </w:r>
    </w:p>
    <w:p>
      <w:pPr>
        <w:ind w:firstLine="560" w:firstLineChars="200"/>
        <w:rPr>
          <w:sz w:val="28"/>
          <w:szCs w:val="28"/>
        </w:rPr>
      </w:pPr>
      <w:r>
        <w:rPr>
          <w:rFonts w:hint="eastAsia"/>
          <w:sz w:val="28"/>
          <w:szCs w:val="28"/>
        </w:rPr>
        <w:t>说明拟建项目用地总体情况</w:t>
      </w:r>
      <w:r>
        <w:rPr>
          <w:rFonts w:hint="eastAsia"/>
          <w:sz w:val="28"/>
          <w:szCs w:val="28"/>
          <w:lang w:eastAsia="zh-CN"/>
        </w:rPr>
        <w:t>和土地利用现状</w:t>
      </w:r>
      <w:r>
        <w:rPr>
          <w:rFonts w:hint="eastAsia"/>
          <w:sz w:val="28"/>
          <w:szCs w:val="28"/>
        </w:rPr>
        <w:t>，分析土地要素保障条件，提出集约节约用地要求。如涉及用海用岛，应明确具体方式、位置和规模等内容。</w:t>
      </w:r>
    </w:p>
    <w:p>
      <w:pPr>
        <w:pStyle w:val="4"/>
        <w:adjustRightInd w:val="0"/>
        <w:spacing w:before="0" w:after="0" w:line="588" w:lineRule="exact"/>
        <w:ind w:firstLine="528" w:firstLineChars="188"/>
        <w:contextualSpacing/>
        <w:rPr>
          <w:rFonts w:hint="eastAsia"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lang w:eastAsia="zh-CN"/>
        </w:rPr>
        <w:t>（二）</w:t>
      </w:r>
      <w:r>
        <w:rPr>
          <w:rFonts w:hint="eastAsia" w:asciiTheme="minorEastAsia" w:hAnsiTheme="minorEastAsia" w:eastAsiaTheme="minorEastAsia"/>
          <w:color w:val="auto"/>
          <w:sz w:val="28"/>
          <w:szCs w:val="28"/>
        </w:rPr>
        <w:t>资源承载能力、生态敏感区等其他支撑条件</w:t>
      </w:r>
    </w:p>
    <w:p>
      <w:pPr>
        <w:ind w:firstLine="560" w:firstLineChars="200"/>
        <w:rPr>
          <w:sz w:val="28"/>
          <w:szCs w:val="28"/>
        </w:rPr>
      </w:pPr>
      <w:r>
        <w:rPr>
          <w:rFonts w:hint="eastAsia"/>
          <w:sz w:val="28"/>
          <w:szCs w:val="28"/>
          <w:lang w:eastAsia="zh-CN"/>
        </w:rPr>
        <w:t>说明</w:t>
      </w:r>
      <w:r>
        <w:rPr>
          <w:rFonts w:hint="eastAsia"/>
          <w:sz w:val="28"/>
          <w:szCs w:val="28"/>
        </w:rPr>
        <w:t>项目取水、能耗、</w:t>
      </w:r>
      <w:r>
        <w:rPr>
          <w:rFonts w:hint="eastAsia"/>
          <w:sz w:val="28"/>
          <w:szCs w:val="28"/>
          <w:lang w:eastAsia="zh-CN"/>
        </w:rPr>
        <w:t>污染物排放和碳排放</w:t>
      </w:r>
      <w:r>
        <w:rPr>
          <w:rFonts w:hint="eastAsia"/>
          <w:sz w:val="28"/>
          <w:szCs w:val="28"/>
        </w:rPr>
        <w:t>、生态敏感区约束等其他支撑条件。</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四</w:t>
      </w:r>
      <w:r>
        <w:rPr>
          <w:rFonts w:hint="eastAsia"/>
          <w:color w:val="auto"/>
          <w:sz w:val="28"/>
        </w:rPr>
        <w:t>、运营服务要求</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在保证达到产出能力和服务要求的前提下，</w:t>
      </w:r>
      <w:r>
        <w:rPr>
          <w:rFonts w:hint="eastAsia" w:asciiTheme="minorEastAsia" w:hAnsiTheme="minorEastAsia" w:eastAsiaTheme="minorEastAsia"/>
          <w:color w:val="auto"/>
          <w:sz w:val="28"/>
          <w:szCs w:val="28"/>
        </w:rPr>
        <w:t>研究提出项目运营需要落实的外部条件、</w:t>
      </w:r>
      <w:r>
        <w:rPr>
          <w:rFonts w:hint="eastAsia" w:cs="Times New Roman" w:asciiTheme="minorEastAsia" w:hAnsiTheme="minorEastAsia" w:eastAsiaTheme="minorEastAsia"/>
          <w:color w:val="auto"/>
          <w:sz w:val="28"/>
          <w:szCs w:val="28"/>
        </w:rPr>
        <w:t>运营服务内容、应</w:t>
      </w:r>
      <w:r>
        <w:rPr>
          <w:rFonts w:hint="eastAsia" w:asciiTheme="minorEastAsia" w:hAnsiTheme="minorEastAsia" w:eastAsiaTheme="minorEastAsia"/>
          <w:color w:val="auto"/>
          <w:sz w:val="28"/>
          <w:szCs w:val="28"/>
        </w:rPr>
        <w:t>遵循的标准和质量规范以及安全保障要求。</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五</w:t>
      </w:r>
      <w:r>
        <w:rPr>
          <w:rFonts w:hint="eastAsia"/>
          <w:color w:val="auto"/>
          <w:sz w:val="28"/>
        </w:rPr>
        <w:t>、</w:t>
      </w:r>
      <w:r>
        <w:rPr>
          <w:rFonts w:hint="eastAsia"/>
          <w:color w:val="auto"/>
          <w:sz w:val="28"/>
          <w:lang w:eastAsia="zh-CN"/>
        </w:rPr>
        <w:t>主要</w:t>
      </w:r>
      <w:r>
        <w:rPr>
          <w:rFonts w:hint="eastAsia"/>
          <w:color w:val="auto"/>
          <w:sz w:val="28"/>
        </w:rPr>
        <w:t>风险</w:t>
      </w:r>
      <w:r>
        <w:rPr>
          <w:rFonts w:hint="eastAsia"/>
          <w:color w:val="auto"/>
          <w:sz w:val="28"/>
          <w:lang w:eastAsia="zh-CN"/>
        </w:rPr>
        <w:t>识别</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识别和分析项目</w:t>
      </w:r>
      <w:r>
        <w:rPr>
          <w:rFonts w:hint="eastAsia" w:asciiTheme="minorEastAsia" w:hAnsiTheme="minorEastAsia" w:eastAsiaTheme="minorEastAsia"/>
          <w:color w:val="auto"/>
          <w:sz w:val="28"/>
          <w:szCs w:val="28"/>
          <w:lang w:eastAsia="zh-CN"/>
        </w:rPr>
        <w:t>准备</w:t>
      </w:r>
      <w:r>
        <w:rPr>
          <w:rFonts w:hint="eastAsia" w:asciiTheme="minorEastAsia" w:hAnsiTheme="minorEastAsia" w:eastAsiaTheme="minorEastAsia"/>
          <w:color w:val="auto"/>
          <w:sz w:val="28"/>
          <w:szCs w:val="28"/>
        </w:rPr>
        <w:t>、建设、运营</w:t>
      </w:r>
      <w:r>
        <w:rPr>
          <w:rFonts w:hint="eastAsia" w:asciiTheme="minorEastAsia" w:hAnsiTheme="minorEastAsia" w:eastAsiaTheme="minorEastAsia"/>
          <w:color w:val="auto"/>
          <w:sz w:val="28"/>
          <w:szCs w:val="28"/>
          <w:lang w:eastAsia="zh-CN"/>
        </w:rPr>
        <w:t>、移交阶段的政策、经济、社会、工程</w:t>
      </w:r>
      <w:r>
        <w:rPr>
          <w:rFonts w:hint="eastAsia" w:asciiTheme="minorEastAsia" w:hAnsiTheme="minorEastAsia" w:eastAsiaTheme="minorEastAsia"/>
          <w:color w:val="auto"/>
          <w:sz w:val="28"/>
          <w:szCs w:val="28"/>
        </w:rPr>
        <w:t>、环境、</w:t>
      </w:r>
      <w:r>
        <w:rPr>
          <w:rFonts w:hint="eastAsia" w:asciiTheme="minorEastAsia" w:hAnsiTheme="minorEastAsia" w:eastAsiaTheme="minorEastAsia"/>
          <w:color w:val="auto"/>
          <w:sz w:val="28"/>
          <w:szCs w:val="28"/>
          <w:lang w:eastAsia="zh-CN"/>
        </w:rPr>
        <w:t>资金</w:t>
      </w:r>
      <w:r>
        <w:rPr>
          <w:rFonts w:asciiTheme="minorEastAsia" w:hAnsiTheme="minorEastAsia" w:eastAsiaTheme="minorEastAsia"/>
          <w:color w:val="auto"/>
          <w:sz w:val="28"/>
          <w:szCs w:val="28"/>
        </w:rPr>
        <w:t>等方面</w:t>
      </w:r>
      <w:r>
        <w:rPr>
          <w:rFonts w:hint="eastAsia" w:asciiTheme="minorEastAsia" w:hAnsiTheme="minorEastAsia" w:eastAsiaTheme="minorEastAsia"/>
          <w:color w:val="auto"/>
          <w:sz w:val="28"/>
          <w:szCs w:val="28"/>
        </w:rPr>
        <w:t>的主要风险。</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p>
    <w:p>
      <w:pPr>
        <w:pStyle w:val="2"/>
        <w:pageBreakBefore w:val="0"/>
        <w:kinsoku/>
        <w:wordWrap/>
        <w:overflowPunct/>
        <w:topLinePunct w:val="0"/>
        <w:autoSpaceDE/>
        <w:autoSpaceDN/>
        <w:bidi w:val="0"/>
        <w:snapToGrid/>
        <w:spacing w:before="0" w:after="0" w:line="588" w:lineRule="exact"/>
        <w:contextualSpacing/>
        <w:jc w:val="center"/>
        <w:textAlignment w:val="auto"/>
        <w:rPr>
          <w:rFonts w:hint="eastAsia" w:ascii="黑体" w:hAnsi="黑体" w:eastAsia="黑体"/>
          <w:b w:val="0"/>
          <w:color w:val="auto"/>
          <w:sz w:val="32"/>
          <w:lang w:eastAsia="zh-CN"/>
        </w:rPr>
      </w:pPr>
      <w:r>
        <w:rPr>
          <w:rFonts w:ascii="黑体" w:hAnsi="黑体" w:eastAsia="黑体"/>
          <w:b w:val="0"/>
          <w:color w:val="auto"/>
          <w:sz w:val="32"/>
        </w:rPr>
        <w:t>第</w:t>
      </w:r>
      <w:r>
        <w:rPr>
          <w:rFonts w:hint="eastAsia" w:ascii="黑体" w:hAnsi="黑体" w:eastAsia="黑体"/>
          <w:b w:val="0"/>
          <w:color w:val="auto"/>
          <w:sz w:val="32"/>
        </w:rPr>
        <w:t>三</w:t>
      </w:r>
      <w:r>
        <w:rPr>
          <w:rFonts w:ascii="黑体" w:hAnsi="黑体" w:eastAsia="黑体"/>
          <w:b w:val="0"/>
          <w:color w:val="auto"/>
          <w:sz w:val="32"/>
        </w:rPr>
        <w:t>部分</w:t>
      </w:r>
      <w:r>
        <w:rPr>
          <w:rFonts w:hint="eastAsia" w:ascii="黑体" w:hAnsi="黑体" w:eastAsia="黑体"/>
          <w:b w:val="0"/>
          <w:color w:val="auto"/>
          <w:sz w:val="32"/>
        </w:rPr>
        <w:t xml:space="preserve"> </w:t>
      </w:r>
      <w:r>
        <w:rPr>
          <w:rFonts w:ascii="黑体" w:hAnsi="黑体" w:eastAsia="黑体"/>
          <w:b w:val="0"/>
          <w:color w:val="auto"/>
          <w:sz w:val="32"/>
        </w:rPr>
        <w:t xml:space="preserve"> </w:t>
      </w:r>
      <w:r>
        <w:rPr>
          <w:rFonts w:hint="eastAsia" w:ascii="黑体" w:hAnsi="黑体" w:eastAsia="黑体"/>
          <w:b w:val="0"/>
          <w:color w:val="auto"/>
          <w:sz w:val="32"/>
        </w:rPr>
        <w:t>特许经营模式可行性</w:t>
      </w:r>
      <w:r>
        <w:rPr>
          <w:rFonts w:hint="eastAsia" w:ascii="黑体" w:hAnsi="黑体" w:eastAsia="黑体"/>
          <w:b w:val="0"/>
          <w:color w:val="auto"/>
          <w:sz w:val="32"/>
          <w:lang w:eastAsia="zh-CN"/>
        </w:rPr>
        <w:t>论证</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一</w:t>
      </w:r>
      <w:r>
        <w:rPr>
          <w:rFonts w:hint="eastAsia"/>
          <w:color w:val="auto"/>
          <w:sz w:val="28"/>
        </w:rPr>
        <w:t>、项目</w:t>
      </w:r>
      <w:r>
        <w:rPr>
          <w:rFonts w:hint="eastAsia"/>
          <w:color w:val="auto"/>
          <w:sz w:val="28"/>
          <w:lang w:eastAsia="zh-CN"/>
        </w:rPr>
        <w:t>属性分析</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分析项目是否属于具有一定公益性且存在经营收入的项目。</w:t>
      </w:r>
      <w:r>
        <w:rPr>
          <w:rFonts w:hint="eastAsia" w:asciiTheme="minorEastAsia" w:hAnsiTheme="minorEastAsia" w:eastAsiaTheme="minorEastAsia"/>
          <w:color w:val="auto"/>
          <w:sz w:val="28"/>
          <w:szCs w:val="28"/>
        </w:rPr>
        <w:t>市场化程度高的商业项目和产业项目，以及没有</w:t>
      </w:r>
      <w:r>
        <w:rPr>
          <w:rFonts w:hint="eastAsia" w:asciiTheme="minorEastAsia" w:hAnsiTheme="minorEastAsia" w:eastAsiaTheme="minorEastAsia"/>
          <w:color w:val="auto"/>
          <w:sz w:val="28"/>
          <w:szCs w:val="28"/>
          <w:lang w:eastAsia="zh-CN"/>
        </w:rPr>
        <w:t>经营收入</w:t>
      </w:r>
      <w:r>
        <w:rPr>
          <w:rFonts w:hint="eastAsia" w:asciiTheme="minorEastAsia" w:hAnsiTheme="minorEastAsia" w:eastAsiaTheme="minorEastAsia"/>
          <w:color w:val="auto"/>
          <w:sz w:val="28"/>
          <w:szCs w:val="28"/>
        </w:rPr>
        <w:t>的公益项目</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不得采用特许经营模式</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不得将以上类型项目相互“打捆”，或者与适合采用特许经营模式的项目“打捆”开展政府和社会资本合作。</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eastAsia="zh-CN"/>
        </w:rPr>
        <w:t>厂网一体化的污水管网、供热管网、供水管</w:t>
      </w:r>
      <w:r>
        <w:rPr>
          <w:rFonts w:hint="eastAsia" w:asciiTheme="minorEastAsia" w:hAnsiTheme="minorEastAsia" w:eastAsiaTheme="minorEastAsia"/>
          <w:color w:val="auto"/>
          <w:sz w:val="28"/>
          <w:szCs w:val="28"/>
          <w:highlight w:val="none"/>
          <w:lang w:eastAsia="zh-CN"/>
        </w:rPr>
        <w:t>网等项目，综合交通运输多式联运的公水联运、公铁联运等项目，以及</w:t>
      </w:r>
      <w:r>
        <w:rPr>
          <w:rFonts w:hint="eastAsia" w:asciiTheme="minorEastAsia" w:hAnsiTheme="minorEastAsia" w:eastAsiaTheme="minorEastAsia"/>
          <w:color w:val="auto"/>
          <w:sz w:val="28"/>
          <w:szCs w:val="28"/>
          <w:highlight w:val="none"/>
          <w:lang w:val="en-US" w:eastAsia="zh-CN"/>
        </w:rPr>
        <w:t>通过产业链延伸等方式将公益性较强行业与收益较好的关联产业有效融合、一体化实施的项目，可以综合平衡项目收益，开展政府和社会资本合作。</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对于特许经营新建（含改扩建）项目，应参照《支持民营企业参与的特许经营新建（含改扩建）项目清单》，明确民营企业持股要求或参与方式。</w:t>
      </w:r>
    </w:p>
    <w:p>
      <w:pPr>
        <w:pStyle w:val="3"/>
        <w:pageBreakBefore w:val="0"/>
        <w:kinsoku/>
        <w:wordWrap/>
        <w:overflowPunct/>
        <w:topLinePunct w:val="0"/>
        <w:autoSpaceDE/>
        <w:autoSpaceDN/>
        <w:bidi w:val="0"/>
        <w:snapToGrid/>
        <w:spacing w:before="0" w:after="0" w:line="588" w:lineRule="exact"/>
        <w:ind w:firstLine="562" w:firstLineChars="200"/>
        <w:contextualSpacing w:val="0"/>
        <w:textAlignment w:val="auto"/>
        <w:rPr>
          <w:rFonts w:hint="eastAsia"/>
          <w:color w:val="auto"/>
          <w:sz w:val="28"/>
        </w:rPr>
      </w:pPr>
      <w:r>
        <w:rPr>
          <w:rFonts w:hint="eastAsia"/>
          <w:color w:val="auto"/>
          <w:sz w:val="28"/>
          <w:lang w:eastAsia="zh-CN"/>
        </w:rPr>
        <w:t>二</w:t>
      </w:r>
      <w:r>
        <w:rPr>
          <w:rFonts w:hint="eastAsia"/>
          <w:color w:val="auto"/>
          <w:sz w:val="28"/>
        </w:rPr>
        <w:t>、</w:t>
      </w:r>
      <w:r>
        <w:rPr>
          <w:rFonts w:hint="eastAsia" w:ascii="Cambria" w:hAnsi="Cambria" w:eastAsia="宋体"/>
          <w:color w:val="auto"/>
          <w:sz w:val="28"/>
          <w:szCs w:val="32"/>
          <w:lang w:eastAsia="zh-CN"/>
        </w:rPr>
        <w:t>项目</w:t>
      </w:r>
      <w:r>
        <w:rPr>
          <w:rFonts w:hint="eastAsia" w:ascii="Cambria" w:hAnsi="Cambria" w:eastAsia="宋体"/>
          <w:color w:val="auto"/>
          <w:sz w:val="28"/>
          <w:szCs w:val="32"/>
        </w:rPr>
        <w:t>收费渠道和方式</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明确项目收费渠道和方式</w:t>
      </w:r>
      <w:r>
        <w:rPr>
          <w:rFonts w:hint="eastAsia" w:asciiTheme="minorEastAsia" w:hAnsiTheme="minorEastAsia" w:eastAsiaTheme="minorEastAsia"/>
          <w:color w:val="auto"/>
          <w:sz w:val="28"/>
          <w:szCs w:val="28"/>
          <w:lang w:eastAsia="zh-CN"/>
        </w:rPr>
        <w:t>（含潜在收费渠道和方式）</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论证收费渠道和方式的合法合规性，</w:t>
      </w:r>
      <w:r>
        <w:rPr>
          <w:rFonts w:hint="eastAsia" w:asciiTheme="minorEastAsia" w:hAnsiTheme="minorEastAsia" w:eastAsiaTheme="minorEastAsia"/>
          <w:color w:val="auto"/>
          <w:sz w:val="28"/>
          <w:szCs w:val="28"/>
        </w:rPr>
        <w:t>评价</w:t>
      </w:r>
      <w:r>
        <w:rPr>
          <w:rFonts w:hint="eastAsia" w:asciiTheme="minorEastAsia" w:hAnsiTheme="minorEastAsia" w:eastAsiaTheme="minorEastAsia"/>
          <w:color w:val="auto"/>
          <w:sz w:val="28"/>
          <w:szCs w:val="28"/>
          <w:lang w:eastAsia="zh-CN"/>
        </w:rPr>
        <w:t>使用</w:t>
      </w:r>
      <w:r>
        <w:rPr>
          <w:rFonts w:hint="eastAsia" w:asciiTheme="minorEastAsia" w:hAnsiTheme="minorEastAsia" w:eastAsiaTheme="minorEastAsia"/>
          <w:color w:val="auto"/>
          <w:sz w:val="28"/>
          <w:szCs w:val="28"/>
        </w:rPr>
        <w:t>者支付意愿</w:t>
      </w:r>
      <w:r>
        <w:rPr>
          <w:rFonts w:hint="eastAsia" w:asciiTheme="minorEastAsia" w:hAnsiTheme="minorEastAsia" w:eastAsiaTheme="minorEastAsia"/>
          <w:color w:val="auto"/>
          <w:sz w:val="28"/>
          <w:szCs w:val="28"/>
          <w:lang w:eastAsia="zh-CN"/>
        </w:rPr>
        <w:t>、支付能力</w:t>
      </w:r>
      <w:r>
        <w:rPr>
          <w:rFonts w:hint="eastAsia" w:asciiTheme="minorEastAsia" w:hAnsiTheme="minorEastAsia" w:eastAsiaTheme="minorEastAsia"/>
          <w:color w:val="auto"/>
          <w:sz w:val="28"/>
          <w:szCs w:val="28"/>
        </w:rPr>
        <w:t>和收益稳定性</w:t>
      </w:r>
      <w:r>
        <w:rPr>
          <w:rFonts w:hint="eastAsia" w:asciiTheme="minorEastAsia" w:hAnsiTheme="minorEastAsia" w:eastAsiaTheme="minorEastAsia"/>
          <w:color w:val="auto"/>
          <w:sz w:val="28"/>
          <w:szCs w:val="28"/>
          <w:lang w:eastAsia="zh-CN"/>
        </w:rPr>
        <w:t>，初步分析项目运营成本、项目收费情况以及该项目所属领域现有的财政运营补贴政策，明确项目是否存在按规定补贴运营情形，明确是否不因采用政府和社会资本合作模式额外新增地方财政未来支出责任，确保项目符合使用者付费要求</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项目收费属于政府定价或指导价的，明确定价机制和调价机制。</w:t>
      </w:r>
    </w:p>
    <w:p>
      <w:pPr>
        <w:pStyle w:val="3"/>
        <w:spacing w:before="0" w:after="0" w:line="588" w:lineRule="exact"/>
        <w:ind w:firstLine="562" w:firstLineChars="200"/>
        <w:rPr>
          <w:rFonts w:hint="eastAsia" w:ascii="Cambria" w:hAnsi="Cambria" w:eastAsia="宋体"/>
          <w:color w:val="auto"/>
          <w:sz w:val="28"/>
          <w:szCs w:val="32"/>
        </w:rPr>
      </w:pPr>
      <w:r>
        <w:rPr>
          <w:rFonts w:hint="eastAsia"/>
          <w:color w:val="auto"/>
          <w:sz w:val="28"/>
          <w:szCs w:val="32"/>
          <w:lang w:eastAsia="zh-CN"/>
        </w:rPr>
        <w:t>三、项目</w:t>
      </w:r>
      <w:r>
        <w:rPr>
          <w:rFonts w:hint="eastAsia" w:ascii="Cambria" w:hAnsi="Cambria" w:eastAsia="宋体"/>
          <w:color w:val="auto"/>
          <w:sz w:val="28"/>
          <w:szCs w:val="32"/>
        </w:rPr>
        <w:t>盈利能力分析</w:t>
      </w:r>
    </w:p>
    <w:p>
      <w:pPr>
        <w:pStyle w:val="10"/>
        <w:spacing w:before="0" w:beforeAutospacing="0" w:after="0" w:afterAutospacing="0" w:line="588" w:lineRule="exact"/>
        <w:ind w:firstLine="529" w:firstLineChars="189"/>
        <w:jc w:val="both"/>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研究使用者付费收入的稳定性和成长性，在项目全部投资为权益资金的情形下，</w:t>
      </w:r>
      <w:r>
        <w:rPr>
          <w:rFonts w:hint="eastAsia" w:asciiTheme="minorEastAsia" w:hAnsiTheme="minorEastAsia" w:eastAsiaTheme="minorEastAsia"/>
          <w:color w:val="auto"/>
          <w:sz w:val="28"/>
          <w:szCs w:val="28"/>
        </w:rPr>
        <w:t>考察项目</w:t>
      </w:r>
      <w:r>
        <w:rPr>
          <w:rFonts w:hint="eastAsia" w:asciiTheme="minorEastAsia" w:hAnsiTheme="minorEastAsia" w:eastAsiaTheme="minorEastAsia"/>
          <w:color w:val="auto"/>
          <w:sz w:val="28"/>
          <w:szCs w:val="28"/>
          <w:lang w:eastAsia="zh-CN"/>
        </w:rPr>
        <w:t>全生命周期</w:t>
      </w:r>
      <w:r>
        <w:rPr>
          <w:rFonts w:hint="eastAsia" w:asciiTheme="minorEastAsia" w:hAnsiTheme="minorEastAsia" w:eastAsiaTheme="minorEastAsia"/>
          <w:color w:val="auto"/>
          <w:sz w:val="28"/>
          <w:szCs w:val="28"/>
        </w:rPr>
        <w:t>的现金流入</w:t>
      </w:r>
      <w:r>
        <w:rPr>
          <w:rFonts w:hint="eastAsia" w:asciiTheme="minorEastAsia" w:hAnsiTheme="minorEastAsia" w:eastAsiaTheme="minorEastAsia"/>
          <w:color w:val="auto"/>
          <w:sz w:val="28"/>
          <w:szCs w:val="28"/>
          <w:lang w:eastAsia="zh-CN"/>
        </w:rPr>
        <w:t>（含按规定享有的运营补贴）</w:t>
      </w:r>
      <w:r>
        <w:rPr>
          <w:rFonts w:hint="eastAsia" w:asciiTheme="minorEastAsia" w:hAnsiTheme="minorEastAsia" w:eastAsiaTheme="minorEastAsia"/>
          <w:color w:val="auto"/>
          <w:sz w:val="28"/>
          <w:szCs w:val="28"/>
        </w:rPr>
        <w:t>和流出情况，</w:t>
      </w:r>
      <w:r>
        <w:rPr>
          <w:rFonts w:hint="eastAsia" w:asciiTheme="minorEastAsia" w:hAnsiTheme="minorEastAsia" w:eastAsiaTheme="minorEastAsia"/>
          <w:color w:val="auto"/>
          <w:sz w:val="28"/>
          <w:szCs w:val="28"/>
          <w:lang w:eastAsia="zh-CN"/>
        </w:rPr>
        <w:t>分别</w:t>
      </w:r>
      <w:r>
        <w:rPr>
          <w:rFonts w:hint="eastAsia" w:asciiTheme="minorEastAsia" w:hAnsiTheme="minorEastAsia" w:eastAsiaTheme="minorEastAsia"/>
          <w:color w:val="auto"/>
          <w:sz w:val="28"/>
          <w:szCs w:val="28"/>
        </w:rPr>
        <w:t>计算</w:t>
      </w:r>
      <w:r>
        <w:rPr>
          <w:rFonts w:hint="eastAsia" w:asciiTheme="minorEastAsia" w:hAnsiTheme="minorEastAsia" w:eastAsiaTheme="minorEastAsia"/>
          <w:color w:val="auto"/>
          <w:sz w:val="28"/>
          <w:szCs w:val="28"/>
          <w:lang w:eastAsia="zh-CN"/>
        </w:rPr>
        <w:t>基于</w:t>
      </w:r>
      <w:r>
        <w:rPr>
          <w:rFonts w:hint="eastAsia" w:asciiTheme="minorEastAsia" w:hAnsiTheme="minorEastAsia" w:eastAsiaTheme="minorEastAsia"/>
          <w:color w:val="auto"/>
          <w:sz w:val="28"/>
          <w:szCs w:val="28"/>
        </w:rPr>
        <w:t>项目</w:t>
      </w:r>
      <w:r>
        <w:rPr>
          <w:rFonts w:hint="eastAsia" w:asciiTheme="minorEastAsia" w:hAnsiTheme="minorEastAsia" w:eastAsiaTheme="minorEastAsia"/>
          <w:color w:val="auto"/>
          <w:sz w:val="28"/>
          <w:szCs w:val="28"/>
          <w:lang w:eastAsia="zh-CN"/>
        </w:rPr>
        <w:t>投资现金流量表、特许经营者自有资金现金流量表的</w:t>
      </w:r>
      <w:r>
        <w:rPr>
          <w:rFonts w:hint="eastAsia" w:asciiTheme="minorEastAsia" w:hAnsiTheme="minorEastAsia" w:eastAsiaTheme="minorEastAsia"/>
          <w:color w:val="auto"/>
          <w:sz w:val="28"/>
          <w:szCs w:val="28"/>
        </w:rPr>
        <w:t>财务内部收益率等盈利能力指标。</w:t>
      </w:r>
    </w:p>
    <w:p>
      <w:pPr>
        <w:pStyle w:val="10"/>
        <w:spacing w:before="0" w:beforeAutospacing="0" w:after="0" w:afterAutospacing="0" w:line="588" w:lineRule="exact"/>
        <w:ind w:firstLine="529" w:firstLineChars="189"/>
        <w:jc w:val="both"/>
        <w:rPr>
          <w:rFonts w:hint="eastAsia"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rPr>
        <w:t>对于盈利能力不足的项目</w:t>
      </w:r>
      <w:r>
        <w:rPr>
          <w:rFonts w:hint="eastAsia" w:asciiTheme="minorEastAsia" w:hAnsiTheme="minorEastAsia" w:eastAsiaTheme="minorEastAsia"/>
          <w:color w:val="auto"/>
          <w:sz w:val="28"/>
          <w:szCs w:val="28"/>
        </w:rPr>
        <w:t>，研究分析通过</w:t>
      </w:r>
      <w:r>
        <w:rPr>
          <w:rFonts w:hint="eastAsia" w:asciiTheme="minorEastAsia" w:hAnsiTheme="minorEastAsia" w:eastAsiaTheme="minorEastAsia"/>
          <w:color w:val="auto"/>
          <w:sz w:val="28"/>
          <w:szCs w:val="28"/>
          <w:lang w:eastAsia="zh-CN"/>
        </w:rPr>
        <w:t>多种方式提升项目总体盈利能力的可行性，主要包括合理确定</w:t>
      </w:r>
      <w:r>
        <w:rPr>
          <w:rFonts w:hint="eastAsia" w:asciiTheme="minorEastAsia" w:hAnsiTheme="minorEastAsia" w:eastAsiaTheme="minorEastAsia"/>
          <w:color w:val="auto"/>
          <w:sz w:val="28"/>
          <w:szCs w:val="28"/>
        </w:rPr>
        <w:t>特许经营期限</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政府在建设期提供投资支持</w:t>
      </w:r>
      <w:r>
        <w:rPr>
          <w:rFonts w:hint="eastAsia" w:asciiTheme="minorEastAsia" w:hAnsiTheme="minorEastAsia" w:eastAsiaTheme="minorEastAsia"/>
          <w:color w:val="auto"/>
          <w:sz w:val="28"/>
          <w:szCs w:val="28"/>
          <w:lang w:eastAsia="zh-CN"/>
        </w:rPr>
        <w:t>、依法依规合理调整土地规划用途和开发强度、提供与项目合理相关的</w:t>
      </w:r>
      <w:r>
        <w:rPr>
          <w:rFonts w:hint="eastAsia" w:asciiTheme="minorEastAsia" w:hAnsiTheme="minorEastAsia" w:eastAsiaTheme="minorEastAsia"/>
          <w:color w:val="auto"/>
          <w:sz w:val="28"/>
          <w:szCs w:val="28"/>
        </w:rPr>
        <w:t>资源补偿</w:t>
      </w:r>
      <w:r>
        <w:rPr>
          <w:rFonts w:hint="eastAsia" w:asciiTheme="minorEastAsia" w:hAnsiTheme="minorEastAsia" w:eastAsiaTheme="minorEastAsia"/>
          <w:color w:val="auto"/>
          <w:sz w:val="28"/>
          <w:szCs w:val="28"/>
          <w:lang w:eastAsia="zh-CN"/>
        </w:rPr>
        <w:t>等。如需政府投资支持的，应说明政府投资支持的具体方式、额度和时间节点等。必要情况下，应对盈利能力指标进行敏感性分析及盈亏平衡分析。</w:t>
      </w:r>
    </w:p>
    <w:p>
      <w:pPr>
        <w:pStyle w:val="10"/>
        <w:spacing w:before="0" w:beforeAutospacing="0" w:after="0" w:afterAutospacing="0" w:line="588" w:lineRule="exact"/>
        <w:ind w:firstLine="529" w:firstLineChars="189"/>
        <w:jc w:val="both"/>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eastAsia="zh-CN"/>
        </w:rPr>
        <w:t>以盈利能力角度分析是否适合采用特许经营模式。如采取多种方式后，盈利能力仍不足，则不应采用特许经营模式。</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四</w:t>
      </w:r>
      <w:r>
        <w:rPr>
          <w:rFonts w:hint="eastAsia"/>
          <w:color w:val="auto"/>
          <w:sz w:val="28"/>
        </w:rPr>
        <w:t>、比较优势分析</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从项目全生命周期成本、产出或服务效果、建设运营效率、风险防范控制等方面，特别是对采取特许经营模式和传统政府投资模式在投入产出、经济社会效益等方面进行比较分析，对项目是否适合采用特许经营模式进行论证。</w:t>
      </w:r>
    </w:p>
    <w:p>
      <w:pPr>
        <w:pStyle w:val="3"/>
        <w:spacing w:before="0" w:after="0" w:line="588" w:lineRule="exact"/>
        <w:ind w:firstLine="562"/>
        <w:rPr>
          <w:rFonts w:hint="eastAsia"/>
          <w:b/>
          <w:color w:val="auto"/>
          <w:sz w:val="28"/>
          <w:szCs w:val="32"/>
          <w:lang w:eastAsia="zh-CN"/>
        </w:rPr>
      </w:pPr>
      <w:r>
        <w:rPr>
          <w:rFonts w:hint="eastAsia" w:ascii="Cambria" w:hAnsi="Cambria" w:eastAsia="宋体"/>
          <w:b/>
          <w:color w:val="auto"/>
          <w:sz w:val="28"/>
          <w:szCs w:val="32"/>
          <w:lang w:eastAsia="zh-CN"/>
        </w:rPr>
        <w:t>五</w:t>
      </w:r>
      <w:r>
        <w:rPr>
          <w:rFonts w:hint="eastAsia" w:ascii="Cambria" w:hAnsi="Cambria" w:eastAsia="宋体"/>
          <w:b/>
          <w:color w:val="auto"/>
          <w:sz w:val="28"/>
          <w:szCs w:val="32"/>
        </w:rPr>
        <w:t>、</w:t>
      </w:r>
      <w:r>
        <w:rPr>
          <w:rFonts w:hint="eastAsia"/>
          <w:b/>
          <w:color w:val="auto"/>
          <w:sz w:val="28"/>
          <w:szCs w:val="32"/>
          <w:lang w:eastAsia="zh-CN"/>
        </w:rPr>
        <w:t>参与意愿分析</w:t>
      </w:r>
    </w:p>
    <w:p>
      <w:pPr>
        <w:pStyle w:val="10"/>
        <w:spacing w:before="0" w:beforeAutospacing="0" w:after="0" w:afterAutospacing="0" w:line="588" w:lineRule="exact"/>
        <w:ind w:firstLine="529" w:firstLineChars="189"/>
        <w:contextualSpacing/>
        <w:jc w:val="both"/>
        <w:rPr>
          <w:rFonts w:hint="eastAsia" w:asciiTheme="minorEastAsia" w:hAnsiTheme="minorEastAsia" w:eastAsiaTheme="minorEastAsia"/>
          <w:b w:val="0"/>
          <w:color w:val="auto"/>
          <w:sz w:val="28"/>
          <w:szCs w:val="28"/>
          <w:lang w:eastAsia="zh-CN"/>
        </w:rPr>
      </w:pPr>
      <w:r>
        <w:rPr>
          <w:rFonts w:hint="eastAsia" w:asciiTheme="minorEastAsia" w:hAnsiTheme="minorEastAsia" w:eastAsiaTheme="minorEastAsia"/>
          <w:b w:val="0"/>
          <w:color w:val="auto"/>
          <w:sz w:val="28"/>
          <w:szCs w:val="28"/>
          <w:lang w:eastAsia="zh-CN"/>
        </w:rPr>
        <w:t>分析说明社会资本参与意愿和金融机构参与意愿；必要时，可面向社会资本和金融机构就项目关键条件开展市场测试，说明市场测试结果。</w:t>
      </w:r>
    </w:p>
    <w:p>
      <w:pPr>
        <w:pStyle w:val="3"/>
        <w:spacing w:before="0" w:after="0" w:line="588" w:lineRule="exact"/>
        <w:ind w:firstLine="562"/>
        <w:rPr>
          <w:rFonts w:hint="eastAsia" w:ascii="Cambria" w:hAnsi="Cambria" w:eastAsia="宋体"/>
          <w:b/>
          <w:color w:val="auto"/>
          <w:sz w:val="28"/>
          <w:szCs w:val="32"/>
        </w:rPr>
      </w:pPr>
      <w:r>
        <w:rPr>
          <w:rFonts w:hint="eastAsia"/>
          <w:b/>
          <w:color w:val="auto"/>
          <w:sz w:val="28"/>
          <w:szCs w:val="32"/>
          <w:lang w:eastAsia="zh-CN"/>
        </w:rPr>
        <w:t>六、</w:t>
      </w:r>
      <w:r>
        <w:rPr>
          <w:rFonts w:hint="eastAsia" w:ascii="Cambria" w:hAnsi="Cambria" w:eastAsia="宋体"/>
          <w:b/>
          <w:color w:val="auto"/>
          <w:sz w:val="28"/>
          <w:szCs w:val="32"/>
        </w:rPr>
        <w:t>合法合规</w:t>
      </w:r>
      <w:r>
        <w:rPr>
          <w:rFonts w:hint="eastAsia"/>
          <w:b/>
          <w:color w:val="auto"/>
          <w:sz w:val="28"/>
          <w:szCs w:val="32"/>
          <w:lang w:eastAsia="zh-CN"/>
        </w:rPr>
        <w:t>性分析</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综合上述分析，说明上述特许经营安排是否存在违反法律法规、政策文件精神的情况，包括但不限于</w:t>
      </w:r>
      <w:r>
        <w:rPr>
          <w:rFonts w:hint="eastAsia" w:asciiTheme="minorEastAsia" w:hAnsiTheme="minorEastAsia" w:eastAsiaTheme="minorEastAsia"/>
          <w:color w:val="auto"/>
          <w:sz w:val="28"/>
          <w:szCs w:val="28"/>
        </w:rPr>
        <w:t>特许经营范围或产出界定不清，一定区域或期限内的排他性约定缺失，通过可行性缺口补助、承诺保底收益率、可用性付费等方式使用财政资金弥补项目建设和运营成本</w:t>
      </w:r>
      <w:r>
        <w:rPr>
          <w:rFonts w:hint="eastAsia" w:asciiTheme="minorEastAsia" w:hAnsiTheme="minorEastAsia" w:eastAsiaTheme="minorEastAsia"/>
          <w:color w:val="auto"/>
          <w:sz w:val="28"/>
          <w:szCs w:val="28"/>
          <w:lang w:eastAsia="zh-CN"/>
        </w:rPr>
        <w:t>等。涉及外商投资企业参与的，说明是否符合外商投资管理有关规定。</w:t>
      </w:r>
    </w:p>
    <w:p>
      <w:pPr>
        <w:pStyle w:val="3"/>
        <w:spacing w:before="0" w:after="0" w:line="588" w:lineRule="exact"/>
        <w:ind w:firstLine="562"/>
        <w:rPr>
          <w:rFonts w:hint="eastAsia" w:ascii="Cambria" w:hAnsi="Cambria" w:eastAsia="宋体"/>
          <w:b/>
          <w:color w:val="auto"/>
          <w:sz w:val="28"/>
          <w:szCs w:val="32"/>
        </w:rPr>
      </w:pPr>
      <w:r>
        <w:rPr>
          <w:rFonts w:hint="eastAsia"/>
          <w:b/>
          <w:color w:val="auto"/>
          <w:sz w:val="28"/>
          <w:szCs w:val="32"/>
          <w:lang w:eastAsia="zh-CN"/>
        </w:rPr>
        <w:t>七、特许经营风险分析</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说明采取特许经营模式是否存在相关风险，以及相关风险是否可控。</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rPr>
      </w:pPr>
    </w:p>
    <w:p>
      <w:pPr>
        <w:pStyle w:val="2"/>
        <w:pageBreakBefore w:val="0"/>
        <w:kinsoku/>
        <w:wordWrap/>
        <w:overflowPunct/>
        <w:topLinePunct w:val="0"/>
        <w:autoSpaceDE/>
        <w:autoSpaceDN/>
        <w:bidi w:val="0"/>
        <w:snapToGrid/>
        <w:spacing w:before="0" w:after="0" w:line="588" w:lineRule="exact"/>
        <w:contextualSpacing/>
        <w:jc w:val="center"/>
        <w:textAlignment w:val="auto"/>
        <w:rPr>
          <w:rFonts w:ascii="黑体" w:hAnsi="黑体" w:eastAsia="黑体"/>
          <w:b w:val="0"/>
          <w:color w:val="auto"/>
          <w:sz w:val="32"/>
        </w:rPr>
      </w:pPr>
      <w:r>
        <w:rPr>
          <w:rFonts w:ascii="黑体" w:hAnsi="黑体" w:eastAsia="黑体"/>
          <w:b w:val="0"/>
          <w:color w:val="auto"/>
          <w:sz w:val="32"/>
        </w:rPr>
        <w:t>第</w:t>
      </w:r>
      <w:r>
        <w:rPr>
          <w:rFonts w:hint="eastAsia" w:ascii="黑体" w:hAnsi="黑体" w:eastAsia="黑体"/>
          <w:b w:val="0"/>
          <w:color w:val="auto"/>
          <w:sz w:val="32"/>
        </w:rPr>
        <w:t>四</w:t>
      </w:r>
      <w:r>
        <w:rPr>
          <w:rFonts w:ascii="黑体" w:hAnsi="黑体" w:eastAsia="黑体"/>
          <w:b w:val="0"/>
          <w:color w:val="auto"/>
          <w:sz w:val="32"/>
        </w:rPr>
        <w:t>部分</w:t>
      </w:r>
      <w:r>
        <w:rPr>
          <w:rFonts w:hint="eastAsia" w:ascii="黑体" w:hAnsi="黑体" w:eastAsia="黑体"/>
          <w:b w:val="0"/>
          <w:color w:val="auto"/>
          <w:sz w:val="32"/>
        </w:rPr>
        <w:t xml:space="preserve"> </w:t>
      </w:r>
      <w:r>
        <w:rPr>
          <w:rFonts w:ascii="黑体" w:hAnsi="黑体" w:eastAsia="黑体"/>
          <w:b w:val="0"/>
          <w:color w:val="auto"/>
          <w:sz w:val="32"/>
        </w:rPr>
        <w:t xml:space="preserve"> </w:t>
      </w:r>
      <w:r>
        <w:rPr>
          <w:rFonts w:hint="eastAsia" w:ascii="黑体" w:hAnsi="黑体" w:eastAsia="黑体"/>
          <w:b w:val="0"/>
          <w:color w:val="auto"/>
          <w:sz w:val="32"/>
        </w:rPr>
        <w:t>特许经营主要内容</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一</w:t>
      </w:r>
      <w:r>
        <w:rPr>
          <w:rFonts w:hint="eastAsia"/>
          <w:color w:val="auto"/>
          <w:sz w:val="28"/>
        </w:rPr>
        <w:t>、</w:t>
      </w:r>
      <w:r>
        <w:rPr>
          <w:color w:val="auto"/>
          <w:sz w:val="28"/>
        </w:rPr>
        <w:t>特许经营范围</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明确拟采取特许经营模式的项目建设内容、服务范围等要求，以及特许经营者</w:t>
      </w:r>
      <w:r>
        <w:rPr>
          <w:rFonts w:hint="eastAsia" w:asciiTheme="minorEastAsia" w:hAnsiTheme="minorEastAsia" w:eastAsiaTheme="minorEastAsia"/>
          <w:color w:val="auto"/>
          <w:sz w:val="28"/>
          <w:szCs w:val="28"/>
        </w:rPr>
        <w:t>对项目周期各环节的责任。对于</w:t>
      </w:r>
      <w:r>
        <w:rPr>
          <w:rFonts w:hint="eastAsia" w:asciiTheme="minorEastAsia" w:hAnsiTheme="minorEastAsia" w:eastAsiaTheme="minorEastAsia"/>
          <w:color w:val="auto"/>
          <w:sz w:val="28"/>
          <w:szCs w:val="28"/>
          <w:lang w:eastAsia="zh-CN"/>
        </w:rPr>
        <w:t>盘活</w:t>
      </w:r>
      <w:r>
        <w:rPr>
          <w:rFonts w:hint="eastAsia" w:asciiTheme="minorEastAsia" w:hAnsiTheme="minorEastAsia" w:eastAsiaTheme="minorEastAsia"/>
          <w:color w:val="auto"/>
          <w:sz w:val="28"/>
          <w:szCs w:val="28"/>
        </w:rPr>
        <w:t>存量</w:t>
      </w:r>
      <w:r>
        <w:rPr>
          <w:rFonts w:hint="eastAsia" w:asciiTheme="minorEastAsia" w:hAnsiTheme="minorEastAsia" w:eastAsiaTheme="minorEastAsia"/>
          <w:color w:val="auto"/>
          <w:sz w:val="28"/>
          <w:szCs w:val="28"/>
          <w:lang w:eastAsia="zh-CN"/>
        </w:rPr>
        <w:t>资产</w:t>
      </w:r>
      <w:r>
        <w:rPr>
          <w:rFonts w:hint="eastAsia" w:asciiTheme="minorEastAsia" w:hAnsiTheme="minorEastAsia" w:eastAsiaTheme="minorEastAsia"/>
          <w:color w:val="auto"/>
          <w:sz w:val="28"/>
          <w:szCs w:val="28"/>
        </w:rPr>
        <w:t>项目，应列明项目资产</w:t>
      </w:r>
      <w:r>
        <w:rPr>
          <w:rFonts w:hint="eastAsia" w:asciiTheme="minorEastAsia" w:hAnsiTheme="minorEastAsia" w:eastAsiaTheme="minorEastAsia"/>
          <w:color w:val="auto"/>
          <w:sz w:val="28"/>
          <w:szCs w:val="28"/>
          <w:lang w:eastAsia="zh-CN"/>
        </w:rPr>
        <w:t>处置方式和程序</w:t>
      </w:r>
      <w:r>
        <w:rPr>
          <w:rFonts w:hint="eastAsia" w:asciiTheme="minorEastAsia" w:hAnsiTheme="minorEastAsia" w:eastAsiaTheme="minorEastAsia"/>
          <w:color w:val="auto"/>
          <w:sz w:val="28"/>
          <w:szCs w:val="28"/>
        </w:rPr>
        <w:t>等内容</w:t>
      </w:r>
      <w:r>
        <w:rPr>
          <w:rFonts w:hint="eastAsia" w:asciiTheme="minorEastAsia" w:hAnsiTheme="minorEastAsia" w:eastAsiaTheme="minorEastAsia"/>
          <w:color w:val="auto"/>
          <w:sz w:val="28"/>
          <w:szCs w:val="28"/>
          <w:lang w:eastAsia="zh-CN"/>
        </w:rPr>
        <w:t>，以及项目存量债务处理和职工安置等要求</w:t>
      </w:r>
      <w:r>
        <w:rPr>
          <w:rFonts w:hint="eastAsia" w:asciiTheme="minorEastAsia" w:hAnsiTheme="minorEastAsia" w:eastAsiaTheme="minorEastAsia"/>
          <w:color w:val="auto"/>
          <w:sz w:val="28"/>
          <w:szCs w:val="28"/>
        </w:rPr>
        <w:t>。</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二</w:t>
      </w:r>
      <w:r>
        <w:rPr>
          <w:rFonts w:hint="eastAsia"/>
          <w:color w:val="auto"/>
          <w:sz w:val="28"/>
        </w:rPr>
        <w:t>、</w:t>
      </w:r>
      <w:r>
        <w:rPr>
          <w:color w:val="auto"/>
          <w:sz w:val="28"/>
        </w:rPr>
        <w:t>实施方式</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确定拟采用特许经</w:t>
      </w:r>
      <w:r>
        <w:rPr>
          <w:rFonts w:ascii="Times New Roman" w:hAnsi="Times New Roman" w:cs="Times New Roman" w:eastAsiaTheme="minorEastAsia"/>
          <w:color w:val="auto"/>
          <w:sz w:val="28"/>
          <w:szCs w:val="28"/>
        </w:rPr>
        <w:t>营模式的具体实施方式</w:t>
      </w:r>
      <w:r>
        <w:rPr>
          <w:rFonts w:hint="eastAsia" w:ascii="Times New Roman" w:hAnsi="Times New Roman" w:cs="Times New Roman" w:eastAsiaTheme="minorEastAsia"/>
          <w:color w:val="auto"/>
          <w:sz w:val="28"/>
          <w:szCs w:val="28"/>
          <w:lang w:eastAsia="zh-CN"/>
        </w:rPr>
        <w:t>。</w:t>
      </w:r>
      <w:r>
        <w:rPr>
          <w:rFonts w:ascii="Times New Roman" w:hAnsi="Times New Roman" w:cs="Times New Roman" w:eastAsiaTheme="minorEastAsia"/>
          <w:color w:val="auto"/>
          <w:sz w:val="28"/>
          <w:szCs w:val="28"/>
        </w:rPr>
        <w:t>新建项目可采用BOT、BOOT、DBFOT</w:t>
      </w:r>
      <w:r>
        <w:rPr>
          <w:rFonts w:hint="eastAsia" w:ascii="Times New Roman" w:hAnsi="Times New Roman" w:cs="Times New Roman" w:eastAsiaTheme="minorEastAsia"/>
          <w:color w:val="auto"/>
          <w:sz w:val="28"/>
          <w:szCs w:val="28"/>
        </w:rPr>
        <w:t>、B</w:t>
      </w:r>
      <w:r>
        <w:rPr>
          <w:rFonts w:ascii="Times New Roman" w:hAnsi="Times New Roman" w:cs="Times New Roman" w:eastAsiaTheme="minorEastAsia"/>
          <w:color w:val="auto"/>
          <w:sz w:val="28"/>
          <w:szCs w:val="28"/>
        </w:rPr>
        <w:t>OO等方式，改扩建项目可采用ROT方式，存量资产盘活可采用TOT等方式</w:t>
      </w:r>
      <w:r>
        <w:rPr>
          <w:rFonts w:hint="eastAsia" w:ascii="Times New Roman" w:hAnsi="Times New Roman" w:cs="Times New Roman" w:eastAsiaTheme="minorEastAsia"/>
          <w:color w:val="auto"/>
          <w:sz w:val="28"/>
          <w:szCs w:val="28"/>
          <w:lang w:eastAsia="zh-CN"/>
        </w:rPr>
        <w:t>。</w:t>
      </w:r>
      <w:r>
        <w:rPr>
          <w:rFonts w:ascii="Times New Roman" w:hAnsi="Times New Roman" w:cs="Times New Roman" w:eastAsiaTheme="minorEastAsia"/>
          <w:color w:val="auto"/>
          <w:sz w:val="28"/>
          <w:szCs w:val="28"/>
        </w:rPr>
        <w:t>说明实施方式选择的主要依据</w:t>
      </w:r>
      <w:r>
        <w:rPr>
          <w:rFonts w:hint="eastAsia" w:ascii="Times New Roman" w:hAnsi="Times New Roman" w:cs="Times New Roman" w:eastAsiaTheme="minorEastAsia"/>
          <w:color w:val="auto"/>
          <w:sz w:val="28"/>
          <w:szCs w:val="28"/>
          <w:lang w:eastAsia="zh-CN"/>
        </w:rPr>
        <w:t>和</w:t>
      </w:r>
      <w:r>
        <w:rPr>
          <w:rFonts w:hint="eastAsia" w:ascii="Times New Roman" w:hAnsi="Times New Roman" w:cs="Times New Roman" w:eastAsiaTheme="minorEastAsia"/>
          <w:color w:val="auto"/>
          <w:sz w:val="28"/>
          <w:szCs w:val="28"/>
          <w:lang w:val="en-US" w:eastAsia="zh-CN"/>
        </w:rPr>
        <w:t>考虑</w:t>
      </w:r>
      <w:r>
        <w:rPr>
          <w:rFonts w:hint="eastAsia" w:asciiTheme="minorEastAsia" w:hAnsiTheme="minorEastAsia" w:eastAsiaTheme="minorEastAsia"/>
          <w:color w:val="auto"/>
          <w:sz w:val="28"/>
          <w:szCs w:val="28"/>
        </w:rPr>
        <w:t>。</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三</w:t>
      </w:r>
      <w:r>
        <w:rPr>
          <w:rFonts w:hint="eastAsia"/>
          <w:color w:val="auto"/>
          <w:sz w:val="28"/>
        </w:rPr>
        <w:t>、</w:t>
      </w:r>
      <w:r>
        <w:rPr>
          <w:rFonts w:hint="eastAsia"/>
          <w:color w:val="auto"/>
          <w:sz w:val="28"/>
          <w:lang w:eastAsia="zh-CN"/>
        </w:rPr>
        <w:t>特许经营期限和资产权属</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明确特许经营期限，说明特许经营期限确定依据。如将特许经营期限作为招标评定标准，应以最终招标确定的期限为准。明确特许经营期限内和特许经营到期后的资产权属情况。</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color w:val="auto"/>
          <w:sz w:val="28"/>
          <w:lang w:eastAsia="zh-CN"/>
        </w:rPr>
      </w:pPr>
      <w:r>
        <w:rPr>
          <w:rFonts w:hint="eastAsia"/>
          <w:color w:val="auto"/>
          <w:sz w:val="28"/>
          <w:lang w:eastAsia="zh-CN"/>
        </w:rPr>
        <w:t>四、特许经营主要原则和合作边界</w:t>
      </w:r>
    </w:p>
    <w:p>
      <w:pPr>
        <w:pStyle w:val="10"/>
        <w:spacing w:before="0" w:beforeAutospacing="0" w:after="0" w:afterAutospacing="0" w:line="588" w:lineRule="exact"/>
        <w:ind w:firstLine="526" w:firstLineChars="188"/>
        <w:contextualSpacing/>
        <w:jc w:val="both"/>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明确使用者付费定价、调价机制和原则，以及期间各类变更的处理原则等；明确特许经营各阶段政府、特许经营者、项目公司的权利、义务等。</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五</w:t>
      </w:r>
      <w:r>
        <w:rPr>
          <w:rFonts w:hint="eastAsia"/>
          <w:color w:val="auto"/>
          <w:sz w:val="28"/>
        </w:rPr>
        <w:t>、特许经营者选择</w:t>
      </w:r>
    </w:p>
    <w:p>
      <w:pPr>
        <w:pStyle w:val="4"/>
        <w:pageBreakBefore w:val="0"/>
        <w:kinsoku/>
        <w:wordWrap/>
        <w:overflowPunct/>
        <w:topLinePunct w:val="0"/>
        <w:autoSpaceDE/>
        <w:autoSpaceDN/>
        <w:bidi w:val="0"/>
        <w:adjustRightInd w:val="0"/>
        <w:snapToGrid/>
        <w:spacing w:before="0" w:after="0" w:line="588" w:lineRule="exact"/>
        <w:ind w:firstLine="528" w:firstLineChars="188"/>
        <w:contextualSpacing/>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（一）特许经营者</w:t>
      </w:r>
      <w:r>
        <w:rPr>
          <w:rFonts w:hint="eastAsia" w:asciiTheme="minorEastAsia" w:hAnsiTheme="minorEastAsia" w:eastAsiaTheme="minorEastAsia"/>
          <w:color w:val="auto"/>
          <w:sz w:val="28"/>
          <w:szCs w:val="28"/>
          <w:lang w:eastAsia="zh-CN"/>
        </w:rPr>
        <w:t>基本</w:t>
      </w:r>
      <w:r>
        <w:rPr>
          <w:rFonts w:hint="eastAsia" w:asciiTheme="minorEastAsia" w:hAnsiTheme="minorEastAsia" w:eastAsiaTheme="minorEastAsia"/>
          <w:color w:val="auto"/>
          <w:sz w:val="28"/>
          <w:szCs w:val="28"/>
        </w:rPr>
        <w:t>条件</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按照以下要求，明确特许经营者基本条件：除作为政府出资</w:t>
      </w:r>
      <w:bookmarkStart w:id="0" w:name="_GoBack"/>
      <w:bookmarkEnd w:id="0"/>
      <w:r>
        <w:rPr>
          <w:rFonts w:hint="eastAsia" w:asciiTheme="minorEastAsia" w:hAnsiTheme="minorEastAsia" w:eastAsiaTheme="minorEastAsia"/>
          <w:color w:val="auto"/>
          <w:sz w:val="28"/>
          <w:szCs w:val="28"/>
          <w:lang w:eastAsia="zh-CN"/>
        </w:rPr>
        <w:t>人代表参与地方政府通过资本金注入方式给予投资支持的项目外，地方本级国有独资或国有控股企业（含其独资或控股的子公司）不得以任何方式作为本级政府和社会资本合作新建（含改扩建）项目的联合投标方或项目公司股东；作为政府出资人代表时，原则上不得在项目公司中控股。</w:t>
      </w:r>
    </w:p>
    <w:p>
      <w:pPr>
        <w:pStyle w:val="4"/>
        <w:pageBreakBefore w:val="0"/>
        <w:kinsoku/>
        <w:wordWrap/>
        <w:overflowPunct/>
        <w:topLinePunct w:val="0"/>
        <w:autoSpaceDE/>
        <w:autoSpaceDN/>
        <w:bidi w:val="0"/>
        <w:adjustRightInd w:val="0"/>
        <w:snapToGrid/>
        <w:spacing w:before="0" w:after="0" w:line="588" w:lineRule="exact"/>
        <w:ind w:firstLine="531" w:firstLineChars="189"/>
        <w:contextualSpacing/>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（二）特许经营者选择方式</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shd w:val="clear" w:color="auto" w:fill="FFFFFF"/>
          <w:lang w:eastAsia="zh-CN"/>
        </w:rPr>
        <w:t>应</w:t>
      </w:r>
      <w:r>
        <w:rPr>
          <w:rFonts w:hint="eastAsia" w:asciiTheme="minorEastAsia" w:hAnsiTheme="minorEastAsia" w:eastAsiaTheme="minorEastAsia"/>
          <w:color w:val="auto"/>
          <w:sz w:val="28"/>
          <w:szCs w:val="28"/>
          <w:shd w:val="clear" w:color="auto" w:fill="FFFFFF"/>
        </w:rPr>
        <w:t>优先采用公开招标方式选择特许经营者。</w:t>
      </w:r>
      <w:r>
        <w:rPr>
          <w:rFonts w:hint="eastAsia" w:asciiTheme="minorEastAsia" w:hAnsiTheme="minorEastAsia" w:eastAsiaTheme="minorEastAsia"/>
          <w:color w:val="auto"/>
          <w:sz w:val="28"/>
          <w:szCs w:val="28"/>
        </w:rPr>
        <w:t>如果不选择公开招标方式，必须明确原因和依据。</w:t>
      </w:r>
    </w:p>
    <w:p>
      <w:pPr>
        <w:pStyle w:val="4"/>
        <w:pageBreakBefore w:val="0"/>
        <w:kinsoku/>
        <w:wordWrap/>
        <w:overflowPunct/>
        <w:topLinePunct w:val="0"/>
        <w:autoSpaceDE/>
        <w:autoSpaceDN/>
        <w:bidi w:val="0"/>
        <w:adjustRightInd w:val="0"/>
        <w:snapToGrid/>
        <w:spacing w:before="0" w:after="0" w:line="588" w:lineRule="exact"/>
        <w:ind w:firstLine="531" w:firstLineChars="189"/>
        <w:contextualSpacing/>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三</w:t>
      </w:r>
      <w:r>
        <w:rPr>
          <w:rFonts w:hint="eastAsia" w:asciiTheme="minorEastAsia" w:hAnsiTheme="minorEastAsia" w:eastAsiaTheme="minorEastAsia"/>
          <w:color w:val="auto"/>
          <w:sz w:val="28"/>
          <w:szCs w:val="28"/>
        </w:rPr>
        <w:t>）特许经营者选择</w:t>
      </w:r>
      <w:r>
        <w:rPr>
          <w:rFonts w:hint="eastAsia" w:asciiTheme="minorEastAsia" w:hAnsiTheme="minorEastAsia" w:eastAsiaTheme="minorEastAsia"/>
          <w:color w:val="auto"/>
          <w:sz w:val="28"/>
          <w:szCs w:val="28"/>
          <w:lang w:eastAsia="zh-CN"/>
        </w:rPr>
        <w:t>标准</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对特许经营者应具备的条件提出要求，明确</w:t>
      </w:r>
      <w:r>
        <w:rPr>
          <w:rFonts w:hint="eastAsia" w:asciiTheme="minorEastAsia" w:hAnsiTheme="minorEastAsia" w:eastAsiaTheme="minorEastAsia"/>
          <w:color w:val="auto"/>
          <w:sz w:val="28"/>
          <w:szCs w:val="28"/>
        </w:rPr>
        <w:t>特许经营者</w:t>
      </w:r>
      <w:r>
        <w:rPr>
          <w:rFonts w:hint="eastAsia" w:asciiTheme="minorEastAsia" w:hAnsiTheme="minorEastAsia" w:eastAsiaTheme="minorEastAsia"/>
          <w:color w:val="auto"/>
          <w:sz w:val="28"/>
          <w:szCs w:val="28"/>
          <w:lang w:eastAsia="zh-CN"/>
        </w:rPr>
        <w:t>应具</w:t>
      </w:r>
      <w:r>
        <w:rPr>
          <w:rFonts w:hint="eastAsia" w:asciiTheme="minorEastAsia" w:hAnsiTheme="minorEastAsia" w:eastAsiaTheme="minorEastAsia"/>
          <w:color w:val="auto"/>
          <w:sz w:val="28"/>
          <w:szCs w:val="28"/>
        </w:rPr>
        <w:t>备</w:t>
      </w:r>
      <w:r>
        <w:rPr>
          <w:rFonts w:hint="eastAsia" w:asciiTheme="minorEastAsia" w:hAnsiTheme="minorEastAsia" w:eastAsiaTheme="minorEastAsia"/>
          <w:color w:val="auto"/>
          <w:sz w:val="28"/>
          <w:szCs w:val="28"/>
          <w:lang w:eastAsia="zh-CN"/>
        </w:rPr>
        <w:t>的</w:t>
      </w:r>
      <w:r>
        <w:rPr>
          <w:rFonts w:hint="eastAsia" w:asciiTheme="minorEastAsia" w:hAnsiTheme="minorEastAsia" w:eastAsiaTheme="minorEastAsia"/>
          <w:color w:val="auto"/>
          <w:sz w:val="28"/>
          <w:szCs w:val="28"/>
        </w:rPr>
        <w:t>项目管理经验、专业运营能力、企业综合实力、信用状况</w:t>
      </w:r>
      <w:r>
        <w:rPr>
          <w:rFonts w:hint="eastAsia" w:asciiTheme="minorEastAsia" w:hAnsiTheme="minorEastAsia" w:eastAsiaTheme="minorEastAsia"/>
          <w:color w:val="auto"/>
          <w:sz w:val="28"/>
          <w:szCs w:val="28"/>
          <w:lang w:eastAsia="zh-CN"/>
        </w:rPr>
        <w:t>等，并将</w:t>
      </w:r>
      <w:r>
        <w:rPr>
          <w:rFonts w:hint="eastAsia" w:asciiTheme="minorEastAsia" w:hAnsiTheme="minorEastAsia" w:eastAsiaTheme="minorEastAsia"/>
          <w:color w:val="auto"/>
          <w:sz w:val="28"/>
          <w:szCs w:val="28"/>
        </w:rPr>
        <w:t>项目运营方案、收费单价、特许经营期限、政府支持条件等作为</w:t>
      </w:r>
      <w:r>
        <w:rPr>
          <w:rFonts w:hint="eastAsia" w:asciiTheme="minorEastAsia" w:hAnsiTheme="minorEastAsia" w:eastAsiaTheme="minorEastAsia"/>
          <w:color w:val="auto"/>
          <w:sz w:val="28"/>
          <w:szCs w:val="28"/>
          <w:shd w:val="clear" w:color="auto" w:fill="FFFFFF"/>
        </w:rPr>
        <w:t>选择特许经营者的重要评标标准</w:t>
      </w:r>
      <w:r>
        <w:rPr>
          <w:rFonts w:hint="eastAsia" w:asciiTheme="minorEastAsia" w:hAnsiTheme="minorEastAsia" w:eastAsiaTheme="minorEastAsia"/>
          <w:color w:val="auto"/>
          <w:sz w:val="28"/>
          <w:szCs w:val="28"/>
          <w:lang w:eastAsia="zh-CN"/>
        </w:rPr>
        <w:t>。对特许经营新建（含改扩建）项目，应按照《</w:t>
      </w:r>
      <w:r>
        <w:rPr>
          <w:rFonts w:hint="eastAsia" w:asciiTheme="minorEastAsia" w:hAnsiTheme="minorEastAsia" w:eastAsiaTheme="minorEastAsia"/>
          <w:color w:val="auto"/>
          <w:sz w:val="28"/>
          <w:szCs w:val="28"/>
        </w:rPr>
        <w:t>支持民营企业参与的特许经营新建（含改扩建）项目清单</w:t>
      </w:r>
      <w:r>
        <w:rPr>
          <w:rFonts w:hint="eastAsia" w:asciiTheme="minorEastAsia" w:hAnsiTheme="minorEastAsia" w:eastAsiaTheme="minorEastAsia"/>
          <w:color w:val="auto"/>
          <w:sz w:val="28"/>
          <w:szCs w:val="28"/>
          <w:lang w:eastAsia="zh-CN"/>
        </w:rPr>
        <w:t>》，明确鼓励优先选择</w:t>
      </w:r>
      <w:r>
        <w:rPr>
          <w:rFonts w:hint="eastAsia" w:asciiTheme="minorEastAsia" w:hAnsiTheme="minorEastAsia" w:eastAsiaTheme="minorEastAsia"/>
          <w:color w:val="auto"/>
          <w:sz w:val="28"/>
          <w:szCs w:val="28"/>
        </w:rPr>
        <w:t>民营企业参与</w:t>
      </w:r>
      <w:r>
        <w:rPr>
          <w:rFonts w:hint="eastAsia" w:asciiTheme="minorEastAsia" w:hAnsiTheme="minorEastAsia" w:eastAsiaTheme="minorEastAsia"/>
          <w:color w:val="auto"/>
          <w:sz w:val="28"/>
          <w:szCs w:val="28"/>
          <w:lang w:eastAsia="zh-CN"/>
        </w:rPr>
        <w:t>的具体要求。</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六</w:t>
      </w:r>
      <w:r>
        <w:rPr>
          <w:rFonts w:hint="eastAsia"/>
          <w:color w:val="auto"/>
          <w:sz w:val="28"/>
        </w:rPr>
        <w:t>、交易结构</w:t>
      </w:r>
      <w:r>
        <w:rPr>
          <w:rFonts w:hint="eastAsia"/>
          <w:color w:val="auto"/>
          <w:sz w:val="28"/>
          <w:lang w:eastAsia="zh-CN"/>
        </w:rPr>
        <w:t>与投融资结构</w:t>
      </w:r>
    </w:p>
    <w:p>
      <w:pPr>
        <w:pStyle w:val="4"/>
        <w:pageBreakBefore w:val="0"/>
        <w:kinsoku/>
        <w:wordWrap/>
        <w:overflowPunct/>
        <w:topLinePunct w:val="0"/>
        <w:autoSpaceDE/>
        <w:autoSpaceDN/>
        <w:bidi w:val="0"/>
        <w:adjustRightInd w:val="0"/>
        <w:snapToGrid/>
        <w:spacing w:before="0" w:after="0" w:line="588" w:lineRule="exact"/>
        <w:ind w:firstLine="528" w:firstLineChars="188"/>
        <w:contextualSpacing/>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（一）</w:t>
      </w:r>
      <w:r>
        <w:rPr>
          <w:rFonts w:hint="eastAsia" w:asciiTheme="minorEastAsia" w:hAnsiTheme="minorEastAsia" w:eastAsiaTheme="minorEastAsia"/>
          <w:color w:val="auto"/>
          <w:sz w:val="28"/>
          <w:szCs w:val="28"/>
          <w:lang w:eastAsia="zh-CN"/>
        </w:rPr>
        <w:t>交易结构</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设计并绘制</w:t>
      </w:r>
      <w:r>
        <w:rPr>
          <w:rFonts w:hint="eastAsia" w:asciiTheme="minorEastAsia" w:hAnsiTheme="minorEastAsia" w:eastAsiaTheme="minorEastAsia"/>
          <w:color w:val="auto"/>
          <w:sz w:val="28"/>
          <w:szCs w:val="28"/>
        </w:rPr>
        <w:t>特许经营项目交易结构图，明确</w:t>
      </w:r>
      <w:r>
        <w:rPr>
          <w:rFonts w:hint="eastAsia" w:asciiTheme="minorEastAsia" w:hAnsiTheme="minorEastAsia" w:eastAsiaTheme="minorEastAsia"/>
          <w:color w:val="auto"/>
          <w:sz w:val="28"/>
          <w:szCs w:val="28"/>
          <w:lang w:eastAsia="zh-CN"/>
        </w:rPr>
        <w:t>项目授权路径、特许经营者持</w:t>
      </w:r>
      <w:r>
        <w:rPr>
          <w:rFonts w:asciiTheme="minorEastAsia" w:hAnsiTheme="minorEastAsia" w:eastAsiaTheme="minorEastAsia"/>
          <w:color w:val="auto"/>
          <w:sz w:val="28"/>
          <w:szCs w:val="28"/>
        </w:rPr>
        <w:t>股比例</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合同体系、</w:t>
      </w:r>
      <w:r>
        <w:rPr>
          <w:rFonts w:hint="eastAsia" w:asciiTheme="minorEastAsia" w:hAnsiTheme="minorEastAsia" w:eastAsiaTheme="minorEastAsia"/>
          <w:color w:val="auto"/>
          <w:sz w:val="28"/>
          <w:szCs w:val="28"/>
        </w:rPr>
        <w:t>项目管理结构</w:t>
      </w:r>
      <w:r>
        <w:rPr>
          <w:rFonts w:hint="eastAsia" w:asciiTheme="minorEastAsia" w:hAnsiTheme="minorEastAsia" w:eastAsiaTheme="minorEastAsia"/>
          <w:color w:val="auto"/>
          <w:sz w:val="28"/>
          <w:szCs w:val="28"/>
          <w:lang w:eastAsia="zh-CN"/>
        </w:rPr>
        <w:t>、资产形成与移交、</w:t>
      </w:r>
      <w:r>
        <w:rPr>
          <w:rFonts w:hint="eastAsia" w:asciiTheme="minorEastAsia" w:hAnsiTheme="minorEastAsia" w:eastAsiaTheme="minorEastAsia"/>
          <w:color w:val="auto"/>
          <w:sz w:val="28"/>
          <w:szCs w:val="28"/>
        </w:rPr>
        <w:t>政府监管结构，说明实施机构、政府方出资</w:t>
      </w:r>
      <w:r>
        <w:rPr>
          <w:rFonts w:hint="eastAsia" w:asciiTheme="minorEastAsia" w:hAnsiTheme="minorEastAsia" w:eastAsiaTheme="minorEastAsia"/>
          <w:color w:val="auto"/>
          <w:sz w:val="28"/>
          <w:szCs w:val="28"/>
          <w:lang w:eastAsia="zh-CN"/>
        </w:rPr>
        <w:t>人</w:t>
      </w:r>
      <w:r>
        <w:rPr>
          <w:rFonts w:hint="eastAsia" w:asciiTheme="minorEastAsia" w:hAnsiTheme="minorEastAsia" w:eastAsiaTheme="minorEastAsia"/>
          <w:color w:val="auto"/>
          <w:sz w:val="28"/>
          <w:szCs w:val="28"/>
        </w:rPr>
        <w:t>代表（如政府资本金注入）等推进主体的责任。</w:t>
      </w:r>
      <w:r>
        <w:rPr>
          <w:rFonts w:hint="eastAsia" w:asciiTheme="minorEastAsia" w:hAnsiTheme="minorEastAsia" w:eastAsiaTheme="minorEastAsia"/>
          <w:color w:val="auto"/>
          <w:sz w:val="28"/>
          <w:szCs w:val="28"/>
          <w:lang w:eastAsia="zh-CN"/>
        </w:rPr>
        <w:t>明确正常运营情形下，特许经营者不得转让项目公司股权的最短期限限制。</w:t>
      </w:r>
    </w:p>
    <w:p>
      <w:pPr>
        <w:pStyle w:val="4"/>
        <w:pageBreakBefore w:val="0"/>
        <w:kinsoku/>
        <w:wordWrap/>
        <w:overflowPunct/>
        <w:topLinePunct w:val="0"/>
        <w:autoSpaceDE/>
        <w:autoSpaceDN/>
        <w:bidi w:val="0"/>
        <w:adjustRightInd w:val="0"/>
        <w:snapToGrid/>
        <w:spacing w:before="0" w:after="0" w:line="588" w:lineRule="exact"/>
        <w:ind w:firstLine="528" w:firstLineChars="188"/>
        <w:contextualSpacing/>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二</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投融资结构</w:t>
      </w:r>
    </w:p>
    <w:p>
      <w:pPr>
        <w:pStyle w:val="10"/>
        <w:pageBreakBefore w:val="0"/>
        <w:kinsoku/>
        <w:wordWrap/>
        <w:overflowPunct/>
        <w:topLinePunct w:val="0"/>
        <w:autoSpaceDE/>
        <w:autoSpaceDN/>
        <w:bidi w:val="0"/>
        <w:snapToGrid/>
        <w:spacing w:before="0" w:beforeAutospacing="0" w:after="0" w:afterAutospacing="0" w:line="588" w:lineRule="exact"/>
        <w:ind w:firstLine="526" w:firstLineChars="188"/>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明确项目资本金比例、股东出资要求、融资方式及限制条件、建设期政府投资支持方式和预计金额或比例、政府或政府出资人代表对项目公司分红的要求、项目公司清算后剩余收益分配要求等，以及银行贷款等融资原则等。</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七</w:t>
      </w:r>
      <w:r>
        <w:rPr>
          <w:rFonts w:hint="eastAsia"/>
          <w:color w:val="auto"/>
          <w:sz w:val="28"/>
        </w:rPr>
        <w:t>、</w:t>
      </w:r>
      <w:r>
        <w:rPr>
          <w:rFonts w:hint="eastAsia"/>
          <w:color w:val="auto"/>
          <w:sz w:val="28"/>
          <w:lang w:eastAsia="zh-CN"/>
        </w:rPr>
        <w:t>监督管理和</w:t>
      </w:r>
      <w:r>
        <w:rPr>
          <w:rFonts w:hint="eastAsia"/>
          <w:color w:val="auto"/>
          <w:sz w:val="28"/>
        </w:rPr>
        <w:t>运营评价</w:t>
      </w:r>
    </w:p>
    <w:p>
      <w:pPr>
        <w:pStyle w:val="4"/>
        <w:pageBreakBefore w:val="0"/>
        <w:kinsoku/>
        <w:wordWrap/>
        <w:overflowPunct/>
        <w:topLinePunct w:val="0"/>
        <w:autoSpaceDE/>
        <w:autoSpaceDN/>
        <w:bidi w:val="0"/>
        <w:adjustRightInd w:val="0"/>
        <w:snapToGrid/>
        <w:spacing w:before="0" w:after="0" w:line="588" w:lineRule="exact"/>
        <w:ind w:firstLine="531" w:firstLineChars="189"/>
        <w:contextualSpacing/>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一</w:t>
      </w:r>
      <w:r>
        <w:rPr>
          <w:rFonts w:hint="eastAsia" w:asciiTheme="minorEastAsia" w:hAnsiTheme="minorEastAsia" w:eastAsiaTheme="minorEastAsia"/>
          <w:color w:val="auto"/>
          <w:sz w:val="28"/>
          <w:szCs w:val="28"/>
        </w:rPr>
        <w:t>）监督管理</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明确实施机构会同有关部门对特许经营项目前期</w:t>
      </w:r>
      <w:r>
        <w:rPr>
          <w:rFonts w:hint="eastAsia" w:asciiTheme="minorEastAsia" w:hAnsiTheme="minorEastAsia" w:eastAsiaTheme="minorEastAsia"/>
          <w:color w:val="auto"/>
          <w:sz w:val="28"/>
          <w:szCs w:val="28"/>
          <w:lang w:eastAsia="zh-CN"/>
        </w:rPr>
        <w:t>工作</w:t>
      </w:r>
      <w:r>
        <w:rPr>
          <w:rFonts w:hint="eastAsia" w:asciiTheme="minorEastAsia" w:hAnsiTheme="minorEastAsia" w:eastAsiaTheme="minorEastAsia"/>
          <w:color w:val="auto"/>
          <w:sz w:val="28"/>
          <w:szCs w:val="28"/>
        </w:rPr>
        <w:t>、建设</w:t>
      </w:r>
      <w:r>
        <w:rPr>
          <w:rFonts w:hint="eastAsia" w:asciiTheme="minorEastAsia" w:hAnsiTheme="minorEastAsia" w:eastAsiaTheme="minorEastAsia"/>
          <w:color w:val="auto"/>
          <w:sz w:val="28"/>
          <w:szCs w:val="28"/>
          <w:lang w:eastAsia="zh-CN"/>
        </w:rPr>
        <w:t>实施</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日常</w:t>
      </w:r>
      <w:r>
        <w:rPr>
          <w:rFonts w:hint="eastAsia" w:asciiTheme="minorEastAsia" w:hAnsiTheme="minorEastAsia" w:eastAsiaTheme="minorEastAsia"/>
          <w:color w:val="auto"/>
          <w:sz w:val="28"/>
          <w:szCs w:val="28"/>
        </w:rPr>
        <w:t>运营等环节</w:t>
      </w:r>
      <w:r>
        <w:rPr>
          <w:rFonts w:hint="eastAsia" w:asciiTheme="minorEastAsia" w:hAnsiTheme="minorEastAsia" w:eastAsiaTheme="minorEastAsia"/>
          <w:color w:val="auto"/>
          <w:sz w:val="28"/>
          <w:szCs w:val="28"/>
          <w:lang w:eastAsia="zh-CN"/>
        </w:rPr>
        <w:t>的</w:t>
      </w:r>
      <w:r>
        <w:rPr>
          <w:rFonts w:hint="eastAsia" w:asciiTheme="minorEastAsia" w:hAnsiTheme="minorEastAsia" w:eastAsiaTheme="minorEastAsia"/>
          <w:color w:val="auto"/>
          <w:sz w:val="28"/>
          <w:szCs w:val="28"/>
        </w:rPr>
        <w:t>公共监督要求</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明确项目通过</w:t>
      </w:r>
      <w:r>
        <w:rPr>
          <w:rFonts w:hint="eastAsia" w:asciiTheme="minorEastAsia" w:hAnsiTheme="minorEastAsia" w:eastAsiaTheme="minorEastAsia"/>
          <w:color w:val="auto"/>
          <w:sz w:val="28"/>
          <w:szCs w:val="28"/>
          <w:lang w:eastAsia="zh-CN"/>
        </w:rPr>
        <w:t>全国投资项目</w:t>
      </w:r>
      <w:r>
        <w:rPr>
          <w:rFonts w:hint="eastAsia" w:asciiTheme="minorEastAsia" w:hAnsiTheme="minorEastAsia" w:eastAsiaTheme="minorEastAsia"/>
          <w:color w:val="auto"/>
          <w:sz w:val="28"/>
          <w:szCs w:val="28"/>
        </w:rPr>
        <w:t>在线审批监管平台向社会公开披露相关信息的内容和要求</w:t>
      </w:r>
      <w:r>
        <w:rPr>
          <w:rFonts w:hint="eastAsia" w:asciiTheme="minorEastAsia" w:hAnsiTheme="minorEastAsia" w:eastAsiaTheme="minorEastAsia"/>
          <w:color w:val="auto"/>
          <w:sz w:val="28"/>
          <w:szCs w:val="28"/>
          <w:lang w:eastAsia="zh-CN"/>
        </w:rPr>
        <w:t>，以及建设实施阶段的过程审计和运行阶段的审计</w:t>
      </w:r>
      <w:r>
        <w:rPr>
          <w:rFonts w:hint="eastAsia" w:asciiTheme="minorEastAsia" w:hAnsiTheme="minorEastAsia" w:eastAsiaTheme="minorEastAsia"/>
          <w:color w:val="auto"/>
          <w:sz w:val="28"/>
          <w:szCs w:val="28"/>
        </w:rPr>
        <w:t>。</w:t>
      </w:r>
    </w:p>
    <w:p>
      <w:pPr>
        <w:pStyle w:val="4"/>
        <w:pageBreakBefore w:val="0"/>
        <w:kinsoku/>
        <w:wordWrap/>
        <w:overflowPunct/>
        <w:topLinePunct w:val="0"/>
        <w:autoSpaceDE/>
        <w:autoSpaceDN/>
        <w:bidi w:val="0"/>
        <w:adjustRightInd w:val="0"/>
        <w:snapToGrid/>
        <w:spacing w:before="0" w:after="0" w:line="588" w:lineRule="exact"/>
        <w:ind w:firstLine="531" w:firstLineChars="189"/>
        <w:contextualSpacing/>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二</w:t>
      </w:r>
      <w:r>
        <w:rPr>
          <w:rFonts w:hint="eastAsia" w:asciiTheme="minorEastAsia" w:hAnsiTheme="minorEastAsia" w:eastAsiaTheme="minorEastAsia"/>
          <w:color w:val="auto"/>
          <w:sz w:val="28"/>
          <w:szCs w:val="28"/>
        </w:rPr>
        <w:t>）运营评价</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明确</w:t>
      </w:r>
      <w:r>
        <w:rPr>
          <w:rFonts w:hint="eastAsia" w:asciiTheme="minorEastAsia" w:hAnsiTheme="minorEastAsia" w:eastAsiaTheme="minorEastAsia"/>
          <w:color w:val="auto"/>
          <w:sz w:val="28"/>
          <w:szCs w:val="28"/>
          <w:lang w:eastAsia="zh-CN"/>
        </w:rPr>
        <w:t>项目实施机构对项目运营情况的监测分析、定期运营评价安排。应从行业管理角度提出建设进度、建设质量、运营标准等评价指标，从协议执行角度提出履约情况等评价指标，从项目效果角度提出直接效果、外部影响、可持续性等评价指标。如涉及财政资金使用的，还应按有关规定提出对财政资金使用的绩效评价指标。</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color w:val="auto"/>
          <w:sz w:val="28"/>
          <w:lang w:eastAsia="zh-CN"/>
        </w:rPr>
      </w:pPr>
      <w:r>
        <w:rPr>
          <w:rFonts w:hint="eastAsia"/>
          <w:color w:val="auto"/>
          <w:sz w:val="28"/>
          <w:lang w:eastAsia="zh-CN"/>
        </w:rPr>
        <w:t>八、风险管控</w:t>
      </w:r>
    </w:p>
    <w:p>
      <w:pPr>
        <w:pStyle w:val="10"/>
        <w:spacing w:before="0" w:beforeAutospacing="0" w:after="0" w:afterAutospacing="0" w:line="588" w:lineRule="exact"/>
        <w:ind w:firstLine="529" w:firstLineChars="189"/>
        <w:contextualSpacing/>
        <w:jc w:val="both"/>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针对项目全生命周期不同阶段的政策、经济、社会、工程、环境、资金等方面的风险因素，提出风险应对措施和建议，明确项目实施机构、特许经营者、项目公司等方面风险分配原则，明确政府承担的项目风险、政府不承担的项目风险以及政府和特许经营者或项目公司共同承担的风险。</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color w:val="auto"/>
          <w:sz w:val="28"/>
        </w:rPr>
      </w:pPr>
      <w:r>
        <w:rPr>
          <w:rFonts w:hint="eastAsia"/>
          <w:color w:val="auto"/>
          <w:sz w:val="28"/>
          <w:lang w:eastAsia="zh-CN"/>
        </w:rPr>
        <w:t>九</w:t>
      </w:r>
      <w:r>
        <w:rPr>
          <w:rFonts w:hint="eastAsia"/>
          <w:color w:val="auto"/>
          <w:sz w:val="28"/>
        </w:rPr>
        <w:t>、政府承诺和保障</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分析并明确</w:t>
      </w:r>
      <w:r>
        <w:rPr>
          <w:rFonts w:hint="eastAsia" w:asciiTheme="minorEastAsia" w:hAnsiTheme="minorEastAsia" w:eastAsiaTheme="minorEastAsia"/>
          <w:color w:val="auto"/>
          <w:sz w:val="28"/>
          <w:szCs w:val="28"/>
        </w:rPr>
        <w:t>政府对项目前期工作协助、</w:t>
      </w:r>
      <w:r>
        <w:rPr>
          <w:rFonts w:hint="eastAsia" w:asciiTheme="minorEastAsia" w:hAnsiTheme="minorEastAsia" w:eastAsiaTheme="minorEastAsia"/>
          <w:color w:val="auto"/>
          <w:sz w:val="28"/>
          <w:szCs w:val="28"/>
          <w:lang w:eastAsia="zh-CN"/>
        </w:rPr>
        <w:t>用地（用海）和移民搬迁安置补偿</w:t>
      </w:r>
      <w:r>
        <w:rPr>
          <w:rFonts w:hint="eastAsia" w:asciiTheme="minorEastAsia" w:hAnsiTheme="minorEastAsia" w:eastAsiaTheme="minorEastAsia"/>
          <w:color w:val="auto"/>
          <w:sz w:val="28"/>
          <w:szCs w:val="28"/>
        </w:rPr>
        <w:t>、排他性约定、投资支持</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统一规定的运营补贴、有关配套设施和服务等做出</w:t>
      </w:r>
      <w:r>
        <w:rPr>
          <w:rFonts w:hint="eastAsia" w:asciiTheme="minorEastAsia" w:hAnsiTheme="minorEastAsia" w:eastAsiaTheme="minorEastAsia"/>
          <w:color w:val="auto"/>
          <w:sz w:val="28"/>
          <w:szCs w:val="28"/>
          <w:lang w:eastAsia="zh-CN"/>
        </w:rPr>
        <w:t>的</w:t>
      </w:r>
      <w:r>
        <w:rPr>
          <w:rFonts w:hint="eastAsia" w:asciiTheme="minorEastAsia" w:hAnsiTheme="minorEastAsia" w:eastAsiaTheme="minorEastAsia"/>
          <w:color w:val="auto"/>
          <w:sz w:val="28"/>
          <w:szCs w:val="28"/>
        </w:rPr>
        <w:t>承诺和保障。</w:t>
      </w:r>
      <w:r>
        <w:rPr>
          <w:rFonts w:hint="eastAsia" w:asciiTheme="minorEastAsia" w:hAnsiTheme="minorEastAsia" w:eastAsiaTheme="minorEastAsia"/>
          <w:color w:val="auto"/>
          <w:sz w:val="28"/>
          <w:szCs w:val="28"/>
          <w:lang w:eastAsia="zh-CN"/>
        </w:rPr>
        <w:t>明确使用者付费机制下对收入来源、定价和调价、成本监测等方面政策规定的保障，明确对影响项目收益来源的政府特殊要求（如收费公路免费通行、临时价格优惠）等的应对性保障机制。</w:t>
      </w:r>
    </w:p>
    <w:p>
      <w:pPr>
        <w:pStyle w:val="3"/>
        <w:pageBreakBefore w:val="0"/>
        <w:kinsoku/>
        <w:wordWrap/>
        <w:overflowPunct/>
        <w:topLinePunct w:val="0"/>
        <w:autoSpaceDE/>
        <w:autoSpaceDN/>
        <w:bidi w:val="0"/>
        <w:snapToGrid/>
        <w:spacing w:before="0" w:after="0" w:line="588" w:lineRule="exact"/>
        <w:ind w:firstLine="562" w:firstLineChars="200"/>
        <w:contextualSpacing/>
        <w:textAlignment w:val="auto"/>
        <w:rPr>
          <w:rFonts w:hint="eastAsia" w:eastAsia="宋体"/>
          <w:color w:val="auto"/>
          <w:sz w:val="28"/>
          <w:lang w:eastAsia="zh-CN"/>
        </w:rPr>
      </w:pPr>
      <w:r>
        <w:rPr>
          <w:rFonts w:hint="eastAsia"/>
          <w:color w:val="auto"/>
          <w:sz w:val="28"/>
          <w:lang w:eastAsia="zh-CN"/>
        </w:rPr>
        <w:t>十</w:t>
      </w:r>
      <w:r>
        <w:rPr>
          <w:rFonts w:hint="eastAsia"/>
          <w:color w:val="auto"/>
          <w:sz w:val="28"/>
        </w:rPr>
        <w:t>、</w:t>
      </w:r>
      <w:r>
        <w:rPr>
          <w:rFonts w:hint="eastAsia"/>
          <w:color w:val="auto"/>
          <w:sz w:val="28"/>
          <w:lang w:eastAsia="zh-CN"/>
        </w:rPr>
        <w:t>调整、变更等</w:t>
      </w:r>
      <w:r>
        <w:rPr>
          <w:rFonts w:hint="eastAsia"/>
          <w:color w:val="auto"/>
          <w:sz w:val="28"/>
        </w:rPr>
        <w:t>其他</w:t>
      </w:r>
      <w:r>
        <w:rPr>
          <w:rFonts w:hint="eastAsia"/>
          <w:color w:val="auto"/>
          <w:sz w:val="28"/>
          <w:lang w:eastAsia="zh-CN"/>
        </w:rPr>
        <w:t>要求</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明确</w:t>
      </w:r>
      <w:r>
        <w:rPr>
          <w:rFonts w:hint="eastAsia" w:asciiTheme="minorEastAsia" w:hAnsiTheme="minorEastAsia" w:eastAsiaTheme="minorEastAsia"/>
          <w:color w:val="auto"/>
          <w:sz w:val="28"/>
          <w:szCs w:val="28"/>
          <w:lang w:eastAsia="zh-CN"/>
        </w:rPr>
        <w:t>协议变更和延期、价格调整、补贴调整、项目公司股权变更、政府临时接管和征用、项目移交或提前退出、履约担保、违约责任与争议解决等要求</w:t>
      </w:r>
      <w:r>
        <w:rPr>
          <w:rFonts w:hint="eastAsia" w:asciiTheme="minorEastAsia" w:hAnsiTheme="minorEastAsia" w:eastAsiaTheme="minorEastAsia"/>
          <w:color w:val="auto"/>
          <w:sz w:val="28"/>
          <w:szCs w:val="28"/>
        </w:rPr>
        <w:t>。</w:t>
      </w:r>
    </w:p>
    <w:p>
      <w:pPr>
        <w:pStyle w:val="10"/>
        <w:pageBreakBefore w:val="0"/>
        <w:kinsoku/>
        <w:wordWrap/>
        <w:overflowPunct/>
        <w:topLinePunct w:val="0"/>
        <w:autoSpaceDE/>
        <w:autoSpaceDN/>
        <w:bidi w:val="0"/>
        <w:snapToGrid/>
        <w:spacing w:before="0" w:beforeAutospacing="0" w:after="0" w:afterAutospacing="0" w:line="588" w:lineRule="exact"/>
        <w:ind w:firstLine="529" w:firstLineChars="189"/>
        <w:contextualSpacing/>
        <w:jc w:val="both"/>
        <w:textAlignment w:val="auto"/>
        <w:rPr>
          <w:rFonts w:asciiTheme="minorEastAsia" w:hAnsiTheme="minorEastAsia" w:eastAsiaTheme="minorEastAsia"/>
          <w:color w:val="auto"/>
          <w:sz w:val="28"/>
          <w:szCs w:val="28"/>
        </w:rPr>
      </w:pPr>
    </w:p>
    <w:p>
      <w:pPr>
        <w:pStyle w:val="2"/>
        <w:pageBreakBefore w:val="0"/>
        <w:kinsoku/>
        <w:wordWrap/>
        <w:overflowPunct/>
        <w:topLinePunct w:val="0"/>
        <w:autoSpaceDE/>
        <w:autoSpaceDN/>
        <w:bidi w:val="0"/>
        <w:snapToGrid/>
        <w:spacing w:before="0" w:after="0" w:line="588" w:lineRule="exact"/>
        <w:contextualSpacing/>
        <w:jc w:val="center"/>
        <w:textAlignment w:val="auto"/>
        <w:rPr>
          <w:rFonts w:ascii="黑体" w:hAnsi="黑体" w:eastAsia="黑体"/>
          <w:b w:val="0"/>
          <w:color w:val="auto"/>
          <w:sz w:val="32"/>
        </w:rPr>
      </w:pPr>
      <w:r>
        <w:rPr>
          <w:rFonts w:ascii="黑体" w:hAnsi="黑体" w:eastAsia="黑体"/>
          <w:b w:val="0"/>
          <w:color w:val="auto"/>
          <w:sz w:val="32"/>
        </w:rPr>
        <w:t>第</w:t>
      </w:r>
      <w:r>
        <w:rPr>
          <w:rFonts w:hint="eastAsia" w:ascii="黑体" w:hAnsi="黑体" w:eastAsia="黑体"/>
          <w:b w:val="0"/>
          <w:color w:val="auto"/>
          <w:sz w:val="32"/>
        </w:rPr>
        <w:t>五</w:t>
      </w:r>
      <w:r>
        <w:rPr>
          <w:rFonts w:ascii="黑体" w:hAnsi="黑体" w:eastAsia="黑体"/>
          <w:b w:val="0"/>
          <w:color w:val="auto"/>
          <w:sz w:val="32"/>
        </w:rPr>
        <w:t>部分</w:t>
      </w:r>
      <w:r>
        <w:rPr>
          <w:rFonts w:hint="eastAsia" w:ascii="黑体" w:hAnsi="黑体" w:eastAsia="黑体"/>
          <w:b w:val="0"/>
          <w:color w:val="auto"/>
          <w:sz w:val="32"/>
        </w:rPr>
        <w:t xml:space="preserve"> </w:t>
      </w:r>
      <w:r>
        <w:rPr>
          <w:rFonts w:ascii="黑体" w:hAnsi="黑体" w:eastAsia="黑体"/>
          <w:b w:val="0"/>
          <w:color w:val="auto"/>
          <w:sz w:val="32"/>
        </w:rPr>
        <w:t xml:space="preserve"> </w:t>
      </w:r>
      <w:r>
        <w:rPr>
          <w:rFonts w:hint="eastAsia" w:ascii="黑体" w:hAnsi="黑体" w:eastAsia="黑体"/>
          <w:b w:val="0"/>
          <w:color w:val="auto"/>
          <w:sz w:val="32"/>
        </w:rPr>
        <w:t>结论和建议</w:t>
      </w:r>
    </w:p>
    <w:p>
      <w:pPr>
        <w:pStyle w:val="3"/>
        <w:spacing w:before="0" w:after="0" w:line="588" w:lineRule="exact"/>
        <w:ind w:firstLine="562" w:firstLineChars="200"/>
        <w:rPr>
          <w:rFonts w:hint="eastAsia" w:ascii="Cambria" w:hAnsi="Cambria" w:eastAsia="宋体"/>
          <w:color w:val="auto"/>
          <w:sz w:val="28"/>
          <w:szCs w:val="32"/>
        </w:rPr>
      </w:pPr>
      <w:r>
        <w:rPr>
          <w:rFonts w:hint="eastAsia" w:ascii="Cambria" w:hAnsi="Cambria" w:eastAsia="宋体"/>
          <w:color w:val="auto"/>
          <w:sz w:val="28"/>
          <w:szCs w:val="32"/>
        </w:rPr>
        <w:t>一</w:t>
      </w:r>
      <w:r>
        <w:rPr>
          <w:rFonts w:hint="eastAsia"/>
          <w:color w:val="auto"/>
          <w:sz w:val="28"/>
          <w:szCs w:val="32"/>
          <w:lang w:eastAsia="zh-CN"/>
        </w:rPr>
        <w:t>、</w:t>
      </w:r>
      <w:r>
        <w:rPr>
          <w:rFonts w:hint="eastAsia" w:ascii="Cambria" w:hAnsi="Cambria" w:eastAsia="宋体"/>
          <w:color w:val="auto"/>
          <w:sz w:val="28"/>
          <w:szCs w:val="32"/>
        </w:rPr>
        <w:t>主要研究结论</w:t>
      </w:r>
    </w:p>
    <w:p>
      <w:pPr>
        <w:pStyle w:val="18"/>
        <w:pageBreakBefore w:val="0"/>
        <w:kinsoku/>
        <w:wordWrap/>
        <w:overflowPunct/>
        <w:topLinePunct w:val="0"/>
        <w:autoSpaceDE/>
        <w:autoSpaceDN/>
        <w:bidi w:val="0"/>
        <w:adjustRightInd w:val="0"/>
        <w:snapToGrid/>
        <w:spacing w:line="588" w:lineRule="exact"/>
        <w:ind w:firstLine="529" w:firstLineChars="189"/>
        <w:contextualSpacing/>
        <w:jc w:val="both"/>
        <w:textAlignment w:val="auto"/>
        <w:rPr>
          <w:rFonts w:asciiTheme="minorEastAsia" w:hAnsiTheme="minorEastAsia" w:eastAsiaTheme="minorEastAsia"/>
          <w:color w:val="auto"/>
          <w:sz w:val="28"/>
          <w:szCs w:val="28"/>
          <w:shd w:val="clear" w:color="auto" w:fill="FFFFFF"/>
        </w:rPr>
      </w:pPr>
      <w:r>
        <w:rPr>
          <w:rFonts w:asciiTheme="minorEastAsia" w:hAnsiTheme="minorEastAsia" w:eastAsiaTheme="minorEastAsia"/>
          <w:color w:val="auto"/>
          <w:sz w:val="28"/>
          <w:szCs w:val="28"/>
          <w:shd w:val="clear" w:color="auto" w:fill="FFFFFF"/>
        </w:rPr>
        <w:t>通过总结</w:t>
      </w:r>
      <w:r>
        <w:rPr>
          <w:rFonts w:hint="eastAsia" w:asciiTheme="minorEastAsia" w:hAnsiTheme="minorEastAsia" w:eastAsiaTheme="minorEastAsia"/>
          <w:color w:val="auto"/>
          <w:sz w:val="28"/>
          <w:szCs w:val="28"/>
          <w:shd w:val="clear" w:color="auto" w:fill="FFFFFF"/>
        </w:rPr>
        <w:t>项目可行性、特许经营模式可行性、特许经营主要内容</w:t>
      </w:r>
      <w:r>
        <w:rPr>
          <w:rFonts w:asciiTheme="minorEastAsia" w:hAnsiTheme="minorEastAsia" w:eastAsiaTheme="minorEastAsia"/>
          <w:color w:val="auto"/>
          <w:sz w:val="28"/>
          <w:szCs w:val="28"/>
          <w:shd w:val="clear" w:color="auto" w:fill="FFFFFF"/>
        </w:rPr>
        <w:t>的研究结论</w:t>
      </w:r>
      <w:r>
        <w:rPr>
          <w:rFonts w:hint="eastAsia" w:asciiTheme="minorEastAsia" w:hAnsiTheme="minorEastAsia" w:eastAsiaTheme="minorEastAsia"/>
          <w:color w:val="auto"/>
          <w:sz w:val="28"/>
          <w:szCs w:val="28"/>
          <w:shd w:val="clear" w:color="auto" w:fill="FFFFFF"/>
        </w:rPr>
        <w:t>，综合判断</w:t>
      </w:r>
      <w:r>
        <w:rPr>
          <w:rFonts w:asciiTheme="minorEastAsia" w:hAnsiTheme="minorEastAsia" w:eastAsiaTheme="minorEastAsia"/>
          <w:color w:val="auto"/>
          <w:sz w:val="28"/>
          <w:szCs w:val="28"/>
          <w:shd w:val="clear" w:color="auto" w:fill="FFFFFF"/>
        </w:rPr>
        <w:t>项目是否可行和特许经营模式是否可行</w:t>
      </w:r>
      <w:r>
        <w:rPr>
          <w:rFonts w:hint="eastAsia" w:asciiTheme="minorEastAsia" w:hAnsiTheme="minorEastAsia" w:eastAsiaTheme="minorEastAsia"/>
          <w:color w:val="auto"/>
          <w:sz w:val="28"/>
          <w:szCs w:val="28"/>
          <w:shd w:val="clear" w:color="auto" w:fill="FFFFFF"/>
        </w:rPr>
        <w:t>。</w:t>
      </w:r>
    </w:p>
    <w:p>
      <w:pPr>
        <w:pStyle w:val="3"/>
        <w:spacing w:before="0" w:after="0" w:line="588" w:lineRule="exact"/>
        <w:ind w:firstLine="562" w:firstLineChars="200"/>
        <w:rPr>
          <w:rFonts w:hint="eastAsia" w:ascii="Cambria" w:hAnsi="Cambria" w:eastAsia="宋体"/>
          <w:color w:val="auto"/>
          <w:sz w:val="28"/>
          <w:szCs w:val="32"/>
        </w:rPr>
      </w:pPr>
      <w:r>
        <w:rPr>
          <w:rFonts w:hint="eastAsia" w:ascii="Cambria" w:hAnsi="Cambria" w:eastAsia="宋体"/>
          <w:color w:val="auto"/>
          <w:sz w:val="28"/>
          <w:szCs w:val="32"/>
        </w:rPr>
        <w:t>二</w:t>
      </w:r>
      <w:r>
        <w:rPr>
          <w:rFonts w:hint="eastAsia"/>
          <w:color w:val="auto"/>
          <w:sz w:val="28"/>
          <w:szCs w:val="32"/>
          <w:lang w:eastAsia="zh-CN"/>
        </w:rPr>
        <w:t>、</w:t>
      </w:r>
      <w:r>
        <w:rPr>
          <w:rFonts w:hint="eastAsia" w:ascii="Cambria" w:hAnsi="Cambria" w:eastAsia="宋体"/>
          <w:color w:val="auto"/>
          <w:sz w:val="28"/>
          <w:szCs w:val="32"/>
        </w:rPr>
        <w:t>问题与建议</w:t>
      </w:r>
    </w:p>
    <w:p>
      <w:pPr>
        <w:pStyle w:val="5"/>
        <w:pageBreakBefore w:val="0"/>
        <w:kinsoku/>
        <w:wordWrap/>
        <w:overflowPunct/>
        <w:topLinePunct w:val="0"/>
        <w:autoSpaceDE/>
        <w:autoSpaceDN/>
        <w:bidi w:val="0"/>
        <w:adjustRightInd w:val="0"/>
        <w:snapToGrid/>
        <w:spacing w:line="588" w:lineRule="exact"/>
        <w:ind w:firstLine="529" w:firstLineChars="189"/>
        <w:contextualSpacing/>
        <w:textAlignment w:val="auto"/>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针对项目需要重点关注</w:t>
      </w:r>
      <w:r>
        <w:rPr>
          <w:rFonts w:hint="eastAsia" w:cs="宋体" w:asciiTheme="minorEastAsia" w:hAnsiTheme="minorEastAsia" w:eastAsiaTheme="minorEastAsia"/>
          <w:color w:val="auto"/>
          <w:sz w:val="28"/>
          <w:szCs w:val="28"/>
        </w:rPr>
        <w:t>和</w:t>
      </w:r>
      <w:r>
        <w:rPr>
          <w:rFonts w:cs="宋体" w:asciiTheme="minorEastAsia" w:hAnsiTheme="minorEastAsia" w:eastAsiaTheme="minorEastAsia"/>
          <w:color w:val="auto"/>
          <w:sz w:val="28"/>
          <w:szCs w:val="28"/>
        </w:rPr>
        <w:t>进一步研究</w:t>
      </w:r>
      <w:r>
        <w:rPr>
          <w:rFonts w:hint="eastAsia" w:cs="宋体" w:asciiTheme="minorEastAsia" w:hAnsiTheme="minorEastAsia" w:eastAsiaTheme="minorEastAsia"/>
          <w:color w:val="auto"/>
          <w:sz w:val="28"/>
          <w:szCs w:val="28"/>
        </w:rPr>
        <w:t>的</w:t>
      </w:r>
      <w:r>
        <w:rPr>
          <w:rFonts w:cs="宋体" w:asciiTheme="minorEastAsia" w:hAnsiTheme="minorEastAsia" w:eastAsiaTheme="minorEastAsia"/>
          <w:color w:val="auto"/>
          <w:sz w:val="28"/>
          <w:szCs w:val="28"/>
        </w:rPr>
        <w:t>问题，提出相关建议。</w:t>
      </w:r>
    </w:p>
    <w:p>
      <w:pPr>
        <w:pStyle w:val="3"/>
        <w:spacing w:before="0" w:after="0" w:line="588" w:lineRule="exact"/>
        <w:ind w:firstLine="562" w:firstLineChars="200"/>
        <w:rPr>
          <w:rFonts w:hint="eastAsia" w:ascii="Cambria" w:hAnsi="Cambria" w:eastAsia="宋体"/>
          <w:color w:val="auto"/>
          <w:sz w:val="28"/>
          <w:szCs w:val="32"/>
        </w:rPr>
      </w:pPr>
      <w:r>
        <w:rPr>
          <w:rFonts w:hint="eastAsia" w:ascii="Cambria" w:hAnsi="Cambria" w:eastAsia="宋体"/>
          <w:color w:val="auto"/>
          <w:sz w:val="28"/>
          <w:szCs w:val="32"/>
        </w:rPr>
        <w:t>三</w:t>
      </w:r>
      <w:r>
        <w:rPr>
          <w:rFonts w:hint="eastAsia"/>
          <w:color w:val="auto"/>
          <w:sz w:val="28"/>
          <w:szCs w:val="32"/>
          <w:lang w:eastAsia="zh-CN"/>
        </w:rPr>
        <w:t>、</w:t>
      </w:r>
      <w:r>
        <w:rPr>
          <w:rFonts w:hint="eastAsia" w:ascii="Cambria" w:hAnsi="Cambria" w:eastAsia="宋体"/>
          <w:color w:val="auto"/>
          <w:sz w:val="28"/>
          <w:szCs w:val="32"/>
        </w:rPr>
        <w:t>附表、附图和附件</w:t>
      </w:r>
    </w:p>
    <w:p>
      <w:pPr>
        <w:pStyle w:val="5"/>
        <w:pageBreakBefore w:val="0"/>
        <w:kinsoku/>
        <w:wordWrap/>
        <w:overflowPunct/>
        <w:topLinePunct w:val="0"/>
        <w:autoSpaceDE/>
        <w:autoSpaceDN/>
        <w:bidi w:val="0"/>
        <w:adjustRightInd w:val="0"/>
        <w:snapToGrid/>
        <w:spacing w:line="588" w:lineRule="exact"/>
        <w:ind w:firstLine="529" w:firstLineChars="189"/>
        <w:contextualSpacing/>
        <w:textAlignment w:val="auto"/>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根据项目实际情况和相关规范，附具必要的附表、附图和附件</w:t>
      </w:r>
      <w:r>
        <w:rPr>
          <w:rFonts w:hint="eastAsia" w:cs="宋体" w:asciiTheme="minorEastAsia" w:hAnsiTheme="minorEastAsia" w:eastAsiaTheme="minorEastAsia"/>
          <w:color w:val="auto"/>
          <w:sz w:val="28"/>
          <w:szCs w:val="28"/>
          <w:lang w:eastAsia="zh-CN"/>
        </w:rPr>
        <w:t>，如实施机构获得政府授权的证明文件、政府出资人代表授权证明文件、项目选址文件（如有）、收费文件（如有）、财务分析附表</w:t>
      </w:r>
      <w:r>
        <w:rPr>
          <w:rFonts w:cs="宋体" w:asciiTheme="minorEastAsia" w:hAnsiTheme="minorEastAsia" w:eastAsiaTheme="minorEastAsia"/>
          <w:color w:val="auto"/>
          <w:sz w:val="28"/>
          <w:szCs w:val="28"/>
        </w:rPr>
        <w:t>等。</w:t>
      </w:r>
    </w:p>
    <w:p>
      <w:pPr>
        <w:pStyle w:val="5"/>
        <w:pageBreakBefore w:val="0"/>
        <w:kinsoku/>
        <w:wordWrap/>
        <w:overflowPunct/>
        <w:topLinePunct w:val="0"/>
        <w:autoSpaceDE/>
        <w:autoSpaceDN/>
        <w:bidi w:val="0"/>
        <w:adjustRightInd w:val="0"/>
        <w:snapToGrid/>
        <w:spacing w:line="588" w:lineRule="exact"/>
        <w:ind w:firstLine="529" w:firstLineChars="189"/>
        <w:contextualSpacing/>
        <w:textAlignment w:val="auto"/>
        <w:rPr>
          <w:rFonts w:hint="eastAsia" w:cs="宋体" w:asciiTheme="minorEastAsia" w:hAnsiTheme="minorEastAsia" w:eastAsiaTheme="minorEastAsia"/>
          <w:color w:val="auto"/>
          <w:sz w:val="28"/>
          <w:szCs w:val="28"/>
          <w:lang w:eastAsia="zh-CN"/>
        </w:rPr>
      </w:pPr>
    </w:p>
    <w:p>
      <w:pPr>
        <w:pStyle w:val="5"/>
        <w:pageBreakBefore w:val="0"/>
        <w:kinsoku/>
        <w:wordWrap/>
        <w:overflowPunct/>
        <w:topLinePunct w:val="0"/>
        <w:autoSpaceDE/>
        <w:autoSpaceDN/>
        <w:bidi w:val="0"/>
        <w:adjustRightInd w:val="0"/>
        <w:snapToGrid/>
        <w:spacing w:line="588" w:lineRule="exact"/>
        <w:ind w:firstLine="529" w:firstLineChars="189"/>
        <w:contextualSpacing/>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eastAsia="zh-CN"/>
        </w:rPr>
        <w:t>（说明：本编写大纲主要规范特许经营新建（含改扩建）项目，不涉及新建或改扩建的</w:t>
      </w:r>
      <w:r>
        <w:rPr>
          <w:rFonts w:hint="eastAsia" w:ascii="方正黑体_GBK" w:hAnsi="方正黑体_GBK" w:eastAsia="方正黑体_GBK" w:cs="方正黑体_GBK"/>
          <w:color w:val="auto"/>
          <w:sz w:val="28"/>
          <w:szCs w:val="28"/>
          <w:lang w:val="en-US" w:eastAsia="zh-CN"/>
        </w:rPr>
        <w:t>TOT项目可参考本编写大纲适当简化）</w:t>
      </w:r>
    </w:p>
    <w:sectPr>
      <w:footerReference r:id="rId3" w:type="default"/>
      <w:pgSz w:w="11906" w:h="16838"/>
      <w:pgMar w:top="1984" w:right="1616" w:bottom="1417"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093701"/>
      <w:docPartObj>
        <w:docPartGallery w:val="autotext"/>
      </w:docPartObj>
    </w:sdtPr>
    <w:sdtEndPr>
      <w:rPr>
        <w:rFonts w:hint="default" w:ascii="Times New Roman" w:hAnsi="Times New Roman" w:cs="Times New Roman"/>
        <w:sz w:val="28"/>
        <w:szCs w:val="28"/>
      </w:rPr>
    </w:sdtEndPr>
    <w:sdtContent>
      <w:p>
        <w:pPr>
          <w:pStyle w:val="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FC"/>
    <w:rsid w:val="0000053B"/>
    <w:rsid w:val="00002FB4"/>
    <w:rsid w:val="00015F2B"/>
    <w:rsid w:val="000310D0"/>
    <w:rsid w:val="000318BF"/>
    <w:rsid w:val="00041D9D"/>
    <w:rsid w:val="00056CB9"/>
    <w:rsid w:val="0007514A"/>
    <w:rsid w:val="000904CA"/>
    <w:rsid w:val="00094135"/>
    <w:rsid w:val="000A4DDF"/>
    <w:rsid w:val="000A6513"/>
    <w:rsid w:val="000B08C5"/>
    <w:rsid w:val="000C75E1"/>
    <w:rsid w:val="000D0569"/>
    <w:rsid w:val="000F406B"/>
    <w:rsid w:val="00100A11"/>
    <w:rsid w:val="00121705"/>
    <w:rsid w:val="00150738"/>
    <w:rsid w:val="00160A16"/>
    <w:rsid w:val="00180022"/>
    <w:rsid w:val="001905D6"/>
    <w:rsid w:val="0019654E"/>
    <w:rsid w:val="001C7D89"/>
    <w:rsid w:val="001E2B70"/>
    <w:rsid w:val="001F68DA"/>
    <w:rsid w:val="00205909"/>
    <w:rsid w:val="002140AC"/>
    <w:rsid w:val="00227938"/>
    <w:rsid w:val="00245AC6"/>
    <w:rsid w:val="00246746"/>
    <w:rsid w:val="00252072"/>
    <w:rsid w:val="002544A6"/>
    <w:rsid w:val="00255AB1"/>
    <w:rsid w:val="002644FC"/>
    <w:rsid w:val="00265439"/>
    <w:rsid w:val="002840FC"/>
    <w:rsid w:val="00285BDA"/>
    <w:rsid w:val="002A3EF9"/>
    <w:rsid w:val="002B2671"/>
    <w:rsid w:val="002B6BAB"/>
    <w:rsid w:val="002C747A"/>
    <w:rsid w:val="002D3995"/>
    <w:rsid w:val="002D613F"/>
    <w:rsid w:val="002E2594"/>
    <w:rsid w:val="002F2371"/>
    <w:rsid w:val="00302F6C"/>
    <w:rsid w:val="00315DC3"/>
    <w:rsid w:val="00323D9A"/>
    <w:rsid w:val="0033116D"/>
    <w:rsid w:val="003431B8"/>
    <w:rsid w:val="00346C9C"/>
    <w:rsid w:val="003737EF"/>
    <w:rsid w:val="00390300"/>
    <w:rsid w:val="003A0247"/>
    <w:rsid w:val="003B1017"/>
    <w:rsid w:val="003C1473"/>
    <w:rsid w:val="003E0431"/>
    <w:rsid w:val="003E4C26"/>
    <w:rsid w:val="003E52FD"/>
    <w:rsid w:val="004358A4"/>
    <w:rsid w:val="0044230F"/>
    <w:rsid w:val="00445AE7"/>
    <w:rsid w:val="00454587"/>
    <w:rsid w:val="00460BEB"/>
    <w:rsid w:val="0046556A"/>
    <w:rsid w:val="00470640"/>
    <w:rsid w:val="00480AC6"/>
    <w:rsid w:val="004B2BA4"/>
    <w:rsid w:val="004B538D"/>
    <w:rsid w:val="004D1687"/>
    <w:rsid w:val="004D3513"/>
    <w:rsid w:val="004E5836"/>
    <w:rsid w:val="004E62C9"/>
    <w:rsid w:val="004E64FB"/>
    <w:rsid w:val="00512793"/>
    <w:rsid w:val="00541420"/>
    <w:rsid w:val="00543235"/>
    <w:rsid w:val="00546F9F"/>
    <w:rsid w:val="00583830"/>
    <w:rsid w:val="00583BAF"/>
    <w:rsid w:val="005922A3"/>
    <w:rsid w:val="00596057"/>
    <w:rsid w:val="005A021B"/>
    <w:rsid w:val="005B6500"/>
    <w:rsid w:val="005C2FFD"/>
    <w:rsid w:val="005D13D3"/>
    <w:rsid w:val="005D711C"/>
    <w:rsid w:val="00630BE6"/>
    <w:rsid w:val="00636BF1"/>
    <w:rsid w:val="006423A6"/>
    <w:rsid w:val="006658FA"/>
    <w:rsid w:val="00675F4F"/>
    <w:rsid w:val="00676A25"/>
    <w:rsid w:val="00677BD9"/>
    <w:rsid w:val="0068125E"/>
    <w:rsid w:val="0068519F"/>
    <w:rsid w:val="00697242"/>
    <w:rsid w:val="006A7FE6"/>
    <w:rsid w:val="006B3E0E"/>
    <w:rsid w:val="006C41A8"/>
    <w:rsid w:val="006E218D"/>
    <w:rsid w:val="00707724"/>
    <w:rsid w:val="00740848"/>
    <w:rsid w:val="00744FA2"/>
    <w:rsid w:val="0074715A"/>
    <w:rsid w:val="007559F8"/>
    <w:rsid w:val="0075738F"/>
    <w:rsid w:val="007609CC"/>
    <w:rsid w:val="00790C4F"/>
    <w:rsid w:val="007A1560"/>
    <w:rsid w:val="007A3789"/>
    <w:rsid w:val="007B7B86"/>
    <w:rsid w:val="007C36C8"/>
    <w:rsid w:val="007E0259"/>
    <w:rsid w:val="007E1754"/>
    <w:rsid w:val="0082151B"/>
    <w:rsid w:val="0082592C"/>
    <w:rsid w:val="008A7671"/>
    <w:rsid w:val="008D0264"/>
    <w:rsid w:val="008D541F"/>
    <w:rsid w:val="008E3525"/>
    <w:rsid w:val="008F57B6"/>
    <w:rsid w:val="009318CC"/>
    <w:rsid w:val="00981F33"/>
    <w:rsid w:val="00983DAF"/>
    <w:rsid w:val="009A4858"/>
    <w:rsid w:val="009A577D"/>
    <w:rsid w:val="009C1786"/>
    <w:rsid w:val="009C4B1C"/>
    <w:rsid w:val="009D4EAE"/>
    <w:rsid w:val="009D5C56"/>
    <w:rsid w:val="00A07931"/>
    <w:rsid w:val="00A118DC"/>
    <w:rsid w:val="00A1406E"/>
    <w:rsid w:val="00A27A0E"/>
    <w:rsid w:val="00A36565"/>
    <w:rsid w:val="00A4749F"/>
    <w:rsid w:val="00A870D2"/>
    <w:rsid w:val="00A97284"/>
    <w:rsid w:val="00AB0278"/>
    <w:rsid w:val="00AD259E"/>
    <w:rsid w:val="00AD31D3"/>
    <w:rsid w:val="00B24F74"/>
    <w:rsid w:val="00B43A68"/>
    <w:rsid w:val="00B578BD"/>
    <w:rsid w:val="00B600E6"/>
    <w:rsid w:val="00B63FF9"/>
    <w:rsid w:val="00B74F1C"/>
    <w:rsid w:val="00BA494A"/>
    <w:rsid w:val="00BC7BA9"/>
    <w:rsid w:val="00BD09A3"/>
    <w:rsid w:val="00BD20B9"/>
    <w:rsid w:val="00BE7060"/>
    <w:rsid w:val="00BF1008"/>
    <w:rsid w:val="00BF18C4"/>
    <w:rsid w:val="00C174C2"/>
    <w:rsid w:val="00C23023"/>
    <w:rsid w:val="00C3106D"/>
    <w:rsid w:val="00C40F4D"/>
    <w:rsid w:val="00C86983"/>
    <w:rsid w:val="00C96DB4"/>
    <w:rsid w:val="00CA41E1"/>
    <w:rsid w:val="00CB0D8D"/>
    <w:rsid w:val="00CB3ACC"/>
    <w:rsid w:val="00CC330A"/>
    <w:rsid w:val="00CD1911"/>
    <w:rsid w:val="00CE11EA"/>
    <w:rsid w:val="00CE153E"/>
    <w:rsid w:val="00CF43F0"/>
    <w:rsid w:val="00D072DF"/>
    <w:rsid w:val="00D26BBD"/>
    <w:rsid w:val="00D321EF"/>
    <w:rsid w:val="00D33615"/>
    <w:rsid w:val="00D3368C"/>
    <w:rsid w:val="00D51FA3"/>
    <w:rsid w:val="00D66504"/>
    <w:rsid w:val="00D73D71"/>
    <w:rsid w:val="00D8366C"/>
    <w:rsid w:val="00D91E2A"/>
    <w:rsid w:val="00D92D13"/>
    <w:rsid w:val="00DB4E76"/>
    <w:rsid w:val="00DB5C82"/>
    <w:rsid w:val="00DC7C06"/>
    <w:rsid w:val="00DD12FA"/>
    <w:rsid w:val="00DE1B57"/>
    <w:rsid w:val="00DE6774"/>
    <w:rsid w:val="00DF5372"/>
    <w:rsid w:val="00DF6D28"/>
    <w:rsid w:val="00E057C6"/>
    <w:rsid w:val="00E05B4B"/>
    <w:rsid w:val="00E1716B"/>
    <w:rsid w:val="00E62281"/>
    <w:rsid w:val="00E64A90"/>
    <w:rsid w:val="00E834B2"/>
    <w:rsid w:val="00EA22A5"/>
    <w:rsid w:val="00EA4ADD"/>
    <w:rsid w:val="00EB5F3E"/>
    <w:rsid w:val="00EC2A09"/>
    <w:rsid w:val="00EE5F9A"/>
    <w:rsid w:val="00EE6952"/>
    <w:rsid w:val="00EF42D3"/>
    <w:rsid w:val="00F0268F"/>
    <w:rsid w:val="00F03C08"/>
    <w:rsid w:val="00F11330"/>
    <w:rsid w:val="00F11AB8"/>
    <w:rsid w:val="00F249B5"/>
    <w:rsid w:val="00F3034C"/>
    <w:rsid w:val="00F73001"/>
    <w:rsid w:val="00F77945"/>
    <w:rsid w:val="00F933CC"/>
    <w:rsid w:val="00FE08C6"/>
    <w:rsid w:val="0997BE55"/>
    <w:rsid w:val="2FFF2651"/>
    <w:rsid w:val="31EF924B"/>
    <w:rsid w:val="355AE1F5"/>
    <w:rsid w:val="35EF941D"/>
    <w:rsid w:val="3BFF9124"/>
    <w:rsid w:val="3DE3F0AD"/>
    <w:rsid w:val="3FE33B4A"/>
    <w:rsid w:val="3FF39C83"/>
    <w:rsid w:val="4C17B319"/>
    <w:rsid w:val="56E585A2"/>
    <w:rsid w:val="570FF895"/>
    <w:rsid w:val="5D7FD17C"/>
    <w:rsid w:val="5FEFAF65"/>
    <w:rsid w:val="6BD135BF"/>
    <w:rsid w:val="6BED7E84"/>
    <w:rsid w:val="6D3F025E"/>
    <w:rsid w:val="6E7FB09A"/>
    <w:rsid w:val="6FFF5A87"/>
    <w:rsid w:val="734B8451"/>
    <w:rsid w:val="77FF18B2"/>
    <w:rsid w:val="78F5AC23"/>
    <w:rsid w:val="7CF23BE1"/>
    <w:rsid w:val="7D7E8260"/>
    <w:rsid w:val="7EEF2D74"/>
    <w:rsid w:val="7F5EEF94"/>
    <w:rsid w:val="7F8A467C"/>
    <w:rsid w:val="7FB79F31"/>
    <w:rsid w:val="7FBFD0F6"/>
    <w:rsid w:val="B64F071A"/>
    <w:rsid w:val="BD1FF6EA"/>
    <w:rsid w:val="BEBF08AC"/>
    <w:rsid w:val="BEE9961C"/>
    <w:rsid w:val="CBF3F89C"/>
    <w:rsid w:val="CF7EB0AD"/>
    <w:rsid w:val="DAFFD313"/>
    <w:rsid w:val="DBDA6F37"/>
    <w:rsid w:val="DEFB2672"/>
    <w:rsid w:val="DEFB7833"/>
    <w:rsid w:val="E7F72BDE"/>
    <w:rsid w:val="EBB6E417"/>
    <w:rsid w:val="EDF166D2"/>
    <w:rsid w:val="EEEF5D61"/>
    <w:rsid w:val="F4ED50C1"/>
    <w:rsid w:val="F6DFBEC3"/>
    <w:rsid w:val="F73F6E9D"/>
    <w:rsid w:val="F77D27F4"/>
    <w:rsid w:val="F7FE0046"/>
    <w:rsid w:val="FB6ED374"/>
    <w:rsid w:val="FBA1ED6D"/>
    <w:rsid w:val="FDFC9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
    <w:qFormat/>
    <w:uiPriority w:val="0"/>
    <w:pPr>
      <w:ind w:firstLine="420"/>
    </w:pPr>
    <w:rPr>
      <w:rFonts w:ascii="Times New Roman" w:hAnsi="Times New Roman"/>
      <w:kern w:val="0"/>
      <w:sz w:val="20"/>
      <w:szCs w:val="20"/>
    </w:rPr>
  </w:style>
  <w:style w:type="paragraph" w:styleId="6">
    <w:name w:val="annotation text"/>
    <w:basedOn w:val="1"/>
    <w:link w:val="24"/>
    <w:semiHidden/>
    <w:unhideWhenUsed/>
    <w:qFormat/>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29"/>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25"/>
    <w:semiHidden/>
    <w:unhideWhenUsed/>
    <w:qFormat/>
    <w:uiPriority w:val="99"/>
    <w:rPr>
      <w:b/>
      <w:bCs/>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标题 2 Char"/>
    <w:basedOn w:val="13"/>
    <w:link w:val="3"/>
    <w:qFormat/>
    <w:uiPriority w:val="0"/>
    <w:rPr>
      <w:rFonts w:ascii="Cambria" w:hAnsi="Cambria" w:eastAsia="宋体" w:cs="Times New Roman"/>
      <w:b/>
      <w:bCs/>
      <w:sz w:val="32"/>
      <w:szCs w:val="32"/>
    </w:rPr>
  </w:style>
  <w:style w:type="character" w:customStyle="1" w:styleId="17">
    <w:name w:val="标题 3 Char"/>
    <w:basedOn w:val="13"/>
    <w:link w:val="4"/>
    <w:qFormat/>
    <w:uiPriority w:val="9"/>
    <w:rPr>
      <w:rFonts w:ascii="Calibri" w:hAnsi="Calibri" w:eastAsia="宋体" w:cs="Times New Roman"/>
      <w:b/>
      <w:bCs/>
      <w:sz w:val="32"/>
      <w:szCs w:val="32"/>
    </w:rPr>
  </w:style>
  <w:style w:type="paragraph" w:styleId="18">
    <w:name w:val="List Paragraph"/>
    <w:basedOn w:val="1"/>
    <w:link w:val="19"/>
    <w:qFormat/>
    <w:uiPriority w:val="34"/>
    <w:pPr>
      <w:widowControl/>
      <w:ind w:firstLine="420" w:firstLineChars="200"/>
      <w:jc w:val="left"/>
    </w:pPr>
    <w:rPr>
      <w:rFonts w:ascii="宋体" w:hAnsi="宋体" w:cs="宋体"/>
      <w:kern w:val="0"/>
      <w:sz w:val="24"/>
      <w:szCs w:val="24"/>
    </w:rPr>
  </w:style>
  <w:style w:type="character" w:customStyle="1" w:styleId="19">
    <w:name w:val="列出段落 Char"/>
    <w:link w:val="18"/>
    <w:qFormat/>
    <w:locked/>
    <w:uiPriority w:val="34"/>
    <w:rPr>
      <w:rFonts w:ascii="宋体" w:hAnsi="宋体" w:eastAsia="宋体" w:cs="宋体"/>
      <w:kern w:val="0"/>
      <w:sz w:val="24"/>
      <w:szCs w:val="24"/>
    </w:rPr>
  </w:style>
  <w:style w:type="character" w:customStyle="1" w:styleId="20">
    <w:name w:val="正文缩进 Char"/>
    <w:link w:val="5"/>
    <w:qFormat/>
    <w:uiPriority w:val="0"/>
    <w:rPr>
      <w:rFonts w:ascii="Times New Roman" w:hAnsi="Times New Roman" w:eastAsia="宋体" w:cs="Times New Roman"/>
      <w:kern w:val="0"/>
      <w:sz w:val="20"/>
      <w:szCs w:val="20"/>
    </w:rPr>
  </w:style>
  <w:style w:type="character" w:customStyle="1" w:styleId="21">
    <w:name w:val="页眉 Char"/>
    <w:basedOn w:val="13"/>
    <w:link w:val="9"/>
    <w:qFormat/>
    <w:uiPriority w:val="99"/>
    <w:rPr>
      <w:rFonts w:ascii="Calibri" w:hAnsi="Calibri" w:eastAsia="宋体" w:cs="Times New Roman"/>
      <w:sz w:val="18"/>
      <w:szCs w:val="18"/>
    </w:rPr>
  </w:style>
  <w:style w:type="character" w:customStyle="1" w:styleId="22">
    <w:name w:val="页脚 Char"/>
    <w:basedOn w:val="13"/>
    <w:link w:val="8"/>
    <w:qFormat/>
    <w:uiPriority w:val="99"/>
    <w:rPr>
      <w:rFonts w:ascii="Calibri" w:hAnsi="Calibri" w:eastAsia="宋体" w:cs="Times New Roman"/>
      <w:sz w:val="18"/>
      <w:szCs w:val="18"/>
    </w:rPr>
  </w:style>
  <w:style w:type="character" w:customStyle="1" w:styleId="23">
    <w:name w:val="批注框文本 Char"/>
    <w:basedOn w:val="13"/>
    <w:link w:val="7"/>
    <w:semiHidden/>
    <w:qFormat/>
    <w:uiPriority w:val="99"/>
    <w:rPr>
      <w:rFonts w:ascii="Calibri" w:hAnsi="Calibri" w:eastAsia="宋体" w:cs="Times New Roman"/>
      <w:sz w:val="18"/>
      <w:szCs w:val="18"/>
    </w:rPr>
  </w:style>
  <w:style w:type="character" w:customStyle="1" w:styleId="24">
    <w:name w:val="批注文字 Char"/>
    <w:basedOn w:val="13"/>
    <w:link w:val="6"/>
    <w:semiHidden/>
    <w:qFormat/>
    <w:uiPriority w:val="99"/>
    <w:rPr>
      <w:rFonts w:ascii="Calibri" w:hAnsi="Calibri" w:eastAsia="宋体" w:cs="Times New Roman"/>
    </w:rPr>
  </w:style>
  <w:style w:type="character" w:customStyle="1" w:styleId="25">
    <w:name w:val="批注主题 Char"/>
    <w:basedOn w:val="24"/>
    <w:link w:val="11"/>
    <w:semiHidden/>
    <w:qFormat/>
    <w:uiPriority w:val="99"/>
    <w:rPr>
      <w:rFonts w:ascii="Calibri" w:hAnsi="Calibri" w:eastAsia="宋体" w:cs="Times New Roman"/>
      <w:b/>
      <w:bCs/>
    </w:rPr>
  </w:style>
  <w:style w:type="paragraph" w:customStyle="1" w:styleId="26">
    <w:name w:val="Revision"/>
    <w:hidden/>
    <w:semiHidden/>
    <w:qFormat/>
    <w:uiPriority w:val="99"/>
    <w:rPr>
      <w:rFonts w:ascii="Calibri" w:hAnsi="Calibri" w:eastAsia="宋体" w:cs="Times New Roman"/>
      <w:kern w:val="2"/>
      <w:sz w:val="21"/>
      <w:szCs w:val="22"/>
      <w:lang w:val="en-US" w:eastAsia="zh-CN" w:bidi="ar-SA"/>
    </w:rPr>
  </w:style>
  <w:style w:type="character" w:customStyle="1" w:styleId="27">
    <w:name w:val="正文缩进 Char1"/>
    <w:qFormat/>
    <w:uiPriority w:val="0"/>
    <w:rPr>
      <w:rFonts w:ascii="Times New Roman" w:hAnsi="Times New Roman" w:eastAsia="宋体" w:cs="Times New Roman"/>
      <w:szCs w:val="20"/>
    </w:rPr>
  </w:style>
  <w:style w:type="character" w:customStyle="1" w:styleId="28">
    <w:name w:val="正文缩进 Char2"/>
    <w:qFormat/>
    <w:uiPriority w:val="0"/>
    <w:rPr>
      <w:rFonts w:ascii="Times New Roman" w:hAnsi="Times New Roman" w:eastAsia="宋体" w:cs="Times New Roman"/>
      <w:szCs w:val="20"/>
    </w:rPr>
  </w:style>
  <w:style w:type="character" w:customStyle="1" w:styleId="29">
    <w:name w:val="普通(网站) Char"/>
    <w:link w:val="10"/>
    <w:qFormat/>
    <w:locked/>
    <w:uiPriority w:val="99"/>
    <w:rPr>
      <w:rFonts w:ascii="宋体" w:hAnsi="宋体" w:eastAsia="宋体" w:cs="宋体"/>
      <w:kern w:val="0"/>
      <w:sz w:val="24"/>
      <w:szCs w:val="24"/>
    </w:rPr>
  </w:style>
  <w:style w:type="paragraph" w:customStyle="1" w:styleId="30">
    <w:name w:val="Char Char Char1 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1">
    <w:name w:val="标题 1 Char"/>
    <w:basedOn w:val="13"/>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2141</Characters>
  <Lines>17</Lines>
  <Paragraphs>5</Paragraphs>
  <TotalTime>62</TotalTime>
  <ScaleCrop>false</ScaleCrop>
  <LinksUpToDate>false</LinksUpToDate>
  <CharactersWithSpaces>2511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2023-12-29T10:24:00Z</dcterms:created>
  <dc:creator>XU Chengbin</dc:creator>
  <cp:lastModifiedBy>user</cp:lastModifiedBy>
  <cp:lastPrinted>2024-01-17T00:58:00Z</cp:lastPrinted>
  <dcterms:modified xsi:type="dcterms:W3CDTF">2024-01-16T19:08:05Z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