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b/>
          <w:bCs/>
          <w:kern w:val="2"/>
          <w:sz w:val="44"/>
          <w:szCs w:val="44"/>
          <w:highlight w:val="none"/>
          <w:lang w:val="en-US" w:eastAsia="zh-CN" w:bidi="zh-TW"/>
        </w:rPr>
      </w:pPr>
      <w:r>
        <w:rPr>
          <w:rFonts w:hint="eastAsia" w:ascii="Times New Roman" w:hAnsi="Times New Roman" w:eastAsia="方正小标宋简体" w:cs="Times New Roman"/>
          <w:b/>
          <w:bCs/>
          <w:kern w:val="2"/>
          <w:sz w:val="44"/>
          <w:szCs w:val="44"/>
          <w:highlight w:val="none"/>
          <w:lang w:val="en-US" w:eastAsia="zh-CN" w:bidi="zh-TW"/>
        </w:rPr>
        <w:t>济宁市医保支付特殊病例的范围</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黑体" w:hAnsi="黑体" w:eastAsia="黑体" w:cs="黑体"/>
          <w:b/>
          <w:bCs/>
          <w:color w:val="auto"/>
          <w:kern w:val="2"/>
          <w:sz w:val="32"/>
          <w:szCs w:val="32"/>
          <w:highlight w:val="none"/>
          <w:lang w:val="en-US" w:eastAsia="zh-CN" w:bidi="zh-TW"/>
        </w:rPr>
      </w:pPr>
      <w:r>
        <w:rPr>
          <w:rFonts w:hint="eastAsia" w:ascii="黑体" w:hAnsi="黑体" w:eastAsia="黑体" w:cs="黑体"/>
          <w:b/>
          <w:bCs/>
          <w:color w:val="auto"/>
          <w:kern w:val="2"/>
          <w:sz w:val="32"/>
          <w:szCs w:val="32"/>
          <w:highlight w:val="none"/>
          <w:lang w:val="en-US" w:eastAsia="zh-CN" w:bidi="zh-TW"/>
        </w:rPr>
        <w:t>一、特殊病例的范围</w:t>
      </w:r>
    </w:p>
    <w:p>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符合以下条件之一的病例，可申请按特殊病例结算：</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3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sz w:val="32"/>
          <w:szCs w:val="32"/>
          <w:highlight w:val="none"/>
          <w:lang w:val="en-US" w:eastAsia="zh-CN"/>
        </w:rPr>
        <w:t>费用极端异常病例及空白病组病例；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32" w:firstLineChars="20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病例住院天数大于该定点医疗机构当年度平均住院天数5倍以上；</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病例实际医疗费用超出该病例实际分值与上上年度病种每分值费用、基本系数的乘积，且超出金额为该定点医疗机构当年度前10位；</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病例的监护病房床位使用天数不小于该病例住院床位使用总天数的60%；</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运用创新医疗技术（指3年内获得国家、省自然科学奖、技术发明奖、科学进步奖的医疗技术或者治疗手段）的病例；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32" w:firstLineChars="200"/>
        <w:textAlignment w:val="auto"/>
        <w:rPr>
          <w:rFonts w:hint="default"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运用经国家、省、市卫生健康行政部门评审认定并公布的临床高新技术、临床重大技术或者临床特色技术的病例。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黑体" w:hAnsi="黑体" w:eastAsia="黑体" w:cs="黑体"/>
          <w:b/>
          <w:bCs/>
          <w:color w:val="auto"/>
          <w:kern w:val="2"/>
          <w:sz w:val="32"/>
          <w:szCs w:val="32"/>
          <w:highlight w:val="none"/>
          <w:lang w:val="en-US" w:eastAsia="zh-CN" w:bidi="zh-TW"/>
        </w:rPr>
      </w:pPr>
      <w:r>
        <w:rPr>
          <w:rFonts w:hint="eastAsia" w:ascii="黑体" w:hAnsi="黑体" w:eastAsia="黑体" w:cs="黑体"/>
          <w:b/>
          <w:bCs/>
          <w:color w:val="auto"/>
          <w:kern w:val="2"/>
          <w:sz w:val="32"/>
          <w:szCs w:val="32"/>
          <w:highlight w:val="none"/>
          <w:lang w:val="en-US" w:eastAsia="zh-CN" w:bidi="zh-TW"/>
        </w:rPr>
        <w:t>二、特殊病例的数量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定点医疗机构向市医保经办机构提出按特殊病例结算的申请，申请病例数不超过该定点医疗机构当年度按病种分值付费人次的千分之五（视情况适时调整，调整程序按照有关规定执行）。申请病例数计算结果四舍五入至个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黑体" w:hAnsi="黑体" w:eastAsia="黑体" w:cs="黑体"/>
          <w:b/>
          <w:bCs/>
          <w:color w:val="auto"/>
          <w:kern w:val="2"/>
          <w:sz w:val="32"/>
          <w:szCs w:val="32"/>
          <w:highlight w:val="none"/>
          <w:lang w:val="en-US" w:eastAsia="zh-CN" w:bidi="zh-TW"/>
        </w:rPr>
      </w:pPr>
      <w:r>
        <w:rPr>
          <w:rFonts w:hint="eastAsia" w:ascii="黑体" w:hAnsi="黑体" w:eastAsia="黑体" w:cs="黑体"/>
          <w:b/>
          <w:bCs/>
          <w:color w:val="auto"/>
          <w:kern w:val="2"/>
          <w:sz w:val="32"/>
          <w:szCs w:val="32"/>
          <w:highlight w:val="none"/>
          <w:lang w:val="en-US" w:eastAsia="zh-CN" w:bidi="zh-TW"/>
        </w:rPr>
        <w:t>三、特殊病例的评议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textAlignment w:val="auto"/>
        <w:rPr>
          <w:rFonts w:hint="eastAsia" w:ascii="Times New Roman" w:hAnsi="Times New Roman" w:eastAsia="仿宋_GB2312" w:cs="Times New Roman"/>
          <w:b/>
          <w:bCs/>
          <w:color w:val="auto"/>
          <w:kern w:val="2"/>
          <w:sz w:val="32"/>
          <w:szCs w:val="32"/>
          <w:highlight w:val="none"/>
          <w:lang w:val="en-US" w:eastAsia="zh-CN" w:bidi="zh-TW"/>
        </w:rPr>
      </w:pPr>
      <w:r>
        <w:rPr>
          <w:rFonts w:hint="eastAsia" w:ascii="Times New Roman" w:hAnsi="Times New Roman" w:eastAsia="仿宋_GB2312" w:cs="Times New Roman"/>
          <w:b/>
          <w:bCs/>
          <w:color w:val="auto"/>
          <w:kern w:val="2"/>
          <w:sz w:val="32"/>
          <w:szCs w:val="32"/>
          <w:highlight w:val="none"/>
          <w:lang w:val="en-US" w:eastAsia="zh-CN" w:bidi="zh-TW"/>
        </w:rPr>
        <w:t>市医保经办机构组织专家进行评议，对评议通过、经审核后符合医保规定的特殊病例费用参照空白病种分值计算支付。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color w:val="auto"/>
          <w:kern w:val="2"/>
          <w:sz w:val="32"/>
          <w:szCs w:val="32"/>
          <w:highlight w:val="none"/>
          <w:lang w:val="en-US" w:eastAsia="zh-CN" w:bidi="zh-TW"/>
        </w:rPr>
      </w:pPr>
    </w:p>
    <w:p>
      <w:pPr>
        <w:keepNext w:val="0"/>
        <w:keepLines w:val="0"/>
        <w:pageBreakBefore w:val="0"/>
        <w:widowControl w:val="0"/>
        <w:kinsoku/>
        <w:wordWrap/>
        <w:overflowPunct/>
        <w:topLinePunct w:val="0"/>
        <w:autoSpaceDE/>
        <w:autoSpaceDN/>
        <w:bidi w:val="0"/>
        <w:adjustRightInd/>
        <w:snapToGrid/>
        <w:spacing w:line="560" w:lineRule="exact"/>
        <w:ind w:firstLine="276" w:firstLineChars="100"/>
        <w:textAlignment w:val="auto"/>
        <w:rPr>
          <w:rFonts w:hint="eastAsia" w:ascii="仿宋" w:hAnsi="仿宋" w:eastAsia="仿宋" w:cs="仿宋"/>
          <w:b/>
          <w:bCs/>
          <w:color w:val="000000"/>
          <w:sz w:val="28"/>
          <w:szCs w:val="28"/>
        </w:rPr>
      </w:pPr>
      <w:bookmarkStart w:id="0" w:name="_GoBack"/>
      <w:bookmarkEnd w:id="0"/>
    </w:p>
    <w:sectPr>
      <w:footerReference r:id="rId3" w:type="default"/>
      <w:pgSz w:w="11906" w:h="16838"/>
      <w:pgMar w:top="2098" w:right="1531" w:bottom="1531" w:left="1531" w:header="851" w:footer="1134" w:gutter="0"/>
      <w:pgNumType w:fmt="numberInDash" w:start="1"/>
      <w:cols w:space="720" w:num="1"/>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8"/>
        <w:szCs w:val="28"/>
      </w:rPr>
    </w:pPr>
  </w:p>
  <w:p>
    <w:pPr>
      <w:pStyle w:val="8"/>
      <w:tabs>
        <w:tab w:val="left" w:pos="5484"/>
        <w:tab w:val="clear" w:pos="4153"/>
        <w:tab w:val="clear" w:pos="8306"/>
      </w:tabs>
    </w:pP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C10AA"/>
    <w:multiLevelType w:val="singleLevel"/>
    <w:tmpl w:val="8D0C10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zYjUyZGIyZDI3YjQ3MzVhYTc4N2VkNTAwOThmMDcifQ=="/>
    <w:docVar w:name="KSO_WPS_MARK_KEY" w:val="c1cbc7fc-5b27-4a76-804b-16d4b1f86d73"/>
  </w:docVars>
  <w:rsids>
    <w:rsidRoot w:val="00000000"/>
    <w:rsid w:val="0087167F"/>
    <w:rsid w:val="00C44682"/>
    <w:rsid w:val="010745E4"/>
    <w:rsid w:val="029E162E"/>
    <w:rsid w:val="03977E2B"/>
    <w:rsid w:val="040E27E3"/>
    <w:rsid w:val="0410030A"/>
    <w:rsid w:val="042A2A2B"/>
    <w:rsid w:val="0526590B"/>
    <w:rsid w:val="06A905A2"/>
    <w:rsid w:val="07AD5E6F"/>
    <w:rsid w:val="08153599"/>
    <w:rsid w:val="089D7C92"/>
    <w:rsid w:val="08B671DF"/>
    <w:rsid w:val="09C474A0"/>
    <w:rsid w:val="0A0855DF"/>
    <w:rsid w:val="0A4837C0"/>
    <w:rsid w:val="0A8E01DA"/>
    <w:rsid w:val="0ABC66D8"/>
    <w:rsid w:val="0B6C2B40"/>
    <w:rsid w:val="0B9422E6"/>
    <w:rsid w:val="0BC155B2"/>
    <w:rsid w:val="0BF16E09"/>
    <w:rsid w:val="0C2D57D1"/>
    <w:rsid w:val="0CA041F5"/>
    <w:rsid w:val="0D6671EC"/>
    <w:rsid w:val="0DD426BC"/>
    <w:rsid w:val="0E11685A"/>
    <w:rsid w:val="0E990EFC"/>
    <w:rsid w:val="0EB21FBD"/>
    <w:rsid w:val="0F557518"/>
    <w:rsid w:val="0F916077"/>
    <w:rsid w:val="0FD541B5"/>
    <w:rsid w:val="10FC5772"/>
    <w:rsid w:val="115B2DE0"/>
    <w:rsid w:val="11AB0077"/>
    <w:rsid w:val="11BF6ECB"/>
    <w:rsid w:val="120E7A5C"/>
    <w:rsid w:val="12E45729"/>
    <w:rsid w:val="13410312"/>
    <w:rsid w:val="13DB70B0"/>
    <w:rsid w:val="148E02C6"/>
    <w:rsid w:val="14DE1B64"/>
    <w:rsid w:val="15095DCB"/>
    <w:rsid w:val="151A266A"/>
    <w:rsid w:val="153037FC"/>
    <w:rsid w:val="157A76D4"/>
    <w:rsid w:val="15E92769"/>
    <w:rsid w:val="15EC7D22"/>
    <w:rsid w:val="16492D73"/>
    <w:rsid w:val="16C136E5"/>
    <w:rsid w:val="16DD6CC3"/>
    <w:rsid w:val="174A5489"/>
    <w:rsid w:val="174D6D27"/>
    <w:rsid w:val="175E6D98"/>
    <w:rsid w:val="17E56F60"/>
    <w:rsid w:val="17F9280D"/>
    <w:rsid w:val="18B0756E"/>
    <w:rsid w:val="19001098"/>
    <w:rsid w:val="195070D3"/>
    <w:rsid w:val="196343A0"/>
    <w:rsid w:val="198F1879"/>
    <w:rsid w:val="19A414DD"/>
    <w:rsid w:val="1A2151BD"/>
    <w:rsid w:val="1A3E118F"/>
    <w:rsid w:val="1ACD08AB"/>
    <w:rsid w:val="1B035ED2"/>
    <w:rsid w:val="1B083691"/>
    <w:rsid w:val="1C682DBC"/>
    <w:rsid w:val="1CD51C99"/>
    <w:rsid w:val="1D1125A5"/>
    <w:rsid w:val="1EA46E3F"/>
    <w:rsid w:val="1F2C36C6"/>
    <w:rsid w:val="1F9574BD"/>
    <w:rsid w:val="1FBC7140"/>
    <w:rsid w:val="223E208E"/>
    <w:rsid w:val="22986272"/>
    <w:rsid w:val="245925FC"/>
    <w:rsid w:val="24E43E99"/>
    <w:rsid w:val="25457290"/>
    <w:rsid w:val="26306192"/>
    <w:rsid w:val="26CD39E1"/>
    <w:rsid w:val="270C275B"/>
    <w:rsid w:val="282E04AF"/>
    <w:rsid w:val="28321D4D"/>
    <w:rsid w:val="290C6A42"/>
    <w:rsid w:val="29915199"/>
    <w:rsid w:val="2B8337CB"/>
    <w:rsid w:val="2C0734F1"/>
    <w:rsid w:val="2CC403B5"/>
    <w:rsid w:val="2CC72FAE"/>
    <w:rsid w:val="2CD94796"/>
    <w:rsid w:val="2E641BD7"/>
    <w:rsid w:val="2E8D23D3"/>
    <w:rsid w:val="2EC26644"/>
    <w:rsid w:val="2EE4E1E9"/>
    <w:rsid w:val="2F934E01"/>
    <w:rsid w:val="303625F7"/>
    <w:rsid w:val="30701B1A"/>
    <w:rsid w:val="31172428"/>
    <w:rsid w:val="31D273D2"/>
    <w:rsid w:val="320F75A3"/>
    <w:rsid w:val="323A58E7"/>
    <w:rsid w:val="323D1A1A"/>
    <w:rsid w:val="32564843"/>
    <w:rsid w:val="32593271"/>
    <w:rsid w:val="32D85BE7"/>
    <w:rsid w:val="331B58FD"/>
    <w:rsid w:val="3350577D"/>
    <w:rsid w:val="33884F17"/>
    <w:rsid w:val="33E365F1"/>
    <w:rsid w:val="343D03F7"/>
    <w:rsid w:val="343F6B4F"/>
    <w:rsid w:val="35304FF1"/>
    <w:rsid w:val="35F965A0"/>
    <w:rsid w:val="373B04F2"/>
    <w:rsid w:val="374101FF"/>
    <w:rsid w:val="37637985"/>
    <w:rsid w:val="379278E2"/>
    <w:rsid w:val="37D72911"/>
    <w:rsid w:val="37D83F93"/>
    <w:rsid w:val="388A5BFC"/>
    <w:rsid w:val="38BF6019"/>
    <w:rsid w:val="39180AEB"/>
    <w:rsid w:val="39D013C6"/>
    <w:rsid w:val="39E91D09"/>
    <w:rsid w:val="3AD4138A"/>
    <w:rsid w:val="3B092074"/>
    <w:rsid w:val="3C065968"/>
    <w:rsid w:val="3C720E5A"/>
    <w:rsid w:val="3CA32DC2"/>
    <w:rsid w:val="3CD770EF"/>
    <w:rsid w:val="3CDE204C"/>
    <w:rsid w:val="3CFC24D2"/>
    <w:rsid w:val="3D70539A"/>
    <w:rsid w:val="3E73490D"/>
    <w:rsid w:val="3EA70168"/>
    <w:rsid w:val="3F270877"/>
    <w:rsid w:val="3F3947F3"/>
    <w:rsid w:val="3FEC4A80"/>
    <w:rsid w:val="40541885"/>
    <w:rsid w:val="40814698"/>
    <w:rsid w:val="40F40090"/>
    <w:rsid w:val="40F57964"/>
    <w:rsid w:val="41555735"/>
    <w:rsid w:val="41BE41FA"/>
    <w:rsid w:val="41DD0B24"/>
    <w:rsid w:val="42177E0D"/>
    <w:rsid w:val="421A3B26"/>
    <w:rsid w:val="423E0495"/>
    <w:rsid w:val="42984A4B"/>
    <w:rsid w:val="42A87384"/>
    <w:rsid w:val="4340494B"/>
    <w:rsid w:val="441427F7"/>
    <w:rsid w:val="442D7C51"/>
    <w:rsid w:val="459736E0"/>
    <w:rsid w:val="45E12478"/>
    <w:rsid w:val="461B4024"/>
    <w:rsid w:val="461C2F2F"/>
    <w:rsid w:val="467C1644"/>
    <w:rsid w:val="47356D0C"/>
    <w:rsid w:val="47B75973"/>
    <w:rsid w:val="47D149F2"/>
    <w:rsid w:val="48B62409"/>
    <w:rsid w:val="48DB641D"/>
    <w:rsid w:val="499E3420"/>
    <w:rsid w:val="49E3549E"/>
    <w:rsid w:val="4A770C16"/>
    <w:rsid w:val="4A8F4985"/>
    <w:rsid w:val="4B895879"/>
    <w:rsid w:val="4B9F1B8C"/>
    <w:rsid w:val="4BF453E8"/>
    <w:rsid w:val="4CC20A8E"/>
    <w:rsid w:val="4D225F85"/>
    <w:rsid w:val="4E191136"/>
    <w:rsid w:val="4E1F24C4"/>
    <w:rsid w:val="4FA9473B"/>
    <w:rsid w:val="4FB54E8E"/>
    <w:rsid w:val="4FB861DA"/>
    <w:rsid w:val="502E1187"/>
    <w:rsid w:val="50A56CB1"/>
    <w:rsid w:val="50FD41F2"/>
    <w:rsid w:val="51125B99"/>
    <w:rsid w:val="511C0AFF"/>
    <w:rsid w:val="514A7858"/>
    <w:rsid w:val="52457769"/>
    <w:rsid w:val="537E1A3B"/>
    <w:rsid w:val="55436A98"/>
    <w:rsid w:val="558E30E2"/>
    <w:rsid w:val="55B63C57"/>
    <w:rsid w:val="562674D7"/>
    <w:rsid w:val="577D745D"/>
    <w:rsid w:val="581D7A74"/>
    <w:rsid w:val="58366D88"/>
    <w:rsid w:val="58550FBC"/>
    <w:rsid w:val="589870FB"/>
    <w:rsid w:val="58EC1C59"/>
    <w:rsid w:val="59941A1B"/>
    <w:rsid w:val="5ACC12DE"/>
    <w:rsid w:val="5B01367D"/>
    <w:rsid w:val="5B996054"/>
    <w:rsid w:val="5BDC37A3"/>
    <w:rsid w:val="5BFD51BD"/>
    <w:rsid w:val="5C0D1BAE"/>
    <w:rsid w:val="5C862449"/>
    <w:rsid w:val="5D5B1C5B"/>
    <w:rsid w:val="5DCE21D9"/>
    <w:rsid w:val="5EB241AB"/>
    <w:rsid w:val="5EDD61AF"/>
    <w:rsid w:val="5EF93C97"/>
    <w:rsid w:val="5F2E5FDF"/>
    <w:rsid w:val="5F444FB4"/>
    <w:rsid w:val="5F5024DD"/>
    <w:rsid w:val="5F7E34EF"/>
    <w:rsid w:val="60A9669C"/>
    <w:rsid w:val="611640E3"/>
    <w:rsid w:val="617454FA"/>
    <w:rsid w:val="62B677D8"/>
    <w:rsid w:val="630006A9"/>
    <w:rsid w:val="6300421A"/>
    <w:rsid w:val="63B559A6"/>
    <w:rsid w:val="63FF3D72"/>
    <w:rsid w:val="651D1D20"/>
    <w:rsid w:val="663B1FB8"/>
    <w:rsid w:val="665054B9"/>
    <w:rsid w:val="67650AF0"/>
    <w:rsid w:val="67BB4C0B"/>
    <w:rsid w:val="67DB0DB2"/>
    <w:rsid w:val="67E06114"/>
    <w:rsid w:val="684F3C7A"/>
    <w:rsid w:val="68975621"/>
    <w:rsid w:val="69074DC1"/>
    <w:rsid w:val="695E5F52"/>
    <w:rsid w:val="6A27181E"/>
    <w:rsid w:val="6A2B4273"/>
    <w:rsid w:val="6A6E23B2"/>
    <w:rsid w:val="6B0019A2"/>
    <w:rsid w:val="6B71128A"/>
    <w:rsid w:val="6B8A6D77"/>
    <w:rsid w:val="6BC609A6"/>
    <w:rsid w:val="6C661592"/>
    <w:rsid w:val="6CF7610F"/>
    <w:rsid w:val="6D145444"/>
    <w:rsid w:val="6DA71E62"/>
    <w:rsid w:val="6DD864C0"/>
    <w:rsid w:val="6E1B015A"/>
    <w:rsid w:val="6EB0796A"/>
    <w:rsid w:val="6F12155D"/>
    <w:rsid w:val="6F92269E"/>
    <w:rsid w:val="6FEE603A"/>
    <w:rsid w:val="6FFFB53C"/>
    <w:rsid w:val="70B8309D"/>
    <w:rsid w:val="70CD6084"/>
    <w:rsid w:val="71600CA6"/>
    <w:rsid w:val="721455EC"/>
    <w:rsid w:val="725262A7"/>
    <w:rsid w:val="728E0DB7"/>
    <w:rsid w:val="73102258"/>
    <w:rsid w:val="736B748E"/>
    <w:rsid w:val="741B5358"/>
    <w:rsid w:val="74343D24"/>
    <w:rsid w:val="7440116A"/>
    <w:rsid w:val="74F75AEF"/>
    <w:rsid w:val="74FE0BCF"/>
    <w:rsid w:val="75EB48B6"/>
    <w:rsid w:val="75FE4DC7"/>
    <w:rsid w:val="7614520D"/>
    <w:rsid w:val="76EB6C2F"/>
    <w:rsid w:val="772027E8"/>
    <w:rsid w:val="773D3837"/>
    <w:rsid w:val="775729BF"/>
    <w:rsid w:val="7764259A"/>
    <w:rsid w:val="776E2782"/>
    <w:rsid w:val="782B3690"/>
    <w:rsid w:val="78B20B05"/>
    <w:rsid w:val="78F041FE"/>
    <w:rsid w:val="7A392094"/>
    <w:rsid w:val="7A540C7C"/>
    <w:rsid w:val="7A6277AD"/>
    <w:rsid w:val="7A7D4063"/>
    <w:rsid w:val="7AB93293"/>
    <w:rsid w:val="7AC56465"/>
    <w:rsid w:val="7B5F08D5"/>
    <w:rsid w:val="7B5F3D7C"/>
    <w:rsid w:val="7B6672A0"/>
    <w:rsid w:val="7C00029F"/>
    <w:rsid w:val="7C2E5727"/>
    <w:rsid w:val="7CAA1027"/>
    <w:rsid w:val="7CCD4D16"/>
    <w:rsid w:val="7DE6834D"/>
    <w:rsid w:val="7E745D91"/>
    <w:rsid w:val="7EE724A7"/>
    <w:rsid w:val="7EF37DFA"/>
    <w:rsid w:val="7F4D372F"/>
    <w:rsid w:val="7FB761B1"/>
    <w:rsid w:val="7FE5DA33"/>
    <w:rsid w:val="8E1BC473"/>
    <w:rsid w:val="9FCA6F99"/>
    <w:rsid w:val="DEFF824C"/>
    <w:rsid w:val="F6D5C417"/>
    <w:rsid w:val="F7BD6C94"/>
    <w:rsid w:val="FDEEE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napToGrid w:val="0"/>
      <w:spacing w:line="640" w:lineRule="exact"/>
      <w:ind w:firstLine="705"/>
    </w:pPr>
    <w:rPr>
      <w:rFonts w:ascii="仿宋_GB2312" w:hAnsi="Times New Roman" w:eastAsia="仿宋_GB2312" w:cs="仿宋_GB2312"/>
      <w:color w:val="000000"/>
      <w:sz w:val="36"/>
      <w:szCs w:val="36"/>
    </w:rPr>
  </w:style>
  <w:style w:type="paragraph" w:styleId="4">
    <w:name w:val="toa heading"/>
    <w:basedOn w:val="1"/>
    <w:next w:val="1"/>
    <w:qFormat/>
    <w:uiPriority w:val="0"/>
    <w:pPr>
      <w:spacing w:before="120"/>
    </w:pPr>
    <w:rPr>
      <w:rFonts w:ascii="Arial" w:hAnsi="Arial"/>
      <w:sz w:val="24"/>
    </w:rPr>
  </w:style>
  <w:style w:type="paragraph" w:styleId="5">
    <w:name w:val="annotation text"/>
    <w:basedOn w:val="1"/>
    <w:qFormat/>
    <w:uiPriority w:val="0"/>
    <w:pPr>
      <w:jc w:val="left"/>
    </w:pPr>
  </w:style>
  <w:style w:type="paragraph" w:styleId="6">
    <w:name w:val="Body Text"/>
    <w:basedOn w:val="1"/>
    <w:next w:val="1"/>
    <w:qFormat/>
    <w:uiPriority w:val="1"/>
    <w:rPr>
      <w:rFonts w:ascii="仿宋" w:hAnsi="仿宋" w:eastAsia="仿宋" w:cs="仿宋"/>
      <w:sz w:val="32"/>
      <w:szCs w:val="32"/>
      <w:lang w:val="zh-CN" w:eastAsia="zh-CN" w:bidi="zh-CN"/>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6"/>
    <w:qFormat/>
    <w:uiPriority w:val="0"/>
    <w:pPr>
      <w:ind w:firstLine="420" w:firstLineChars="100"/>
    </w:pPr>
    <w:rPr>
      <w:rFonts w:ascii="Calibri" w:hAnsi="Calibri" w:eastAsia="宋体"/>
      <w:sz w:val="21"/>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Heading #2|1"/>
    <w:basedOn w:val="1"/>
    <w:qFormat/>
    <w:uiPriority w:val="0"/>
    <w:pPr>
      <w:spacing w:after="480" w:line="559" w:lineRule="exact"/>
      <w:ind w:left="140" w:firstLine="30"/>
      <w:jc w:val="center"/>
      <w:outlineLvl w:val="1"/>
    </w:pPr>
    <w:rPr>
      <w:rFonts w:ascii="宋体" w:hAnsi="宋体" w:eastAsia="宋体" w:cs="宋体"/>
      <w:sz w:val="44"/>
      <w:szCs w:val="44"/>
      <w:lang w:val="zh-TW" w:eastAsia="zh-TW" w:bidi="zh-TW"/>
    </w:rPr>
  </w:style>
  <w:style w:type="paragraph" w:customStyle="1" w:styleId="16">
    <w:name w:val="Heading #3|1"/>
    <w:basedOn w:val="1"/>
    <w:qFormat/>
    <w:uiPriority w:val="0"/>
    <w:pPr>
      <w:spacing w:after="200" w:line="599" w:lineRule="exact"/>
      <w:jc w:val="center"/>
      <w:outlineLvl w:val="2"/>
    </w:pPr>
    <w:rPr>
      <w:rFonts w:ascii="宋体" w:hAnsi="宋体" w:eastAsia="宋体" w:cs="宋体"/>
      <w:sz w:val="36"/>
      <w:szCs w:val="36"/>
      <w:lang w:val="zh-TW" w:eastAsia="zh-TW" w:bidi="zh-TW"/>
    </w:rPr>
  </w:style>
  <w:style w:type="paragraph" w:customStyle="1" w:styleId="17">
    <w:name w:val="Body text|1"/>
    <w:basedOn w:val="1"/>
    <w:qFormat/>
    <w:uiPriority w:val="0"/>
    <w:pPr>
      <w:spacing w:line="451" w:lineRule="auto"/>
      <w:ind w:firstLine="400"/>
    </w:pPr>
    <w:rPr>
      <w:rFonts w:ascii="宋体" w:hAnsi="宋体" w:eastAsia="宋体" w:cs="宋体"/>
      <w:sz w:val="28"/>
      <w:szCs w:val="28"/>
      <w:lang w:val="zh-TW" w:eastAsia="zh-TW" w:bidi="zh-TW"/>
    </w:rPr>
  </w:style>
  <w:style w:type="paragraph" w:customStyle="1" w:styleId="18">
    <w:name w:val="仿宋正文"/>
    <w:basedOn w:val="1"/>
    <w:qFormat/>
    <w:uiPriority w:val="0"/>
    <w:pPr>
      <w:suppressAutoHyphens/>
      <w:spacing w:line="600" w:lineRule="exact"/>
      <w:ind w:firstLine="420"/>
      <w:jc w:val="both"/>
    </w:pPr>
    <w:rPr>
      <w:rFonts w:ascii="Calibri" w:hAnsi="Calibri" w:eastAsia="方正仿宋简体" w:cs="宋体"/>
      <w:color w:val="auto"/>
      <w:kern w:val="2"/>
      <w:sz w:val="21"/>
      <w:szCs w:val="21"/>
      <w:lang w:eastAsia="zh-CN" w:bidi="ar-SA"/>
    </w:rPr>
  </w:style>
  <w:style w:type="paragraph" w:customStyle="1" w:styleId="19">
    <w:name w:val="正文格式"/>
    <w:basedOn w:val="1"/>
    <w:qFormat/>
    <w:uiPriority w:val="0"/>
    <w:pPr>
      <w:widowControl/>
      <w:adjustRightInd w:val="0"/>
      <w:snapToGrid w:val="0"/>
      <w:spacing w:line="400" w:lineRule="atLeast"/>
      <w:ind w:firstLine="482"/>
      <w:textAlignment w:val="baseline"/>
    </w:pPr>
    <w:rPr>
      <w:rFonts w:ascii="Times New Roman" w:hAnsi="Times New Roman"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7822</Words>
  <Characters>9231</Characters>
  <Lines>0</Lines>
  <Paragraphs>0</Paragraphs>
  <TotalTime>40</TotalTime>
  <ScaleCrop>false</ScaleCrop>
  <LinksUpToDate>false</LinksUpToDate>
  <CharactersWithSpaces>9412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2023-05-28T01:38:00Z</dcterms:created>
  <dc:creator>86150</dc:creator>
  <cp:lastModifiedBy>吴静</cp:lastModifiedBy>
  <cp:lastPrinted>2023-09-06T02:10:00Z</cp:lastPrinted>
  <dcterms:modified xsi:type="dcterms:W3CDTF">2024-01-09T01:28:34Z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EE7D5648BB0E4745A210573AD34B194A_12</vt:lpwstr>
  </property>
</Properties>
</file>