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附件1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方正小标宋简体" w:cs="Times New Roman"/>
          <w:b/>
          <w:bCs/>
          <w:kern w:val="2"/>
          <w:sz w:val="44"/>
          <w:szCs w:val="44"/>
          <w:highlight w:val="none"/>
          <w:lang w:val="en-US" w:eastAsia="zh-CN" w:bidi="zh-TW"/>
        </w:rPr>
        <w:t xml:space="preserve"> 济宁市医保支付中有关系数的确定规则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b/>
          <w:bCs/>
          <w:color w:val="auto"/>
          <w:kern w:val="2"/>
          <w:sz w:val="32"/>
          <w:szCs w:val="32"/>
          <w:highlight w:val="none"/>
          <w:lang w:val="en-US" w:eastAsia="zh-CN" w:bidi="zh-TW"/>
        </w:rPr>
      </w:pPr>
      <w:r>
        <w:rPr>
          <w:rFonts w:hint="eastAsia" w:ascii="黑体" w:hAnsi="黑体" w:eastAsia="黑体" w:cs="黑体"/>
          <w:b/>
          <w:bCs/>
          <w:color w:val="auto"/>
          <w:kern w:val="2"/>
          <w:sz w:val="32"/>
          <w:szCs w:val="32"/>
          <w:highlight w:val="none"/>
          <w:lang w:val="en-US" w:eastAsia="zh-CN" w:bidi="zh-TW"/>
        </w:rPr>
        <w:t>一、基本原则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（一）结合实际，合理设定。符合客观事实，以当年度医疗</w:t>
      </w:r>
      <w:r>
        <w:rPr>
          <w:rFonts w:hint="default" w:ascii="Times New Roman" w:hAnsi="Times New Roman" w:eastAsia="仿宋_GB2312" w:cs="Times New Roman"/>
          <w:b/>
          <w:bCs/>
          <w:color w:val="auto"/>
          <w:kern w:val="2"/>
          <w:sz w:val="32"/>
          <w:szCs w:val="32"/>
          <w:highlight w:val="none"/>
          <w:lang w:val="en-US" w:eastAsia="zh-CN" w:bidi="zh-TW"/>
        </w:rPr>
        <w:t>费用等实际数据设置定点医疗机构系数</w:t>
      </w:r>
      <w:r>
        <w:rPr>
          <w:rFonts w:hint="eastAsia" w:ascii="Times New Roman" w:hAnsi="Times New Roman" w:eastAsia="仿宋_GB2312" w:cs="Times New Roman"/>
          <w:b/>
          <w:bCs/>
          <w:color w:val="auto"/>
          <w:kern w:val="2"/>
          <w:sz w:val="32"/>
          <w:szCs w:val="32"/>
          <w:highlight w:val="none"/>
          <w:lang w:val="en-US" w:eastAsia="zh-CN" w:bidi="zh-TW"/>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（二）明确规则，强化激励。统筹兼顾定点医疗机构功能定位，明确系数确定规则，激励引导定点医疗机构良性发展。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b/>
          <w:bCs/>
          <w:color w:val="auto"/>
          <w:kern w:val="2"/>
          <w:sz w:val="32"/>
          <w:szCs w:val="32"/>
          <w:highlight w:val="none"/>
          <w:lang w:val="en-US" w:eastAsia="zh-CN" w:bidi="zh-TW"/>
        </w:rPr>
      </w:pPr>
      <w:r>
        <w:rPr>
          <w:rFonts w:hint="default" w:ascii="黑体" w:hAnsi="黑体" w:eastAsia="黑体" w:cs="黑体"/>
          <w:b/>
          <w:bCs/>
          <w:color w:val="auto"/>
          <w:kern w:val="2"/>
          <w:sz w:val="32"/>
          <w:szCs w:val="32"/>
          <w:highlight w:val="none"/>
          <w:lang w:val="en-US" w:eastAsia="zh-CN" w:bidi="zh-TW"/>
        </w:rPr>
        <w:t>二、定点医疗机构系数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本市定点医疗机构按病种分值付费的系数称为定点医疗机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构系数，包括基本系数和加成系数。定点医疗机构系数</w:t>
      </w:r>
      <w:r>
        <w:rPr>
          <w:rFonts w:hint="eastAsia" w:ascii="Times New Roman" w:hAnsi="Times New Roman" w:eastAsia="仿宋_GB2312" w:cs="Times New Roman"/>
          <w:b/>
          <w:bCs/>
          <w:color w:val="auto"/>
          <w:kern w:val="2"/>
          <w:sz w:val="32"/>
          <w:szCs w:val="32"/>
          <w:highlight w:val="none"/>
          <w:lang w:val="en-US" w:eastAsia="zh-CN" w:bidi="zh-TW"/>
        </w:rPr>
        <w:t>=</w:t>
      </w:r>
      <w:r>
        <w:rPr>
          <w:rFonts w:hint="default" w:ascii="Times New Roman" w:hAnsi="Times New Roman" w:eastAsia="仿宋_GB2312" w:cs="Times New Roman"/>
          <w:b/>
          <w:bCs/>
          <w:color w:val="auto"/>
          <w:kern w:val="2"/>
          <w:sz w:val="32"/>
          <w:szCs w:val="32"/>
          <w:highlight w:val="none"/>
          <w:lang w:val="en-US" w:eastAsia="zh-CN" w:bidi="zh-TW"/>
        </w:rPr>
        <w:t>基本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系数×（1+加成系数）。各项系数的计算结果向下取至小数点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后</w:t>
      </w:r>
      <w:r>
        <w:rPr>
          <w:rFonts w:hint="eastAsia" w:ascii="Times New Roman" w:hAnsi="Times New Roman" w:eastAsia="仿宋_GB2312" w:cs="Times New Roman"/>
          <w:b/>
          <w:bCs/>
          <w:color w:val="auto"/>
          <w:kern w:val="2"/>
          <w:sz w:val="32"/>
          <w:szCs w:val="32"/>
          <w:highlight w:val="none"/>
          <w:lang w:val="en-US" w:eastAsia="zh-CN" w:bidi="zh-TW"/>
        </w:rPr>
        <w:t>四</w:t>
      </w:r>
      <w:r>
        <w:rPr>
          <w:rFonts w:hint="default" w:ascii="Times New Roman" w:hAnsi="Times New Roman" w:eastAsia="仿宋_GB2312" w:cs="Times New Roman"/>
          <w:b/>
          <w:bCs/>
          <w:color w:val="auto"/>
          <w:kern w:val="2"/>
          <w:sz w:val="32"/>
          <w:szCs w:val="32"/>
          <w:highlight w:val="none"/>
          <w:lang w:val="en-US" w:eastAsia="zh-CN" w:bidi="zh-TW"/>
        </w:rPr>
        <w:t>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（一）基本系数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b/>
          <w:bCs/>
          <w:color w:val="auto"/>
          <w:kern w:val="2"/>
          <w:sz w:val="32"/>
          <w:szCs w:val="32"/>
          <w:highlight w:val="yellow"/>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三级甲等定点医疗机构基本系数设置为1，其它三级、二级、一级定点医疗机构的基本系数按该级别定点医疗机构与三级甲等定点医疗机构相同核心病种的医疗费用比例关系确定。三级、二级、一级医疗机构分为三级甲等、三级乙等、二级甲等、二级乙等、一级甲等、一级乙等、未定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（二）加成系数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加成系数等于病例组合系数、老年患者比例系数、儿童患者比例系数之和减去二次住院系数。加成系数计算结果大于10个百分点的，取10个百分点。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1.病例组合系数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（1）病例组合指数（CMI）=定点医疗机构总分值÷定点医疗机构总例数÷100。床日病种、新生儿非疾病因素住院、新冠肺炎病例不纳入CMI计算范围，特殊病例以调整前分值计算。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（2）各级别定点医疗机构分别计算CMI平均数</w:t>
      </w:r>
      <w:r>
        <w:rPr>
          <w:rFonts w:hint="eastAsia" w:ascii="Times New Roman" w:hAnsi="Times New Roman" w:eastAsia="仿宋_GB2312" w:cs="Times New Roman"/>
          <w:b/>
          <w:bCs/>
          <w:color w:val="auto"/>
          <w:kern w:val="2"/>
          <w:sz w:val="32"/>
          <w:szCs w:val="32"/>
          <w:highlight w:val="none"/>
          <w:lang w:val="en-US" w:eastAsia="zh-CN" w:bidi="zh-TW"/>
        </w:rPr>
        <w:t>(</w:t>
      </w:r>
      <m:oMath>
        <m:acc>
          <m:accPr>
            <m:chr m:val="̅"/>
            <m:ctrlPr>
              <w:rPr>
                <w:rFonts w:hint="default" w:ascii="Cambria Math" w:hAnsi="Cambria Math" w:eastAsia="仿宋_GB2312" w:cs="Times New Roman"/>
                <w:b/>
                <w:bCs/>
                <w:i w:val="0"/>
                <w:color w:val="auto"/>
                <w:kern w:val="2"/>
                <w:sz w:val="32"/>
                <w:szCs w:val="32"/>
                <w:highlight w:val="none"/>
                <w:lang w:val="en-US" w:eastAsia="zh-CN" w:bidi="zh-TW"/>
              </w:rPr>
            </m:ctrlPr>
          </m:accPr>
          <m:e>
            <m:r>
              <m:rPr>
                <m:sty m:val="b"/>
              </m:rPr>
              <w:rPr>
                <w:rFonts w:hint="default" w:ascii="Cambria Math" w:hAnsi="Cambria Math" w:eastAsia="仿宋_GB2312" w:cs="Times New Roman"/>
                <w:color w:val="auto"/>
                <w:kern w:val="2"/>
                <w:sz w:val="32"/>
                <w:szCs w:val="32"/>
                <w:highlight w:val="none"/>
                <w:lang w:val="en-US" w:eastAsia="zh-CN" w:bidi="zh-TW"/>
              </w:rPr>
              <m:t>CMI</m:t>
            </m:r>
            <m:ctrlPr>
              <w:rPr>
                <w:rFonts w:hint="default" w:ascii="Cambria Math" w:hAnsi="Cambria Math" w:eastAsia="仿宋_GB2312" w:cs="Times New Roman"/>
                <w:b/>
                <w:bCs/>
                <w:i w:val="0"/>
                <w:color w:val="auto"/>
                <w:kern w:val="2"/>
                <w:sz w:val="32"/>
                <w:szCs w:val="32"/>
                <w:highlight w:val="none"/>
                <w:lang w:val="en-US" w:eastAsia="zh-CN" w:bidi="zh-TW"/>
              </w:rPr>
            </m:ctrlPr>
          </m:e>
        </m:acc>
      </m:oMath>
      <w:r>
        <w:rPr>
          <w:rFonts w:hint="eastAsia" w:hAnsi="Cambria Math" w:eastAsia="仿宋_GB2312" w:cs="Times New Roman"/>
          <w:b/>
          <w:bCs/>
          <w:i w:val="0"/>
          <w:color w:val="auto"/>
          <w:kern w:val="2"/>
          <w:sz w:val="32"/>
          <w:szCs w:val="32"/>
          <w:highlight w:val="none"/>
          <w:lang w:val="en-US" w:eastAsia="zh-CN" w:bidi="zh-TW"/>
        </w:rPr>
        <w:t>)</w:t>
      </w:r>
      <w:r>
        <w:rPr>
          <w:rFonts w:hint="default" w:ascii="Times New Roman" w:hAnsi="Times New Roman" w:eastAsia="仿宋_GB2312" w:cs="Times New Roman"/>
          <w:b/>
          <w:bCs/>
          <w:color w:val="auto"/>
          <w:kern w:val="2"/>
          <w:sz w:val="32"/>
          <w:szCs w:val="32"/>
          <w:highlight w:val="none"/>
          <w:lang w:val="en-US" w:eastAsia="zh-CN" w:bidi="zh-TW"/>
        </w:rPr>
        <w:t>。根据CMI和</w:t>
      </w:r>
      <m:oMath>
        <m:acc>
          <m:accPr>
            <m:chr m:val="̅"/>
            <m:ctrlPr>
              <w:rPr>
                <w:rFonts w:hint="default" w:ascii="Cambria Math" w:hAnsi="Cambria Math" w:eastAsia="仿宋_GB2312" w:cs="Times New Roman"/>
                <w:b/>
                <w:bCs/>
                <w:i w:val="0"/>
                <w:color w:val="auto"/>
                <w:kern w:val="2"/>
                <w:sz w:val="32"/>
                <w:szCs w:val="32"/>
                <w:highlight w:val="none"/>
                <w:lang w:val="en-US" w:eastAsia="zh-CN" w:bidi="zh-TW"/>
              </w:rPr>
            </m:ctrlPr>
          </m:accPr>
          <m:e>
            <m:r>
              <m:rPr>
                <m:sty m:val="b"/>
              </m:rPr>
              <w:rPr>
                <w:rFonts w:hint="default" w:ascii="Cambria Math" w:hAnsi="Cambria Math" w:eastAsia="仿宋_GB2312" w:cs="Times New Roman"/>
                <w:color w:val="auto"/>
                <w:kern w:val="2"/>
                <w:sz w:val="32"/>
                <w:szCs w:val="32"/>
                <w:highlight w:val="none"/>
                <w:lang w:val="en-US" w:eastAsia="zh-CN" w:bidi="zh-TW"/>
              </w:rPr>
              <m:t>CMI</m:t>
            </m:r>
            <m:ctrlPr>
              <w:rPr>
                <w:rFonts w:hint="default" w:ascii="Cambria Math" w:hAnsi="Cambria Math" w:eastAsia="仿宋_GB2312" w:cs="Times New Roman"/>
                <w:b/>
                <w:bCs/>
                <w:i w:val="0"/>
                <w:color w:val="auto"/>
                <w:kern w:val="2"/>
                <w:sz w:val="32"/>
                <w:szCs w:val="32"/>
                <w:highlight w:val="none"/>
                <w:lang w:val="en-US" w:eastAsia="zh-CN" w:bidi="zh-TW"/>
              </w:rPr>
            </m:ctrlPr>
          </m:e>
        </m:acc>
      </m:oMath>
      <w:r>
        <w:rPr>
          <w:rFonts w:hint="default" w:ascii="Times New Roman" w:hAnsi="Times New Roman" w:eastAsia="仿宋_GB2312" w:cs="Times New Roman"/>
          <w:b/>
          <w:bCs/>
          <w:color w:val="auto"/>
          <w:kern w:val="2"/>
          <w:sz w:val="32"/>
          <w:szCs w:val="32"/>
          <w:highlight w:val="none"/>
          <w:lang w:val="en-US" w:eastAsia="zh-CN" w:bidi="zh-TW"/>
        </w:rPr>
        <w:t>差额的10%确定病例组合系数，计算公式如下：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当CMI</w:t>
      </w:r>
      <w:r>
        <w:rPr>
          <w:rFonts w:hint="eastAsia" w:ascii="Times New Roman" w:hAnsi="Times New Roman" w:eastAsia="仿宋_GB2312" w:cs="Times New Roman"/>
          <w:b/>
          <w:bCs/>
          <w:color w:val="auto"/>
          <w:kern w:val="2"/>
          <w:sz w:val="32"/>
          <w:szCs w:val="32"/>
          <w:highlight w:val="none"/>
          <w:lang w:val="en-US" w:eastAsia="zh-CN" w:bidi="zh-TW"/>
        </w:rPr>
        <w:t xml:space="preserve"> </w:t>
      </w:r>
      <w:r>
        <w:rPr>
          <w:rFonts w:hint="default" w:ascii="Times New Roman" w:hAnsi="Times New Roman" w:eastAsia="仿宋_GB2312" w:cs="Times New Roman"/>
          <w:b/>
          <w:bCs/>
          <w:color w:val="auto"/>
          <w:kern w:val="2"/>
          <w:sz w:val="32"/>
          <w:szCs w:val="32"/>
          <w:highlight w:val="none"/>
          <w:lang w:val="en-US" w:eastAsia="zh-CN" w:bidi="zh-TW"/>
        </w:rPr>
        <w:t>&gt;</w:t>
      </w:r>
      <w:r>
        <w:rPr>
          <w:rFonts w:hint="eastAsia" w:ascii="Times New Roman" w:hAnsi="Times New Roman" w:eastAsia="仿宋_GB2312" w:cs="Times New Roman"/>
          <w:b/>
          <w:bCs/>
          <w:color w:val="auto"/>
          <w:kern w:val="2"/>
          <w:sz w:val="32"/>
          <w:szCs w:val="32"/>
          <w:highlight w:val="none"/>
          <w:lang w:val="en-US" w:eastAsia="zh-CN" w:bidi="zh-TW"/>
        </w:rPr>
        <w:t xml:space="preserve"> </w:t>
      </w:r>
      <m:oMath>
        <m:acc>
          <m:accPr>
            <m:chr m:val="̅"/>
            <m:ctrlPr>
              <w:rPr>
                <w:rFonts w:hint="default" w:ascii="Cambria Math" w:hAnsi="Cambria Math" w:eastAsia="仿宋_GB2312" w:cs="Times New Roman"/>
                <w:b/>
                <w:bCs/>
                <w:i w:val="0"/>
                <w:color w:val="auto"/>
                <w:kern w:val="2"/>
                <w:sz w:val="32"/>
                <w:szCs w:val="32"/>
                <w:highlight w:val="none"/>
                <w:lang w:val="en-US" w:eastAsia="zh-CN" w:bidi="zh-TW"/>
              </w:rPr>
            </m:ctrlPr>
          </m:accPr>
          <m:e>
            <m:r>
              <m:rPr>
                <m:sty m:val="b"/>
              </m:rPr>
              <w:rPr>
                <w:rFonts w:hint="default" w:ascii="Cambria Math" w:hAnsi="Cambria Math" w:eastAsia="仿宋_GB2312" w:cs="Times New Roman"/>
                <w:color w:val="auto"/>
                <w:kern w:val="2"/>
                <w:sz w:val="32"/>
                <w:szCs w:val="32"/>
                <w:highlight w:val="none"/>
                <w:lang w:val="en-US" w:eastAsia="zh-CN" w:bidi="zh-TW"/>
              </w:rPr>
              <m:t>CMI</m:t>
            </m:r>
            <m:ctrlPr>
              <w:rPr>
                <w:rFonts w:hint="default" w:ascii="Cambria Math" w:hAnsi="Cambria Math" w:eastAsia="仿宋_GB2312" w:cs="Times New Roman"/>
                <w:b/>
                <w:bCs/>
                <w:i w:val="0"/>
                <w:color w:val="auto"/>
                <w:kern w:val="2"/>
                <w:sz w:val="32"/>
                <w:szCs w:val="32"/>
                <w:highlight w:val="none"/>
                <w:lang w:val="en-US" w:eastAsia="zh-CN" w:bidi="zh-TW"/>
              </w:rPr>
            </m:ctrlPr>
          </m:e>
        </m:acc>
      </m:oMath>
      <w:r>
        <w:rPr>
          <w:rFonts w:hint="default" w:ascii="Times New Roman" w:hAnsi="Times New Roman" w:eastAsia="仿宋_GB2312" w:cs="Times New Roman"/>
          <w:b/>
          <w:bCs/>
          <w:color w:val="auto"/>
          <w:kern w:val="2"/>
          <w:sz w:val="32"/>
          <w:szCs w:val="32"/>
          <w:highlight w:val="none"/>
          <w:lang w:val="en-US" w:eastAsia="zh-CN" w:bidi="zh-TW"/>
        </w:rPr>
        <w:t>，病例组合系数=（CMI</w:t>
      </w:r>
      <w:r>
        <w:rPr>
          <w:rFonts w:hint="eastAsia" w:ascii="Times New Roman" w:hAnsi="Times New Roman" w:eastAsia="仿宋_GB2312" w:cs="Times New Roman"/>
          <w:b/>
          <w:bCs/>
          <w:color w:val="auto"/>
          <w:kern w:val="2"/>
          <w:sz w:val="32"/>
          <w:szCs w:val="32"/>
          <w:highlight w:val="none"/>
          <w:lang w:val="en-US" w:eastAsia="zh-CN" w:bidi="zh-TW"/>
        </w:rPr>
        <w:t xml:space="preserve"> </w:t>
      </w:r>
      <w:r>
        <w:rPr>
          <w:rFonts w:hint="default" w:ascii="Times New Roman" w:hAnsi="Times New Roman" w:eastAsia="仿宋_GB2312" w:cs="Times New Roman"/>
          <w:b/>
          <w:bCs/>
          <w:color w:val="auto"/>
          <w:kern w:val="2"/>
          <w:sz w:val="32"/>
          <w:szCs w:val="32"/>
          <w:highlight w:val="none"/>
          <w:lang w:val="en-US" w:eastAsia="zh-CN" w:bidi="zh-TW"/>
        </w:rPr>
        <w:t>-</w:t>
      </w:r>
      <w:r>
        <w:rPr>
          <w:rFonts w:hint="eastAsia" w:ascii="Times New Roman" w:hAnsi="Times New Roman" w:eastAsia="仿宋_GB2312" w:cs="Times New Roman"/>
          <w:b/>
          <w:bCs/>
          <w:color w:val="auto"/>
          <w:kern w:val="2"/>
          <w:sz w:val="32"/>
          <w:szCs w:val="32"/>
          <w:highlight w:val="none"/>
          <w:lang w:val="en-US" w:eastAsia="zh-CN" w:bidi="zh-TW"/>
        </w:rPr>
        <w:t xml:space="preserve"> </w:t>
      </w:r>
      <m:oMath>
        <m:acc>
          <m:accPr>
            <m:chr m:val="̅"/>
            <m:ctrlPr>
              <w:rPr>
                <w:rFonts w:hint="default" w:ascii="Cambria Math" w:hAnsi="Cambria Math" w:eastAsia="仿宋_GB2312" w:cs="Times New Roman"/>
                <w:b/>
                <w:bCs/>
                <w:i w:val="0"/>
                <w:color w:val="auto"/>
                <w:kern w:val="2"/>
                <w:sz w:val="32"/>
                <w:szCs w:val="32"/>
                <w:highlight w:val="none"/>
                <w:lang w:val="en-US" w:eastAsia="zh-CN" w:bidi="zh-TW"/>
              </w:rPr>
            </m:ctrlPr>
          </m:accPr>
          <m:e>
            <m:r>
              <m:rPr>
                <m:sty m:val="b"/>
              </m:rPr>
              <w:rPr>
                <w:rFonts w:hint="default" w:ascii="Cambria Math" w:hAnsi="Cambria Math" w:eastAsia="仿宋_GB2312" w:cs="Times New Roman"/>
                <w:color w:val="auto"/>
                <w:kern w:val="2"/>
                <w:sz w:val="32"/>
                <w:szCs w:val="32"/>
                <w:highlight w:val="none"/>
                <w:lang w:val="en-US" w:eastAsia="zh-CN" w:bidi="zh-TW"/>
              </w:rPr>
              <m:t>CMI</m:t>
            </m:r>
            <m:ctrlPr>
              <w:rPr>
                <w:rFonts w:hint="default" w:ascii="Cambria Math" w:hAnsi="Cambria Math" w:eastAsia="仿宋_GB2312" w:cs="Times New Roman"/>
                <w:b/>
                <w:bCs/>
                <w:i w:val="0"/>
                <w:color w:val="auto"/>
                <w:kern w:val="2"/>
                <w:sz w:val="32"/>
                <w:szCs w:val="32"/>
                <w:highlight w:val="none"/>
                <w:lang w:val="en-US" w:eastAsia="zh-CN" w:bidi="zh-TW"/>
              </w:rPr>
            </m:ctrlPr>
          </m:e>
        </m:acc>
      </m:oMath>
      <w:r>
        <w:rPr>
          <w:rFonts w:hint="default" w:ascii="Times New Roman" w:hAnsi="Times New Roman" w:eastAsia="仿宋_GB2312" w:cs="Times New Roman"/>
          <w:b/>
          <w:bCs/>
          <w:color w:val="auto"/>
          <w:kern w:val="2"/>
          <w:sz w:val="32"/>
          <w:szCs w:val="32"/>
          <w:highlight w:val="none"/>
          <w:lang w:val="en-US" w:eastAsia="zh-CN" w:bidi="zh-TW"/>
        </w:rPr>
        <w:t>）×10%×调节系数。其中：三级定点医疗机构</w:t>
      </w:r>
      <w:r>
        <w:rPr>
          <w:rFonts w:hint="eastAsia" w:ascii="Times New Roman" w:hAnsi="Times New Roman" w:eastAsia="仿宋_GB2312" w:cs="Times New Roman"/>
          <w:b/>
          <w:bCs/>
          <w:color w:val="auto"/>
          <w:kern w:val="2"/>
          <w:sz w:val="32"/>
          <w:szCs w:val="32"/>
          <w:highlight w:val="none"/>
          <w:lang w:val="en-US" w:eastAsia="zh-CN" w:bidi="zh-TW"/>
        </w:rPr>
        <w:t>调节系数为1</w:t>
      </w:r>
      <w:r>
        <w:rPr>
          <w:rFonts w:hint="default" w:ascii="Times New Roman" w:hAnsi="Times New Roman" w:eastAsia="仿宋_GB2312" w:cs="Times New Roman"/>
          <w:b/>
          <w:bCs/>
          <w:color w:val="auto"/>
          <w:kern w:val="2"/>
          <w:sz w:val="32"/>
          <w:szCs w:val="32"/>
          <w:highlight w:val="none"/>
          <w:lang w:val="en-US" w:eastAsia="zh-CN" w:bidi="zh-TW"/>
        </w:rPr>
        <w:t>；二级定点医疗机构</w:t>
      </w:r>
      <w:r>
        <w:rPr>
          <w:rFonts w:hint="eastAsia" w:ascii="Times New Roman" w:hAnsi="Times New Roman" w:eastAsia="仿宋_GB2312" w:cs="Times New Roman"/>
          <w:b/>
          <w:bCs/>
          <w:color w:val="auto"/>
          <w:kern w:val="2"/>
          <w:sz w:val="32"/>
          <w:szCs w:val="32"/>
          <w:highlight w:val="none"/>
          <w:lang w:val="en-US" w:eastAsia="zh-CN" w:bidi="zh-TW"/>
        </w:rPr>
        <w:t>调节系数为0.75</w:t>
      </w:r>
      <w:r>
        <w:rPr>
          <w:rFonts w:hint="default" w:ascii="Times New Roman" w:hAnsi="Times New Roman" w:eastAsia="仿宋_GB2312" w:cs="Times New Roman"/>
          <w:b/>
          <w:bCs/>
          <w:color w:val="auto"/>
          <w:kern w:val="2"/>
          <w:sz w:val="32"/>
          <w:szCs w:val="32"/>
          <w:highlight w:val="none"/>
          <w:lang w:val="en-US" w:eastAsia="zh-CN" w:bidi="zh-TW"/>
        </w:rPr>
        <w:t>；一级</w:t>
      </w:r>
      <w:r>
        <w:rPr>
          <w:rFonts w:hint="eastAsia" w:ascii="Times New Roman" w:hAnsi="Times New Roman" w:eastAsia="仿宋_GB2312" w:cs="Times New Roman"/>
          <w:b/>
          <w:bCs/>
          <w:color w:val="auto"/>
          <w:kern w:val="2"/>
          <w:sz w:val="32"/>
          <w:szCs w:val="32"/>
          <w:highlight w:val="none"/>
          <w:lang w:val="en-US" w:eastAsia="zh-CN" w:bidi="zh-TW"/>
        </w:rPr>
        <w:t>及</w:t>
      </w:r>
      <w:r>
        <w:rPr>
          <w:rFonts w:hint="default" w:ascii="Times New Roman" w:hAnsi="Times New Roman" w:eastAsia="仿宋_GB2312" w:cs="Times New Roman"/>
          <w:b/>
          <w:bCs/>
          <w:color w:val="auto"/>
          <w:kern w:val="2"/>
          <w:sz w:val="32"/>
          <w:szCs w:val="32"/>
          <w:highlight w:val="none"/>
          <w:lang w:val="en-US" w:eastAsia="zh-CN" w:bidi="zh-TW"/>
        </w:rPr>
        <w:t>未定级定点医疗机构</w:t>
      </w:r>
      <w:r>
        <w:rPr>
          <w:rFonts w:hint="eastAsia" w:ascii="Times New Roman" w:hAnsi="Times New Roman" w:eastAsia="仿宋_GB2312" w:cs="Times New Roman"/>
          <w:b/>
          <w:bCs/>
          <w:color w:val="auto"/>
          <w:kern w:val="2"/>
          <w:sz w:val="32"/>
          <w:szCs w:val="32"/>
          <w:highlight w:val="none"/>
          <w:lang w:val="en-US" w:eastAsia="zh-CN" w:bidi="zh-TW"/>
        </w:rPr>
        <w:t>调节系数为0.5。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当CMI</w:t>
      </w:r>
      <w:r>
        <w:rPr>
          <w:rFonts w:hint="eastAsia" w:ascii="Times New Roman" w:hAnsi="Times New Roman" w:eastAsia="仿宋_GB2312" w:cs="Times New Roman"/>
          <w:b/>
          <w:bCs/>
          <w:color w:val="auto"/>
          <w:kern w:val="2"/>
          <w:sz w:val="32"/>
          <w:szCs w:val="32"/>
          <w:highlight w:val="none"/>
          <w:lang w:val="en-US" w:eastAsia="zh-CN" w:bidi="zh-TW"/>
        </w:rPr>
        <w:t xml:space="preserve"> </w:t>
      </w:r>
      <w:r>
        <w:rPr>
          <w:rFonts w:hint="eastAsia" w:ascii="黑体" w:hAnsi="黑体" w:eastAsia="黑体" w:cs="黑体"/>
          <w:b/>
          <w:bCs/>
          <w:color w:val="auto"/>
          <w:kern w:val="2"/>
          <w:sz w:val="32"/>
          <w:szCs w:val="32"/>
          <w:highlight w:val="none"/>
          <w:lang w:val="en-US" w:eastAsia="zh-CN" w:bidi="zh-TW"/>
        </w:rPr>
        <w:t xml:space="preserve">≤ </w:t>
      </w:r>
      <m:oMath>
        <m:acc>
          <m:accPr>
            <m:chr m:val="̅"/>
            <m:ctrlPr>
              <w:rPr>
                <w:rFonts w:hint="default" w:ascii="Cambria Math" w:hAnsi="Cambria Math" w:eastAsia="仿宋_GB2312" w:cs="Times New Roman"/>
                <w:b/>
                <w:bCs/>
                <w:i w:val="0"/>
                <w:color w:val="auto"/>
                <w:kern w:val="2"/>
                <w:sz w:val="32"/>
                <w:szCs w:val="32"/>
                <w:highlight w:val="none"/>
                <w:lang w:val="en-US" w:eastAsia="zh-CN" w:bidi="zh-TW"/>
              </w:rPr>
            </m:ctrlPr>
          </m:accPr>
          <m:e>
            <m:r>
              <m:rPr>
                <m:sty m:val="b"/>
              </m:rPr>
              <w:rPr>
                <w:rFonts w:hint="default" w:ascii="Cambria Math" w:hAnsi="Cambria Math" w:eastAsia="仿宋_GB2312" w:cs="Times New Roman"/>
                <w:color w:val="auto"/>
                <w:kern w:val="2"/>
                <w:sz w:val="32"/>
                <w:szCs w:val="32"/>
                <w:highlight w:val="none"/>
                <w:lang w:val="en-US" w:eastAsia="zh-CN" w:bidi="zh-TW"/>
              </w:rPr>
              <m:t>CMI</m:t>
            </m:r>
            <m:ctrlPr>
              <w:rPr>
                <w:rFonts w:hint="default" w:ascii="Cambria Math" w:hAnsi="Cambria Math" w:eastAsia="仿宋_GB2312" w:cs="Times New Roman"/>
                <w:b/>
                <w:bCs/>
                <w:i w:val="0"/>
                <w:color w:val="auto"/>
                <w:kern w:val="2"/>
                <w:sz w:val="32"/>
                <w:szCs w:val="32"/>
                <w:highlight w:val="none"/>
                <w:lang w:val="en-US" w:eastAsia="zh-CN" w:bidi="zh-TW"/>
              </w:rPr>
            </m:ctrlPr>
          </m:e>
        </m:acc>
      </m:oMath>
      <w:r>
        <w:rPr>
          <w:rFonts w:hint="default" w:ascii="Times New Roman" w:hAnsi="Times New Roman" w:eastAsia="仿宋_GB2312" w:cs="Times New Roman"/>
          <w:b/>
          <w:bCs/>
          <w:color w:val="auto"/>
          <w:kern w:val="2"/>
          <w:sz w:val="32"/>
          <w:szCs w:val="32"/>
          <w:highlight w:val="none"/>
          <w:lang w:val="en-US" w:eastAsia="zh-CN" w:bidi="zh-TW"/>
        </w:rPr>
        <w:t>，病例组合系数=0。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（3）三级定点医疗机构病例组合系数最高加成7个百分点；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二级定点医疗机构病例组合系数最高加成4个百分点；一级</w:t>
      </w:r>
      <w:r>
        <w:rPr>
          <w:rFonts w:hint="eastAsia" w:ascii="Times New Roman" w:hAnsi="Times New Roman" w:eastAsia="仿宋_GB2312" w:cs="Times New Roman"/>
          <w:b/>
          <w:bCs/>
          <w:color w:val="auto"/>
          <w:kern w:val="2"/>
          <w:sz w:val="32"/>
          <w:szCs w:val="32"/>
          <w:highlight w:val="none"/>
          <w:lang w:val="en-US" w:eastAsia="zh-CN" w:bidi="zh-TW"/>
        </w:rPr>
        <w:t>及</w:t>
      </w:r>
      <w:r>
        <w:rPr>
          <w:rFonts w:hint="default" w:ascii="Times New Roman" w:hAnsi="Times New Roman" w:eastAsia="仿宋_GB2312" w:cs="Times New Roman"/>
          <w:b/>
          <w:bCs/>
          <w:color w:val="auto"/>
          <w:kern w:val="2"/>
          <w:sz w:val="32"/>
          <w:szCs w:val="32"/>
          <w:highlight w:val="none"/>
          <w:lang w:val="en-US" w:eastAsia="zh-CN" w:bidi="zh-TW"/>
        </w:rPr>
        <w:t>未定级定点医疗机构病例组合系数最高加成2个百分点。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2</w:t>
      </w:r>
      <w:r>
        <w:rPr>
          <w:rFonts w:hint="default" w:ascii="Times New Roman" w:hAnsi="Times New Roman" w:eastAsia="仿宋_GB2312" w:cs="Times New Roman"/>
          <w:b/>
          <w:bCs/>
          <w:color w:val="auto"/>
          <w:kern w:val="2"/>
          <w:sz w:val="32"/>
          <w:szCs w:val="32"/>
          <w:highlight w:val="none"/>
          <w:lang w:val="en-US" w:eastAsia="zh-CN" w:bidi="zh-TW"/>
        </w:rPr>
        <w:t>.老年患者比例系数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根据定点医疗机构60岁及以上老年人住院人次占比（I</w:t>
      </w:r>
      <w:r>
        <w:rPr>
          <w:rFonts w:hint="default" w:ascii="Times New Roman" w:hAnsi="Times New Roman" w:eastAsia="仿宋_GB2312" w:cs="Times New Roman"/>
          <w:b/>
          <w:bCs/>
          <w:color w:val="auto"/>
          <w:kern w:val="2"/>
          <w:sz w:val="32"/>
          <w:szCs w:val="32"/>
          <w:highlight w:val="none"/>
          <w:vertAlign w:val="subscript"/>
          <w:lang w:val="en-US" w:eastAsia="zh-CN" w:bidi="zh-TW"/>
        </w:rPr>
        <w:t>ln</w:t>
      </w:r>
      <w:r>
        <w:rPr>
          <w:rFonts w:hint="default" w:ascii="Times New Roman" w:hAnsi="Times New Roman" w:eastAsia="仿宋_GB2312" w:cs="Times New Roman"/>
          <w:b/>
          <w:bCs/>
          <w:color w:val="auto"/>
          <w:kern w:val="2"/>
          <w:sz w:val="32"/>
          <w:szCs w:val="32"/>
          <w:highlight w:val="none"/>
          <w:lang w:val="en-US" w:eastAsia="zh-CN" w:bidi="zh-TW"/>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及全市平均数</w:t>
      </w:r>
      <w:r>
        <w:rPr>
          <w:rFonts w:hint="eastAsia" w:ascii="Times New Roman" w:hAnsi="Times New Roman" w:eastAsia="仿宋_GB2312" w:cs="Times New Roman"/>
          <w:b/>
          <w:bCs/>
          <w:color w:val="auto"/>
          <w:kern w:val="2"/>
          <w:sz w:val="32"/>
          <w:szCs w:val="32"/>
          <w:highlight w:val="none"/>
          <w:lang w:val="en-US" w:eastAsia="zh-CN" w:bidi="zh-TW"/>
        </w:rPr>
        <w:t>（</w:t>
      </w:r>
      <m:oMath>
        <m:acc>
          <m:accPr>
            <m:chr m:val="̅"/>
            <m:ctrlPr>
              <w:rPr>
                <w:rFonts w:ascii="Cambria Math" w:hAnsi="Cambria Math" w:cs="Times New Roman"/>
                <w:bCs/>
                <w:i w:val="0"/>
                <w:iCs/>
                <w:color w:val="auto"/>
                <w:kern w:val="2"/>
                <w:sz w:val="32"/>
                <w:szCs w:val="32"/>
                <w:highlight w:val="none"/>
                <w:lang w:val="en-US" w:bidi="zh-TW"/>
              </w:rPr>
            </m:ctrlPr>
          </m:accPr>
          <m:e>
            <m:sSub>
              <m:sSubPr>
                <m:ctrlPr>
                  <w:rPr>
                    <w:rFonts w:ascii="Cambria Math" w:hAnsi="Cambria Math" w:cs="Times New Roman"/>
                    <w:bCs/>
                    <w:i w:val="0"/>
                    <w:iCs/>
                    <w:color w:val="auto"/>
                    <w:kern w:val="2"/>
                    <w:sz w:val="32"/>
                    <w:szCs w:val="32"/>
                    <w:highlight w:val="none"/>
                    <w:lang w:val="en-US" w:bidi="zh-TW"/>
                  </w:rPr>
                </m:ctrlPr>
              </m:sSubPr>
              <m:e>
                <m:r>
                  <m:rPr>
                    <m:sty m:val="p"/>
                  </m:rPr>
                  <w:rPr>
                    <w:rFonts w:hint="default" w:ascii="Cambria Math" w:hAnsi="Cambria Math" w:cs="Times New Roman"/>
                    <w:color w:val="auto"/>
                    <w:kern w:val="2"/>
                    <w:sz w:val="32"/>
                    <w:szCs w:val="32"/>
                    <w:highlight w:val="none"/>
                    <w:lang w:val="en-US" w:eastAsia="zh-CN" w:bidi="zh-TW"/>
                  </w:rPr>
                  <m:t>I</m:t>
                </m:r>
                <m:ctrlPr>
                  <w:rPr>
                    <w:rFonts w:ascii="Cambria Math" w:hAnsi="Cambria Math" w:cs="Times New Roman"/>
                    <w:bCs/>
                    <w:i w:val="0"/>
                    <w:iCs/>
                    <w:color w:val="auto"/>
                    <w:kern w:val="2"/>
                    <w:sz w:val="32"/>
                    <w:szCs w:val="32"/>
                    <w:highlight w:val="none"/>
                    <w:lang w:val="en-US" w:bidi="zh-TW"/>
                  </w:rPr>
                </m:ctrlPr>
              </m:e>
              <m:sub>
                <m:r>
                  <m:rPr>
                    <m:sty m:val="p"/>
                  </m:rPr>
                  <w:rPr>
                    <w:rFonts w:hint="default" w:ascii="Cambria Math" w:hAnsi="Cambria Math" w:cs="Times New Roman"/>
                    <w:color w:val="auto"/>
                    <w:kern w:val="2"/>
                    <w:sz w:val="32"/>
                    <w:szCs w:val="32"/>
                    <w:highlight w:val="none"/>
                    <w:lang w:val="en-US" w:eastAsia="zh-CN" w:bidi="zh-TW"/>
                  </w:rPr>
                  <m:t>ln</m:t>
                </m:r>
                <m:ctrlPr>
                  <w:rPr>
                    <w:rFonts w:ascii="Cambria Math" w:hAnsi="Cambria Math" w:cs="Times New Roman"/>
                    <w:bCs/>
                    <w:i w:val="0"/>
                    <w:iCs/>
                    <w:color w:val="auto"/>
                    <w:kern w:val="2"/>
                    <w:sz w:val="32"/>
                    <w:szCs w:val="32"/>
                    <w:highlight w:val="none"/>
                    <w:lang w:val="en-US" w:bidi="zh-TW"/>
                  </w:rPr>
                </m:ctrlPr>
              </m:sub>
            </m:sSub>
            <m:ctrlPr>
              <w:rPr>
                <w:rFonts w:ascii="Cambria Math" w:hAnsi="Cambria Math" w:cs="Times New Roman"/>
                <w:bCs/>
                <w:i w:val="0"/>
                <w:iCs/>
                <w:color w:val="auto"/>
                <w:kern w:val="2"/>
                <w:sz w:val="32"/>
                <w:szCs w:val="32"/>
                <w:highlight w:val="none"/>
                <w:lang w:val="en-US" w:bidi="zh-TW"/>
              </w:rPr>
            </m:ctrlPr>
          </m:e>
        </m:acc>
      </m:oMath>
      <w:r>
        <w:rPr>
          <w:rFonts w:hint="eastAsia" w:hAnsi="Cambria Math" w:cs="Times New Roman"/>
          <w:bCs/>
          <w:i w:val="0"/>
          <w:iCs/>
          <w:color w:val="auto"/>
          <w:kern w:val="2"/>
          <w:sz w:val="32"/>
          <w:szCs w:val="32"/>
          <w:highlight w:val="none"/>
          <w:lang w:val="en-US" w:eastAsia="zh-CN" w:bidi="zh-TW"/>
        </w:rPr>
        <w:t>）</w:t>
      </w:r>
      <w:r>
        <w:rPr>
          <w:rFonts w:hint="default" w:ascii="Times New Roman" w:hAnsi="Times New Roman" w:eastAsia="仿宋_GB2312" w:cs="Times New Roman"/>
          <w:b/>
          <w:bCs/>
          <w:color w:val="auto"/>
          <w:kern w:val="2"/>
          <w:sz w:val="32"/>
          <w:szCs w:val="32"/>
          <w:highlight w:val="none"/>
          <w:lang w:val="en-US" w:eastAsia="zh-CN" w:bidi="zh-TW"/>
        </w:rPr>
        <w:t>确定老年患者比例系数，最高加成5个百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分点。计算公式如下：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当I</w:t>
      </w:r>
      <w:r>
        <w:rPr>
          <w:rFonts w:hint="default" w:ascii="Times New Roman" w:hAnsi="Times New Roman" w:eastAsia="仿宋_GB2312" w:cs="Times New Roman"/>
          <w:b/>
          <w:bCs/>
          <w:color w:val="auto"/>
          <w:kern w:val="2"/>
          <w:sz w:val="32"/>
          <w:szCs w:val="32"/>
          <w:highlight w:val="none"/>
          <w:vertAlign w:val="subscript"/>
          <w:lang w:val="en-US" w:eastAsia="zh-CN" w:bidi="zh-TW"/>
        </w:rPr>
        <w:t>ln</w:t>
      </w:r>
      <w:r>
        <w:rPr>
          <w:rFonts w:hint="eastAsia" w:ascii="Times New Roman" w:hAnsi="Times New Roman" w:eastAsia="仿宋_GB2312" w:cs="Times New Roman"/>
          <w:b/>
          <w:bCs/>
          <w:color w:val="auto"/>
          <w:kern w:val="2"/>
          <w:sz w:val="32"/>
          <w:szCs w:val="32"/>
          <w:highlight w:val="none"/>
          <w:vertAlign w:val="subscript"/>
          <w:lang w:val="en-US" w:eastAsia="zh-CN" w:bidi="zh-TW"/>
        </w:rPr>
        <w:t xml:space="preserve">  </w:t>
      </w:r>
      <w:r>
        <w:rPr>
          <w:rFonts w:hint="default" w:ascii="Times New Roman" w:hAnsi="Times New Roman" w:eastAsia="仿宋_GB2312" w:cs="Times New Roman"/>
          <w:b/>
          <w:bCs/>
          <w:color w:val="auto"/>
          <w:kern w:val="2"/>
          <w:sz w:val="32"/>
          <w:szCs w:val="32"/>
          <w:highlight w:val="none"/>
          <w:lang w:val="en-US" w:eastAsia="zh-CN" w:bidi="zh-TW"/>
        </w:rPr>
        <w:t>&gt;</w:t>
      </w:r>
      <w:r>
        <w:rPr>
          <w:rFonts w:hint="eastAsia" w:ascii="Times New Roman" w:hAnsi="Times New Roman" w:eastAsia="仿宋_GB2312" w:cs="Times New Roman"/>
          <w:b/>
          <w:bCs/>
          <w:color w:val="auto"/>
          <w:kern w:val="2"/>
          <w:sz w:val="32"/>
          <w:szCs w:val="32"/>
          <w:highlight w:val="none"/>
          <w:lang w:val="en-US" w:eastAsia="zh-CN" w:bidi="zh-TW"/>
        </w:rPr>
        <w:t xml:space="preserve"> </w:t>
      </w:r>
      <m:oMath>
        <m:acc>
          <m:accPr>
            <m:chr m:val="̅"/>
            <m:ctrlPr>
              <w:rPr>
                <w:rFonts w:ascii="Cambria Math" w:hAnsi="Cambria Math" w:cs="Times New Roman"/>
                <w:bCs/>
                <w:i w:val="0"/>
                <w:iCs/>
                <w:color w:val="auto"/>
                <w:kern w:val="2"/>
                <w:sz w:val="32"/>
                <w:szCs w:val="32"/>
                <w:highlight w:val="none"/>
                <w:lang w:val="en-US" w:bidi="zh-TW"/>
              </w:rPr>
            </m:ctrlPr>
          </m:accPr>
          <m:e>
            <m:sSub>
              <m:sSubPr>
                <m:ctrlPr>
                  <w:rPr>
                    <w:rFonts w:ascii="Cambria Math" w:hAnsi="Cambria Math" w:cs="Times New Roman"/>
                    <w:bCs/>
                    <w:i w:val="0"/>
                    <w:iCs/>
                    <w:color w:val="auto"/>
                    <w:kern w:val="2"/>
                    <w:sz w:val="32"/>
                    <w:szCs w:val="32"/>
                    <w:highlight w:val="none"/>
                    <w:lang w:val="en-US" w:bidi="zh-TW"/>
                  </w:rPr>
                </m:ctrlPr>
              </m:sSubPr>
              <m:e>
                <m:r>
                  <m:rPr>
                    <m:sty m:val="p"/>
                  </m:rPr>
                  <w:rPr>
                    <w:rFonts w:hint="default" w:ascii="Cambria Math" w:hAnsi="Cambria Math" w:cs="Times New Roman"/>
                    <w:color w:val="auto"/>
                    <w:kern w:val="2"/>
                    <w:sz w:val="32"/>
                    <w:szCs w:val="32"/>
                    <w:highlight w:val="none"/>
                    <w:lang w:val="en-US" w:eastAsia="zh-CN" w:bidi="zh-TW"/>
                  </w:rPr>
                  <m:t xml:space="preserve"> I</m:t>
                </m:r>
                <m:ctrlPr>
                  <w:rPr>
                    <w:rFonts w:ascii="Cambria Math" w:hAnsi="Cambria Math" w:cs="Times New Roman"/>
                    <w:bCs/>
                    <w:i w:val="0"/>
                    <w:iCs/>
                    <w:color w:val="auto"/>
                    <w:kern w:val="2"/>
                    <w:sz w:val="32"/>
                    <w:szCs w:val="32"/>
                    <w:highlight w:val="none"/>
                    <w:lang w:val="en-US" w:bidi="zh-TW"/>
                  </w:rPr>
                </m:ctrlPr>
              </m:e>
              <m:sub>
                <m:r>
                  <m:rPr>
                    <m:sty m:val="p"/>
                  </m:rPr>
                  <w:rPr>
                    <w:rFonts w:hint="default" w:ascii="Cambria Math" w:hAnsi="Cambria Math" w:cs="Times New Roman"/>
                    <w:color w:val="auto"/>
                    <w:kern w:val="2"/>
                    <w:sz w:val="32"/>
                    <w:szCs w:val="32"/>
                    <w:highlight w:val="none"/>
                    <w:lang w:val="en-US" w:eastAsia="zh-CN" w:bidi="zh-TW"/>
                  </w:rPr>
                  <m:t>ln</m:t>
                </m:r>
                <m:ctrlPr>
                  <w:rPr>
                    <w:rFonts w:ascii="Cambria Math" w:hAnsi="Cambria Math" w:cs="Times New Roman"/>
                    <w:bCs/>
                    <w:i w:val="0"/>
                    <w:iCs/>
                    <w:color w:val="auto"/>
                    <w:kern w:val="2"/>
                    <w:sz w:val="32"/>
                    <w:szCs w:val="32"/>
                    <w:highlight w:val="none"/>
                    <w:lang w:val="en-US" w:bidi="zh-TW"/>
                  </w:rPr>
                </m:ctrlPr>
              </m:sub>
            </m:sSub>
            <m:ctrlPr>
              <w:rPr>
                <w:rFonts w:ascii="Cambria Math" w:hAnsi="Cambria Math" w:cs="Times New Roman"/>
                <w:bCs/>
                <w:i w:val="0"/>
                <w:iCs/>
                <w:color w:val="auto"/>
                <w:kern w:val="2"/>
                <w:sz w:val="32"/>
                <w:szCs w:val="32"/>
                <w:highlight w:val="none"/>
                <w:lang w:val="en-US" w:bidi="zh-TW"/>
              </w:rPr>
            </m:ctrlPr>
          </m:e>
        </m:acc>
      </m:oMath>
      <w:r>
        <w:rPr>
          <w:rFonts w:hint="default" w:ascii="Times New Roman" w:hAnsi="Times New Roman" w:eastAsia="仿宋_GB2312" w:cs="Times New Roman"/>
          <w:b/>
          <w:bCs/>
          <w:color w:val="auto"/>
          <w:kern w:val="2"/>
          <w:sz w:val="32"/>
          <w:szCs w:val="32"/>
          <w:highlight w:val="none"/>
          <w:lang w:val="en-US" w:eastAsia="zh-CN" w:bidi="zh-TW"/>
        </w:rPr>
        <w:t>，老年患者比例系数=（I</w:t>
      </w:r>
      <w:r>
        <w:rPr>
          <w:rFonts w:hint="default" w:ascii="Times New Roman" w:hAnsi="Times New Roman" w:eastAsia="仿宋_GB2312" w:cs="Times New Roman"/>
          <w:b/>
          <w:bCs/>
          <w:color w:val="auto"/>
          <w:kern w:val="2"/>
          <w:sz w:val="32"/>
          <w:szCs w:val="32"/>
          <w:highlight w:val="none"/>
          <w:vertAlign w:val="subscript"/>
          <w:lang w:val="en-US" w:eastAsia="zh-CN" w:bidi="zh-TW"/>
        </w:rPr>
        <w:t>ln</w:t>
      </w:r>
      <w:r>
        <w:rPr>
          <w:rFonts w:hint="eastAsia" w:ascii="Times New Roman" w:hAnsi="Times New Roman" w:eastAsia="仿宋_GB2312" w:cs="Times New Roman"/>
          <w:b/>
          <w:bCs/>
          <w:color w:val="auto"/>
          <w:kern w:val="2"/>
          <w:sz w:val="32"/>
          <w:szCs w:val="32"/>
          <w:highlight w:val="none"/>
          <w:lang w:val="en-US" w:eastAsia="zh-CN" w:bidi="zh-TW"/>
        </w:rPr>
        <w:t xml:space="preserve"> </w:t>
      </w:r>
      <w:r>
        <w:rPr>
          <w:rFonts w:hint="default" w:ascii="Times New Roman" w:hAnsi="Times New Roman" w:eastAsia="仿宋_GB2312" w:cs="Times New Roman"/>
          <w:b/>
          <w:bCs/>
          <w:color w:val="auto"/>
          <w:kern w:val="2"/>
          <w:sz w:val="32"/>
          <w:szCs w:val="32"/>
          <w:highlight w:val="none"/>
          <w:lang w:val="en-US" w:eastAsia="zh-CN" w:bidi="zh-TW"/>
        </w:rPr>
        <w:t>-</w:t>
      </w:r>
      <w:r>
        <w:rPr>
          <w:rFonts w:hint="eastAsia" w:ascii="Times New Roman" w:hAnsi="Times New Roman" w:eastAsia="仿宋_GB2312" w:cs="Times New Roman"/>
          <w:b/>
          <w:bCs/>
          <w:color w:val="auto"/>
          <w:kern w:val="2"/>
          <w:sz w:val="32"/>
          <w:szCs w:val="32"/>
          <w:highlight w:val="none"/>
          <w:vertAlign w:val="subscript"/>
          <w:lang w:val="en-US" w:eastAsia="zh-CN" w:bidi="zh-TW"/>
        </w:rPr>
        <w:t xml:space="preserve"> </w:t>
      </w:r>
      <m:oMath>
        <m:acc>
          <m:accPr>
            <m:chr m:val="̅"/>
            <m:ctrlPr>
              <w:rPr>
                <w:rFonts w:ascii="Cambria Math" w:hAnsi="Cambria Math" w:cs="Times New Roman"/>
                <w:bCs/>
                <w:i w:val="0"/>
                <w:iCs/>
                <w:color w:val="auto"/>
                <w:kern w:val="2"/>
                <w:sz w:val="32"/>
                <w:szCs w:val="32"/>
                <w:highlight w:val="none"/>
                <w:lang w:val="en-US" w:bidi="zh-TW"/>
              </w:rPr>
            </m:ctrlPr>
          </m:accPr>
          <m:e>
            <m:sSub>
              <m:sSubPr>
                <m:ctrlPr>
                  <w:rPr>
                    <w:rFonts w:ascii="Cambria Math" w:hAnsi="Cambria Math" w:cs="Times New Roman"/>
                    <w:bCs/>
                    <w:i w:val="0"/>
                    <w:iCs/>
                    <w:color w:val="auto"/>
                    <w:kern w:val="2"/>
                    <w:sz w:val="32"/>
                    <w:szCs w:val="32"/>
                    <w:highlight w:val="none"/>
                    <w:lang w:val="en-US" w:bidi="zh-TW"/>
                  </w:rPr>
                </m:ctrlPr>
              </m:sSubPr>
              <m:e>
                <m:r>
                  <m:rPr>
                    <m:sty m:val="p"/>
                  </m:rPr>
                  <w:rPr>
                    <w:rFonts w:hint="default" w:ascii="Cambria Math" w:hAnsi="Cambria Math" w:cs="Times New Roman"/>
                    <w:color w:val="auto"/>
                    <w:kern w:val="2"/>
                    <w:sz w:val="32"/>
                    <w:szCs w:val="32"/>
                    <w:highlight w:val="none"/>
                    <w:lang w:val="en-US" w:eastAsia="zh-CN" w:bidi="zh-TW"/>
                  </w:rPr>
                  <m:t xml:space="preserve"> I</m:t>
                </m:r>
                <m:ctrlPr>
                  <w:rPr>
                    <w:rFonts w:ascii="Cambria Math" w:hAnsi="Cambria Math" w:cs="Times New Roman"/>
                    <w:bCs/>
                    <w:i w:val="0"/>
                    <w:iCs/>
                    <w:color w:val="auto"/>
                    <w:kern w:val="2"/>
                    <w:sz w:val="32"/>
                    <w:szCs w:val="32"/>
                    <w:highlight w:val="none"/>
                    <w:lang w:val="en-US" w:bidi="zh-TW"/>
                  </w:rPr>
                </m:ctrlPr>
              </m:e>
              <m:sub>
                <m:r>
                  <m:rPr>
                    <m:sty m:val="p"/>
                  </m:rPr>
                  <w:rPr>
                    <w:rFonts w:hint="default" w:ascii="Cambria Math" w:hAnsi="Cambria Math" w:cs="Times New Roman"/>
                    <w:color w:val="auto"/>
                    <w:kern w:val="2"/>
                    <w:sz w:val="32"/>
                    <w:szCs w:val="32"/>
                    <w:highlight w:val="none"/>
                    <w:lang w:val="en-US" w:eastAsia="zh-CN" w:bidi="zh-TW"/>
                  </w:rPr>
                  <m:t>ln</m:t>
                </m:r>
                <m:ctrlPr>
                  <w:rPr>
                    <w:rFonts w:ascii="Cambria Math" w:hAnsi="Cambria Math" w:cs="Times New Roman"/>
                    <w:bCs/>
                    <w:i w:val="0"/>
                    <w:iCs/>
                    <w:color w:val="auto"/>
                    <w:kern w:val="2"/>
                    <w:sz w:val="32"/>
                    <w:szCs w:val="32"/>
                    <w:highlight w:val="none"/>
                    <w:lang w:val="en-US" w:bidi="zh-TW"/>
                  </w:rPr>
                </m:ctrlPr>
              </m:sub>
            </m:sSub>
            <m:ctrlPr>
              <w:rPr>
                <w:rFonts w:ascii="Cambria Math" w:hAnsi="Cambria Math" w:cs="Times New Roman"/>
                <w:bCs/>
                <w:i w:val="0"/>
                <w:iCs/>
                <w:color w:val="auto"/>
                <w:kern w:val="2"/>
                <w:sz w:val="32"/>
                <w:szCs w:val="32"/>
                <w:highlight w:val="none"/>
                <w:lang w:val="en-US" w:bidi="zh-TW"/>
              </w:rPr>
            </m:ctrlPr>
          </m:e>
        </m:acc>
      </m:oMath>
      <w:r>
        <w:rPr>
          <w:rFonts w:hint="default" w:ascii="Times New Roman" w:hAnsi="Times New Roman" w:eastAsia="仿宋_GB2312" w:cs="Times New Roman"/>
          <w:b/>
          <w:bCs/>
          <w:color w:val="auto"/>
          <w:kern w:val="2"/>
          <w:sz w:val="32"/>
          <w:szCs w:val="32"/>
          <w:highlight w:val="none"/>
          <w:lang w:val="en-US" w:eastAsia="zh-CN" w:bidi="zh-TW"/>
        </w:rPr>
        <w:t>）×10%；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当I</w:t>
      </w:r>
      <w:r>
        <w:rPr>
          <w:rFonts w:hint="default" w:ascii="Times New Roman" w:hAnsi="Times New Roman" w:eastAsia="仿宋_GB2312" w:cs="Times New Roman"/>
          <w:b/>
          <w:bCs/>
          <w:color w:val="auto"/>
          <w:kern w:val="2"/>
          <w:sz w:val="32"/>
          <w:szCs w:val="32"/>
          <w:highlight w:val="none"/>
          <w:vertAlign w:val="subscript"/>
          <w:lang w:val="en-US" w:eastAsia="zh-CN" w:bidi="zh-TW"/>
        </w:rPr>
        <w:t>ln</w:t>
      </w:r>
      <w:r>
        <w:rPr>
          <w:rFonts w:hint="eastAsia" w:ascii="Times New Roman" w:hAnsi="Times New Roman" w:eastAsia="仿宋_GB2312" w:cs="Times New Roman"/>
          <w:b/>
          <w:bCs/>
          <w:color w:val="auto"/>
          <w:kern w:val="2"/>
          <w:sz w:val="32"/>
          <w:szCs w:val="32"/>
          <w:highlight w:val="none"/>
          <w:vertAlign w:val="subscript"/>
          <w:lang w:val="en-US" w:eastAsia="zh-CN" w:bidi="zh-TW"/>
        </w:rPr>
        <w:t xml:space="preserve"> </w:t>
      </w:r>
      <w:r>
        <w:rPr>
          <w:rFonts w:hint="eastAsia" w:ascii="黑体" w:hAnsi="黑体" w:eastAsia="黑体" w:cs="黑体"/>
          <w:b/>
          <w:bCs/>
          <w:color w:val="auto"/>
          <w:kern w:val="2"/>
          <w:sz w:val="32"/>
          <w:szCs w:val="32"/>
          <w:highlight w:val="none"/>
          <w:lang w:val="en-US" w:eastAsia="zh-CN" w:bidi="zh-TW"/>
        </w:rPr>
        <w:t xml:space="preserve">≤ </w:t>
      </w:r>
      <m:oMath>
        <m:acc>
          <m:accPr>
            <m:chr m:val="̅"/>
            <m:ctrlPr>
              <w:rPr>
                <w:rFonts w:ascii="Cambria Math" w:hAnsi="Cambria Math" w:cs="Times New Roman"/>
                <w:bCs/>
                <w:i w:val="0"/>
                <w:iCs/>
                <w:color w:val="auto"/>
                <w:kern w:val="2"/>
                <w:sz w:val="32"/>
                <w:szCs w:val="32"/>
                <w:highlight w:val="none"/>
                <w:lang w:val="en-US" w:bidi="zh-TW"/>
              </w:rPr>
            </m:ctrlPr>
          </m:accPr>
          <m:e>
            <m:sSub>
              <m:sSubPr>
                <m:ctrlPr>
                  <w:rPr>
                    <w:rFonts w:ascii="Cambria Math" w:hAnsi="Cambria Math" w:cs="Times New Roman"/>
                    <w:bCs/>
                    <w:i w:val="0"/>
                    <w:iCs/>
                    <w:color w:val="auto"/>
                    <w:kern w:val="2"/>
                    <w:sz w:val="32"/>
                    <w:szCs w:val="32"/>
                    <w:highlight w:val="none"/>
                    <w:lang w:val="en-US" w:bidi="zh-TW"/>
                  </w:rPr>
                </m:ctrlPr>
              </m:sSubPr>
              <m:e>
                <m:r>
                  <m:rPr>
                    <m:sty m:val="p"/>
                  </m:rPr>
                  <w:rPr>
                    <w:rFonts w:hint="default" w:ascii="Cambria Math" w:hAnsi="Cambria Math" w:cs="Times New Roman"/>
                    <w:color w:val="auto"/>
                    <w:kern w:val="2"/>
                    <w:sz w:val="32"/>
                    <w:szCs w:val="32"/>
                    <w:highlight w:val="none"/>
                    <w:lang w:val="en-US" w:eastAsia="zh-CN" w:bidi="zh-TW"/>
                  </w:rPr>
                  <m:t>I</m:t>
                </m:r>
                <m:ctrlPr>
                  <w:rPr>
                    <w:rFonts w:ascii="Cambria Math" w:hAnsi="Cambria Math" w:cs="Times New Roman"/>
                    <w:bCs/>
                    <w:i w:val="0"/>
                    <w:iCs/>
                    <w:color w:val="auto"/>
                    <w:kern w:val="2"/>
                    <w:sz w:val="32"/>
                    <w:szCs w:val="32"/>
                    <w:highlight w:val="none"/>
                    <w:lang w:val="en-US" w:bidi="zh-TW"/>
                  </w:rPr>
                </m:ctrlPr>
              </m:e>
              <m:sub>
                <m:r>
                  <m:rPr>
                    <m:sty m:val="p"/>
                  </m:rPr>
                  <w:rPr>
                    <w:rFonts w:hint="default" w:ascii="Cambria Math" w:hAnsi="Cambria Math" w:cs="Times New Roman"/>
                    <w:color w:val="auto"/>
                    <w:kern w:val="2"/>
                    <w:sz w:val="32"/>
                    <w:szCs w:val="32"/>
                    <w:highlight w:val="none"/>
                    <w:lang w:val="en-US" w:eastAsia="zh-CN" w:bidi="zh-TW"/>
                  </w:rPr>
                  <m:t>ln</m:t>
                </m:r>
                <m:ctrlPr>
                  <w:rPr>
                    <w:rFonts w:ascii="Cambria Math" w:hAnsi="Cambria Math" w:cs="Times New Roman"/>
                    <w:bCs/>
                    <w:i w:val="0"/>
                    <w:iCs/>
                    <w:color w:val="auto"/>
                    <w:kern w:val="2"/>
                    <w:sz w:val="32"/>
                    <w:szCs w:val="32"/>
                    <w:highlight w:val="none"/>
                    <w:lang w:val="en-US" w:bidi="zh-TW"/>
                  </w:rPr>
                </m:ctrlPr>
              </m:sub>
            </m:sSub>
            <m:ctrlPr>
              <w:rPr>
                <w:rFonts w:ascii="Cambria Math" w:hAnsi="Cambria Math" w:cs="Times New Roman"/>
                <w:bCs/>
                <w:i w:val="0"/>
                <w:iCs/>
                <w:color w:val="auto"/>
                <w:kern w:val="2"/>
                <w:sz w:val="32"/>
                <w:szCs w:val="32"/>
                <w:highlight w:val="none"/>
                <w:lang w:val="en-US" w:bidi="zh-TW"/>
              </w:rPr>
            </m:ctrlPr>
          </m:e>
        </m:acc>
      </m:oMath>
      <w:r>
        <w:rPr>
          <w:rFonts w:hint="default" w:ascii="Times New Roman" w:hAnsi="Times New Roman" w:eastAsia="仿宋_GB2312" w:cs="Times New Roman"/>
          <w:b/>
          <w:bCs/>
          <w:color w:val="auto"/>
          <w:kern w:val="2"/>
          <w:sz w:val="32"/>
          <w:szCs w:val="32"/>
          <w:highlight w:val="none"/>
          <w:lang w:val="en-US" w:eastAsia="zh-CN" w:bidi="zh-TW"/>
        </w:rPr>
        <w:t>，老年患者比例系数=0。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3</w:t>
      </w:r>
      <w:r>
        <w:rPr>
          <w:rFonts w:hint="default" w:ascii="Times New Roman" w:hAnsi="Times New Roman" w:eastAsia="仿宋_GB2312" w:cs="Times New Roman"/>
          <w:b/>
          <w:bCs/>
          <w:color w:val="auto"/>
          <w:kern w:val="2"/>
          <w:sz w:val="32"/>
          <w:szCs w:val="32"/>
          <w:highlight w:val="none"/>
          <w:lang w:val="en-US" w:eastAsia="zh-CN" w:bidi="zh-TW"/>
        </w:rPr>
        <w:t>.儿童患者比例系数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根据定点医疗机构6岁及以下儿童住院人次占比（I</w:t>
      </w:r>
      <w:r>
        <w:rPr>
          <w:rFonts w:hint="default" w:ascii="Times New Roman" w:hAnsi="Times New Roman" w:eastAsia="仿宋_GB2312" w:cs="Times New Roman"/>
          <w:b/>
          <w:bCs/>
          <w:color w:val="auto"/>
          <w:kern w:val="2"/>
          <w:sz w:val="32"/>
          <w:szCs w:val="32"/>
          <w:highlight w:val="none"/>
          <w:vertAlign w:val="subscript"/>
          <w:lang w:val="en-US" w:eastAsia="zh-CN" w:bidi="zh-TW"/>
        </w:rPr>
        <w:t>et</w:t>
      </w:r>
      <w:r>
        <w:rPr>
          <w:rFonts w:hint="default" w:ascii="Times New Roman" w:hAnsi="Times New Roman" w:eastAsia="仿宋_GB2312" w:cs="Times New Roman"/>
          <w:b/>
          <w:bCs/>
          <w:color w:val="auto"/>
          <w:kern w:val="2"/>
          <w:sz w:val="32"/>
          <w:szCs w:val="32"/>
          <w:highlight w:val="none"/>
          <w:lang w:val="en-US" w:eastAsia="zh-CN" w:bidi="zh-TW"/>
        </w:rPr>
        <w:t>）及全市平均数（</w:t>
      </w:r>
      <m:oMath>
        <m:acc>
          <m:accPr>
            <m:chr m:val="̅"/>
            <m:ctrlPr>
              <w:rPr>
                <w:rFonts w:ascii="Cambria Math" w:hAnsi="Cambria Math" w:cs="Times New Roman"/>
                <w:b/>
                <w:bCs w:val="0"/>
                <w:i w:val="0"/>
                <w:iCs/>
                <w:color w:val="auto"/>
                <w:kern w:val="2"/>
                <w:sz w:val="32"/>
                <w:szCs w:val="32"/>
                <w:highlight w:val="none"/>
                <w:lang w:val="en-US" w:bidi="zh-TW"/>
              </w:rPr>
            </m:ctrlPr>
          </m:accPr>
          <m:e>
            <m:sSub>
              <m:sSubPr>
                <m:ctrlPr>
                  <w:rPr>
                    <w:rFonts w:ascii="Cambria Math" w:hAnsi="Cambria Math" w:cs="Times New Roman"/>
                    <w:b/>
                    <w:bCs w:val="0"/>
                    <w:i w:val="0"/>
                    <w:iCs/>
                    <w:color w:val="auto"/>
                    <w:kern w:val="2"/>
                    <w:sz w:val="32"/>
                    <w:szCs w:val="32"/>
                    <w:highlight w:val="none"/>
                    <w:lang w:val="en-US" w:bidi="zh-TW"/>
                  </w:rPr>
                </m:ctrlPr>
              </m:sSubPr>
              <m:e>
                <m:r>
                  <m:rPr>
                    <m:sty m:val="b"/>
                  </m:rPr>
                  <w:rPr>
                    <w:rFonts w:hint="default" w:ascii="Cambria Math" w:hAnsi="Cambria Math" w:cs="Times New Roman"/>
                    <w:color w:val="auto"/>
                    <w:kern w:val="2"/>
                    <w:sz w:val="32"/>
                    <w:szCs w:val="32"/>
                    <w:highlight w:val="none"/>
                    <w:lang w:val="en-US" w:eastAsia="zh-CN" w:bidi="zh-TW"/>
                  </w:rPr>
                  <m:t>I</m:t>
                </m:r>
                <m:ctrlPr>
                  <w:rPr>
                    <w:rFonts w:ascii="Cambria Math" w:hAnsi="Cambria Math" w:cs="Times New Roman"/>
                    <w:b/>
                    <w:bCs w:val="0"/>
                    <w:i w:val="0"/>
                    <w:iCs/>
                    <w:color w:val="auto"/>
                    <w:kern w:val="2"/>
                    <w:sz w:val="32"/>
                    <w:szCs w:val="32"/>
                    <w:highlight w:val="none"/>
                    <w:lang w:val="en-US" w:bidi="zh-TW"/>
                  </w:rPr>
                </m:ctrlPr>
              </m:e>
              <m:sub>
                <m:r>
                  <m:rPr>
                    <m:sty m:val="b"/>
                  </m:rPr>
                  <w:rPr>
                    <w:rFonts w:hint="default" w:ascii="Cambria Math" w:hAnsi="Cambria Math" w:cs="Times New Roman"/>
                    <w:color w:val="auto"/>
                    <w:kern w:val="2"/>
                    <w:sz w:val="32"/>
                    <w:szCs w:val="32"/>
                    <w:highlight w:val="none"/>
                    <w:lang w:val="en-US" w:eastAsia="zh-CN" w:bidi="zh-TW"/>
                  </w:rPr>
                  <m:t>et</m:t>
                </m:r>
                <m:ctrlPr>
                  <w:rPr>
                    <w:rFonts w:ascii="Cambria Math" w:hAnsi="Cambria Math" w:cs="Times New Roman"/>
                    <w:b/>
                    <w:bCs w:val="0"/>
                    <w:i w:val="0"/>
                    <w:iCs/>
                    <w:color w:val="auto"/>
                    <w:kern w:val="2"/>
                    <w:sz w:val="32"/>
                    <w:szCs w:val="32"/>
                    <w:highlight w:val="none"/>
                    <w:lang w:val="en-US" w:bidi="zh-TW"/>
                  </w:rPr>
                </m:ctrlPr>
              </m:sub>
            </m:sSub>
            <m:ctrlPr>
              <w:rPr>
                <w:rFonts w:ascii="Cambria Math" w:hAnsi="Cambria Math" w:cs="Times New Roman"/>
                <w:b/>
                <w:bCs w:val="0"/>
                <w:i w:val="0"/>
                <w:iCs/>
                <w:color w:val="auto"/>
                <w:kern w:val="2"/>
                <w:sz w:val="32"/>
                <w:szCs w:val="32"/>
                <w:highlight w:val="none"/>
                <w:lang w:val="en-US" w:bidi="zh-TW"/>
              </w:rPr>
            </m:ctrlPr>
          </m:e>
        </m:acc>
      </m:oMath>
      <w:r>
        <w:rPr>
          <w:rFonts w:hint="default" w:ascii="Times New Roman" w:hAnsi="Times New Roman" w:eastAsia="仿宋_GB2312" w:cs="Times New Roman"/>
          <w:b/>
          <w:bCs/>
          <w:color w:val="auto"/>
          <w:kern w:val="2"/>
          <w:sz w:val="32"/>
          <w:szCs w:val="32"/>
          <w:highlight w:val="none"/>
          <w:lang w:val="en-US" w:eastAsia="zh-CN" w:bidi="zh-TW"/>
        </w:rPr>
        <w:t>）确定儿童患者比例系数，最高加成5个百分点。计算公式如下：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当I</w:t>
      </w:r>
      <w:r>
        <w:rPr>
          <w:rFonts w:hint="default" w:ascii="Times New Roman" w:hAnsi="Times New Roman" w:eastAsia="仿宋_GB2312" w:cs="Times New Roman"/>
          <w:b/>
          <w:bCs/>
          <w:color w:val="auto"/>
          <w:kern w:val="2"/>
          <w:sz w:val="32"/>
          <w:szCs w:val="32"/>
          <w:highlight w:val="none"/>
          <w:vertAlign w:val="subscript"/>
          <w:lang w:val="en-US" w:eastAsia="zh-CN" w:bidi="zh-TW"/>
        </w:rPr>
        <w:t>et</w:t>
      </w:r>
      <w:r>
        <w:rPr>
          <w:rFonts w:hint="eastAsia" w:ascii="Times New Roman" w:hAnsi="Times New Roman" w:eastAsia="仿宋_GB2312" w:cs="Times New Roman"/>
          <w:b/>
          <w:bCs/>
          <w:color w:val="auto"/>
          <w:kern w:val="2"/>
          <w:sz w:val="32"/>
          <w:szCs w:val="32"/>
          <w:highlight w:val="none"/>
          <w:vertAlign w:val="subscript"/>
          <w:lang w:val="en-US" w:eastAsia="zh-CN" w:bidi="zh-TW"/>
        </w:rPr>
        <w:t xml:space="preserve">  </w:t>
      </w:r>
      <w:r>
        <w:rPr>
          <w:rFonts w:hint="default" w:ascii="Times New Roman" w:hAnsi="Times New Roman" w:eastAsia="仿宋_GB2312" w:cs="Times New Roman"/>
          <w:b/>
          <w:bCs/>
          <w:color w:val="auto"/>
          <w:kern w:val="2"/>
          <w:sz w:val="32"/>
          <w:szCs w:val="32"/>
          <w:highlight w:val="none"/>
          <w:lang w:val="en-US" w:eastAsia="zh-CN" w:bidi="zh-TW"/>
        </w:rPr>
        <w:t>&gt;</w:t>
      </w:r>
      <w:r>
        <w:rPr>
          <w:rFonts w:hint="eastAsia" w:ascii="Times New Roman" w:hAnsi="Times New Roman" w:eastAsia="仿宋_GB2312" w:cs="Times New Roman"/>
          <w:b/>
          <w:bCs/>
          <w:color w:val="auto"/>
          <w:kern w:val="2"/>
          <w:sz w:val="32"/>
          <w:szCs w:val="32"/>
          <w:highlight w:val="none"/>
          <w:lang w:val="en-US" w:eastAsia="zh-CN" w:bidi="zh-TW"/>
        </w:rPr>
        <w:t xml:space="preserve"> </w:t>
      </w:r>
      <m:oMath>
        <m:acc>
          <m:accPr>
            <m:chr m:val="̅"/>
            <m:ctrlPr>
              <w:rPr>
                <w:rFonts w:ascii="Cambria Math" w:hAnsi="Cambria Math" w:cs="Times New Roman"/>
                <w:b/>
                <w:bCs w:val="0"/>
                <w:i w:val="0"/>
                <w:iCs/>
                <w:color w:val="auto"/>
                <w:kern w:val="2"/>
                <w:sz w:val="32"/>
                <w:szCs w:val="32"/>
                <w:highlight w:val="none"/>
                <w:lang w:val="en-US" w:bidi="zh-TW"/>
              </w:rPr>
            </m:ctrlPr>
          </m:accPr>
          <m:e>
            <m:sSub>
              <m:sSubPr>
                <m:ctrlPr>
                  <w:rPr>
                    <w:rFonts w:ascii="Cambria Math" w:hAnsi="Cambria Math" w:cs="Times New Roman"/>
                    <w:b/>
                    <w:bCs w:val="0"/>
                    <w:i w:val="0"/>
                    <w:iCs/>
                    <w:color w:val="auto"/>
                    <w:kern w:val="2"/>
                    <w:sz w:val="32"/>
                    <w:szCs w:val="32"/>
                    <w:highlight w:val="none"/>
                    <w:lang w:val="en-US" w:bidi="zh-TW"/>
                  </w:rPr>
                </m:ctrlPr>
              </m:sSubPr>
              <m:e>
                <m:r>
                  <m:rPr>
                    <m:sty m:val="b"/>
                  </m:rPr>
                  <w:rPr>
                    <w:rFonts w:hint="default" w:ascii="Cambria Math" w:hAnsi="Cambria Math" w:cs="Times New Roman"/>
                    <w:color w:val="auto"/>
                    <w:kern w:val="2"/>
                    <w:sz w:val="32"/>
                    <w:szCs w:val="32"/>
                    <w:highlight w:val="none"/>
                    <w:lang w:val="en-US" w:eastAsia="zh-CN" w:bidi="zh-TW"/>
                  </w:rPr>
                  <m:t>I</m:t>
                </m:r>
                <m:ctrlPr>
                  <w:rPr>
                    <w:rFonts w:ascii="Cambria Math" w:hAnsi="Cambria Math" w:cs="Times New Roman"/>
                    <w:b/>
                    <w:bCs w:val="0"/>
                    <w:i w:val="0"/>
                    <w:iCs/>
                    <w:color w:val="auto"/>
                    <w:kern w:val="2"/>
                    <w:sz w:val="32"/>
                    <w:szCs w:val="32"/>
                    <w:highlight w:val="none"/>
                    <w:lang w:val="en-US" w:bidi="zh-TW"/>
                  </w:rPr>
                </m:ctrlPr>
              </m:e>
              <m:sub>
                <m:r>
                  <m:rPr>
                    <m:sty m:val="b"/>
                  </m:rPr>
                  <w:rPr>
                    <w:rFonts w:hint="default" w:ascii="Cambria Math" w:hAnsi="Cambria Math" w:cs="Times New Roman"/>
                    <w:color w:val="auto"/>
                    <w:kern w:val="2"/>
                    <w:sz w:val="32"/>
                    <w:szCs w:val="32"/>
                    <w:highlight w:val="none"/>
                    <w:lang w:val="en-US" w:eastAsia="zh-CN" w:bidi="zh-TW"/>
                  </w:rPr>
                  <m:t>et</m:t>
                </m:r>
                <m:ctrlPr>
                  <w:rPr>
                    <w:rFonts w:ascii="Cambria Math" w:hAnsi="Cambria Math" w:cs="Times New Roman"/>
                    <w:b/>
                    <w:bCs w:val="0"/>
                    <w:i w:val="0"/>
                    <w:iCs/>
                    <w:color w:val="auto"/>
                    <w:kern w:val="2"/>
                    <w:sz w:val="32"/>
                    <w:szCs w:val="32"/>
                    <w:highlight w:val="none"/>
                    <w:lang w:val="en-US" w:bidi="zh-TW"/>
                  </w:rPr>
                </m:ctrlPr>
              </m:sub>
            </m:sSub>
            <m:ctrlPr>
              <w:rPr>
                <w:rFonts w:ascii="Cambria Math" w:hAnsi="Cambria Math" w:cs="Times New Roman"/>
                <w:b/>
                <w:bCs w:val="0"/>
                <w:i w:val="0"/>
                <w:iCs/>
                <w:color w:val="auto"/>
                <w:kern w:val="2"/>
                <w:sz w:val="32"/>
                <w:szCs w:val="32"/>
                <w:highlight w:val="none"/>
                <w:lang w:val="en-US" w:bidi="zh-TW"/>
              </w:rPr>
            </m:ctrlPr>
          </m:e>
        </m:acc>
      </m:oMath>
      <w:r>
        <w:rPr>
          <w:rFonts w:hint="default" w:ascii="Times New Roman" w:hAnsi="Times New Roman" w:eastAsia="仿宋_GB2312" w:cs="Times New Roman"/>
          <w:b/>
          <w:bCs/>
          <w:color w:val="auto"/>
          <w:kern w:val="2"/>
          <w:sz w:val="32"/>
          <w:szCs w:val="32"/>
          <w:highlight w:val="none"/>
          <w:lang w:val="en-US" w:eastAsia="zh-CN" w:bidi="zh-TW"/>
        </w:rPr>
        <w:t>，儿童患者比例系数=（I</w:t>
      </w:r>
      <w:r>
        <w:rPr>
          <w:rFonts w:hint="default" w:ascii="Times New Roman" w:hAnsi="Times New Roman" w:eastAsia="仿宋_GB2312" w:cs="Times New Roman"/>
          <w:b/>
          <w:bCs/>
          <w:color w:val="auto"/>
          <w:kern w:val="2"/>
          <w:sz w:val="32"/>
          <w:szCs w:val="32"/>
          <w:highlight w:val="none"/>
          <w:vertAlign w:val="subscript"/>
          <w:lang w:val="en-US" w:eastAsia="zh-CN" w:bidi="zh-TW"/>
        </w:rPr>
        <w:t>et</w:t>
      </w:r>
      <w:r>
        <w:rPr>
          <w:rFonts w:hint="eastAsia" w:ascii="Times New Roman" w:hAnsi="Times New Roman" w:eastAsia="仿宋_GB2312" w:cs="Times New Roman"/>
          <w:b/>
          <w:bCs/>
          <w:color w:val="auto"/>
          <w:kern w:val="2"/>
          <w:sz w:val="32"/>
          <w:szCs w:val="32"/>
          <w:highlight w:val="none"/>
          <w:vertAlign w:val="subscript"/>
          <w:lang w:val="en-US" w:eastAsia="zh-CN" w:bidi="zh-TW"/>
        </w:rPr>
        <w:t xml:space="preserve">  </w:t>
      </w:r>
      <w:r>
        <w:rPr>
          <w:rFonts w:hint="default" w:ascii="Times New Roman" w:hAnsi="Times New Roman" w:eastAsia="仿宋_GB2312" w:cs="Times New Roman"/>
          <w:b/>
          <w:bCs/>
          <w:color w:val="auto"/>
          <w:kern w:val="2"/>
          <w:sz w:val="32"/>
          <w:szCs w:val="32"/>
          <w:highlight w:val="none"/>
          <w:lang w:val="en-US" w:eastAsia="zh-CN" w:bidi="zh-TW"/>
        </w:rPr>
        <w:t>-</w:t>
      </w:r>
      <w:r>
        <w:rPr>
          <w:rFonts w:hint="eastAsia" w:ascii="Times New Roman" w:hAnsi="Times New Roman" w:eastAsia="仿宋_GB2312" w:cs="Times New Roman"/>
          <w:b/>
          <w:bCs/>
          <w:color w:val="auto"/>
          <w:kern w:val="2"/>
          <w:sz w:val="32"/>
          <w:szCs w:val="32"/>
          <w:highlight w:val="none"/>
          <w:lang w:val="en-US" w:eastAsia="zh-CN" w:bidi="zh-TW"/>
        </w:rPr>
        <w:t xml:space="preserve"> </w:t>
      </w:r>
      <m:oMath>
        <m:acc>
          <m:accPr>
            <m:chr m:val="̅"/>
            <m:ctrlPr>
              <w:rPr>
                <w:rFonts w:ascii="Cambria Math" w:hAnsi="Cambria Math" w:cs="Times New Roman"/>
                <w:b/>
                <w:bCs w:val="0"/>
                <w:i w:val="0"/>
                <w:iCs/>
                <w:color w:val="auto"/>
                <w:kern w:val="2"/>
                <w:sz w:val="32"/>
                <w:szCs w:val="32"/>
                <w:highlight w:val="none"/>
                <w:lang w:val="en-US" w:bidi="zh-TW"/>
              </w:rPr>
            </m:ctrlPr>
          </m:accPr>
          <m:e>
            <m:sSub>
              <m:sSubPr>
                <m:ctrlPr>
                  <w:rPr>
                    <w:rFonts w:ascii="Cambria Math" w:hAnsi="Cambria Math" w:cs="Times New Roman"/>
                    <w:b/>
                    <w:bCs w:val="0"/>
                    <w:i w:val="0"/>
                    <w:iCs/>
                    <w:color w:val="auto"/>
                    <w:kern w:val="2"/>
                    <w:sz w:val="32"/>
                    <w:szCs w:val="32"/>
                    <w:highlight w:val="none"/>
                    <w:lang w:val="en-US" w:bidi="zh-TW"/>
                  </w:rPr>
                </m:ctrlPr>
              </m:sSubPr>
              <m:e>
                <m:r>
                  <m:rPr>
                    <m:sty m:val="b"/>
                  </m:rPr>
                  <w:rPr>
                    <w:rFonts w:hint="default" w:ascii="Cambria Math" w:hAnsi="Cambria Math" w:cs="Times New Roman"/>
                    <w:color w:val="auto"/>
                    <w:kern w:val="2"/>
                    <w:sz w:val="32"/>
                    <w:szCs w:val="32"/>
                    <w:highlight w:val="none"/>
                    <w:lang w:val="en-US" w:eastAsia="zh-CN" w:bidi="zh-TW"/>
                  </w:rPr>
                  <m:t>I</m:t>
                </m:r>
                <m:ctrlPr>
                  <w:rPr>
                    <w:rFonts w:ascii="Cambria Math" w:hAnsi="Cambria Math" w:cs="Times New Roman"/>
                    <w:b/>
                    <w:bCs w:val="0"/>
                    <w:i w:val="0"/>
                    <w:iCs/>
                    <w:color w:val="auto"/>
                    <w:kern w:val="2"/>
                    <w:sz w:val="32"/>
                    <w:szCs w:val="32"/>
                    <w:highlight w:val="none"/>
                    <w:lang w:val="en-US" w:bidi="zh-TW"/>
                  </w:rPr>
                </m:ctrlPr>
              </m:e>
              <m:sub>
                <m:r>
                  <m:rPr>
                    <m:sty m:val="b"/>
                  </m:rPr>
                  <w:rPr>
                    <w:rFonts w:hint="default" w:ascii="Cambria Math" w:hAnsi="Cambria Math" w:cs="Times New Roman"/>
                    <w:color w:val="auto"/>
                    <w:kern w:val="2"/>
                    <w:sz w:val="32"/>
                    <w:szCs w:val="32"/>
                    <w:highlight w:val="none"/>
                    <w:lang w:val="en-US" w:eastAsia="zh-CN" w:bidi="zh-TW"/>
                  </w:rPr>
                  <m:t>et</m:t>
                </m:r>
                <m:ctrlPr>
                  <w:rPr>
                    <w:rFonts w:ascii="Cambria Math" w:hAnsi="Cambria Math" w:cs="Times New Roman"/>
                    <w:b/>
                    <w:bCs w:val="0"/>
                    <w:i w:val="0"/>
                    <w:iCs/>
                    <w:color w:val="auto"/>
                    <w:kern w:val="2"/>
                    <w:sz w:val="32"/>
                    <w:szCs w:val="32"/>
                    <w:highlight w:val="none"/>
                    <w:lang w:val="en-US" w:bidi="zh-TW"/>
                  </w:rPr>
                </m:ctrlPr>
              </m:sub>
            </m:sSub>
            <m:ctrlPr>
              <w:rPr>
                <w:rFonts w:ascii="Cambria Math" w:hAnsi="Cambria Math" w:cs="Times New Roman"/>
                <w:b/>
                <w:bCs w:val="0"/>
                <w:i w:val="0"/>
                <w:iCs/>
                <w:color w:val="auto"/>
                <w:kern w:val="2"/>
                <w:sz w:val="32"/>
                <w:szCs w:val="32"/>
                <w:highlight w:val="none"/>
                <w:lang w:val="en-US" w:bidi="zh-TW"/>
              </w:rPr>
            </m:ctrlPr>
          </m:e>
        </m:acc>
      </m:oMath>
      <w:r>
        <w:rPr>
          <w:rFonts w:hint="default" w:ascii="Times New Roman" w:hAnsi="Times New Roman" w:eastAsia="仿宋_GB2312" w:cs="Times New Roman"/>
          <w:b/>
          <w:bCs/>
          <w:color w:val="auto"/>
          <w:kern w:val="2"/>
          <w:sz w:val="32"/>
          <w:szCs w:val="32"/>
          <w:highlight w:val="none"/>
          <w:lang w:val="en-US" w:eastAsia="zh-CN" w:bidi="zh-TW"/>
        </w:rPr>
        <w:t>）×10%；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当I</w:t>
      </w:r>
      <w:r>
        <w:rPr>
          <w:rFonts w:hint="default" w:ascii="Times New Roman" w:hAnsi="Times New Roman" w:eastAsia="仿宋_GB2312" w:cs="Times New Roman"/>
          <w:b/>
          <w:bCs/>
          <w:color w:val="auto"/>
          <w:kern w:val="2"/>
          <w:sz w:val="32"/>
          <w:szCs w:val="32"/>
          <w:highlight w:val="none"/>
          <w:vertAlign w:val="subscript"/>
          <w:lang w:val="en-US" w:eastAsia="zh-CN" w:bidi="zh-TW"/>
        </w:rPr>
        <w:t>et</w:t>
      </w:r>
      <w:r>
        <w:rPr>
          <w:rFonts w:hint="eastAsia" w:ascii="Times New Roman" w:hAnsi="Times New Roman" w:eastAsia="仿宋_GB2312" w:cs="Times New Roman"/>
          <w:b/>
          <w:bCs/>
          <w:color w:val="auto"/>
          <w:kern w:val="2"/>
          <w:sz w:val="32"/>
          <w:szCs w:val="32"/>
          <w:highlight w:val="none"/>
          <w:vertAlign w:val="subscript"/>
          <w:lang w:val="en-US" w:eastAsia="zh-CN" w:bidi="zh-TW"/>
        </w:rPr>
        <w:t xml:space="preserve"> </w:t>
      </w:r>
      <w:r>
        <w:rPr>
          <w:rFonts w:hint="eastAsia" w:ascii="黑体" w:hAnsi="黑体" w:eastAsia="黑体" w:cs="黑体"/>
          <w:b/>
          <w:bCs/>
          <w:color w:val="auto"/>
          <w:kern w:val="2"/>
          <w:sz w:val="32"/>
          <w:szCs w:val="32"/>
          <w:highlight w:val="none"/>
          <w:lang w:val="en-US" w:eastAsia="zh-CN" w:bidi="zh-TW"/>
        </w:rPr>
        <w:t xml:space="preserve">≤ </w:t>
      </w:r>
      <m:oMath>
        <m:acc>
          <m:accPr>
            <m:chr m:val="̅"/>
            <m:ctrlPr>
              <w:rPr>
                <w:rFonts w:ascii="Cambria Math" w:hAnsi="Cambria Math" w:cs="Times New Roman"/>
                <w:b/>
                <w:bCs w:val="0"/>
                <w:i w:val="0"/>
                <w:iCs/>
                <w:color w:val="auto"/>
                <w:kern w:val="2"/>
                <w:sz w:val="32"/>
                <w:szCs w:val="32"/>
                <w:highlight w:val="none"/>
                <w:lang w:val="en-US" w:bidi="zh-TW"/>
              </w:rPr>
            </m:ctrlPr>
          </m:accPr>
          <m:e>
            <m:sSub>
              <m:sSubPr>
                <m:ctrlPr>
                  <w:rPr>
                    <w:rFonts w:ascii="Cambria Math" w:hAnsi="Cambria Math" w:cs="Times New Roman"/>
                    <w:b/>
                    <w:bCs w:val="0"/>
                    <w:i w:val="0"/>
                    <w:iCs/>
                    <w:color w:val="auto"/>
                    <w:kern w:val="2"/>
                    <w:sz w:val="32"/>
                    <w:szCs w:val="32"/>
                    <w:highlight w:val="none"/>
                    <w:lang w:val="en-US" w:bidi="zh-TW"/>
                  </w:rPr>
                </m:ctrlPr>
              </m:sSubPr>
              <m:e>
                <m:r>
                  <m:rPr>
                    <m:sty m:val="b"/>
                  </m:rPr>
                  <w:rPr>
                    <w:rFonts w:hint="default" w:ascii="Cambria Math" w:hAnsi="Cambria Math" w:cs="Times New Roman"/>
                    <w:color w:val="auto"/>
                    <w:kern w:val="2"/>
                    <w:sz w:val="32"/>
                    <w:szCs w:val="32"/>
                    <w:highlight w:val="none"/>
                    <w:lang w:val="en-US" w:eastAsia="zh-CN" w:bidi="zh-TW"/>
                  </w:rPr>
                  <m:t>I</m:t>
                </m:r>
                <m:ctrlPr>
                  <w:rPr>
                    <w:rFonts w:ascii="Cambria Math" w:hAnsi="Cambria Math" w:cs="Times New Roman"/>
                    <w:b/>
                    <w:bCs w:val="0"/>
                    <w:i w:val="0"/>
                    <w:iCs/>
                    <w:color w:val="auto"/>
                    <w:kern w:val="2"/>
                    <w:sz w:val="32"/>
                    <w:szCs w:val="32"/>
                    <w:highlight w:val="none"/>
                    <w:lang w:val="en-US" w:bidi="zh-TW"/>
                  </w:rPr>
                </m:ctrlPr>
              </m:e>
              <m:sub>
                <m:r>
                  <m:rPr>
                    <m:sty m:val="b"/>
                  </m:rPr>
                  <w:rPr>
                    <w:rFonts w:hint="default" w:ascii="Cambria Math" w:hAnsi="Cambria Math" w:cs="Times New Roman"/>
                    <w:color w:val="auto"/>
                    <w:kern w:val="2"/>
                    <w:sz w:val="32"/>
                    <w:szCs w:val="32"/>
                    <w:highlight w:val="none"/>
                    <w:lang w:val="en-US" w:eastAsia="zh-CN" w:bidi="zh-TW"/>
                  </w:rPr>
                  <m:t>et</m:t>
                </m:r>
                <m:ctrlPr>
                  <w:rPr>
                    <w:rFonts w:ascii="Cambria Math" w:hAnsi="Cambria Math" w:cs="Times New Roman"/>
                    <w:b/>
                    <w:bCs w:val="0"/>
                    <w:i w:val="0"/>
                    <w:iCs/>
                    <w:color w:val="auto"/>
                    <w:kern w:val="2"/>
                    <w:sz w:val="32"/>
                    <w:szCs w:val="32"/>
                    <w:highlight w:val="none"/>
                    <w:lang w:val="en-US" w:bidi="zh-TW"/>
                  </w:rPr>
                </m:ctrlPr>
              </m:sub>
            </m:sSub>
            <m:ctrlPr>
              <w:rPr>
                <w:rFonts w:ascii="Cambria Math" w:hAnsi="Cambria Math" w:cs="Times New Roman"/>
                <w:b/>
                <w:bCs w:val="0"/>
                <w:i w:val="0"/>
                <w:iCs/>
                <w:color w:val="auto"/>
                <w:kern w:val="2"/>
                <w:sz w:val="32"/>
                <w:szCs w:val="32"/>
                <w:highlight w:val="none"/>
                <w:lang w:val="en-US" w:bidi="zh-TW"/>
              </w:rPr>
            </m:ctrlPr>
          </m:e>
        </m:acc>
      </m:oMath>
      <w:r>
        <w:rPr>
          <w:rFonts w:hint="default" w:ascii="Times New Roman" w:hAnsi="Times New Roman" w:eastAsia="仿宋_GB2312" w:cs="Times New Roman"/>
          <w:b/>
          <w:bCs/>
          <w:color w:val="auto"/>
          <w:kern w:val="2"/>
          <w:sz w:val="32"/>
          <w:szCs w:val="32"/>
          <w:highlight w:val="none"/>
          <w:lang w:val="en-US" w:eastAsia="zh-CN" w:bidi="zh-TW"/>
        </w:rPr>
        <w:t>，儿童患者比例系数=0。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4.</w:t>
      </w:r>
      <w:r>
        <w:rPr>
          <w:rFonts w:hint="default" w:ascii="Times New Roman" w:hAnsi="Times New Roman" w:eastAsia="仿宋_GB2312" w:cs="Times New Roman"/>
          <w:b/>
          <w:bCs/>
          <w:color w:val="auto"/>
          <w:kern w:val="2"/>
          <w:sz w:val="32"/>
          <w:szCs w:val="32"/>
          <w:highlight w:val="none"/>
          <w:lang w:val="en-US" w:eastAsia="zh-CN" w:bidi="zh-TW"/>
        </w:rPr>
        <w:t>二次住院系数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根据定点医疗机构出院参保人</w:t>
      </w:r>
      <w:r>
        <w:rPr>
          <w:rFonts w:hint="eastAsia" w:ascii="Times New Roman" w:hAnsi="Times New Roman" w:eastAsia="仿宋_GB2312" w:cs="Times New Roman"/>
          <w:b/>
          <w:bCs/>
          <w:color w:val="auto"/>
          <w:kern w:val="2"/>
          <w:sz w:val="32"/>
          <w:szCs w:val="32"/>
          <w:highlight w:val="none"/>
          <w:lang w:val="en-US" w:eastAsia="zh-CN" w:bidi="zh-TW"/>
        </w:rPr>
        <w:t>小于等于（≤）15天</w:t>
      </w:r>
      <w:r>
        <w:rPr>
          <w:rFonts w:hint="default" w:ascii="Times New Roman" w:hAnsi="Times New Roman" w:eastAsia="仿宋_GB2312" w:cs="Times New Roman"/>
          <w:b/>
          <w:bCs/>
          <w:color w:val="auto"/>
          <w:kern w:val="2"/>
          <w:sz w:val="32"/>
          <w:szCs w:val="32"/>
          <w:highlight w:val="none"/>
          <w:lang w:val="en-US" w:eastAsia="zh-CN" w:bidi="zh-TW"/>
        </w:rPr>
        <w:t>（</w:t>
      </w:r>
      <w:r>
        <w:rPr>
          <w:rFonts w:hint="eastAsia" w:ascii="Times New Roman" w:hAnsi="Times New Roman" w:eastAsia="仿宋_GB2312" w:cs="Times New Roman"/>
          <w:b/>
          <w:bCs/>
          <w:color w:val="auto"/>
          <w:kern w:val="2"/>
          <w:sz w:val="32"/>
          <w:szCs w:val="32"/>
          <w:highlight w:val="none"/>
          <w:lang w:val="en-US" w:eastAsia="zh-CN" w:bidi="zh-TW"/>
        </w:rPr>
        <w:t>肿瘤放化疗除外</w:t>
      </w:r>
      <w:r>
        <w:rPr>
          <w:rFonts w:hint="default" w:ascii="Times New Roman" w:hAnsi="Times New Roman" w:eastAsia="仿宋_GB2312" w:cs="Times New Roman"/>
          <w:b/>
          <w:bCs/>
          <w:color w:val="auto"/>
          <w:kern w:val="2"/>
          <w:sz w:val="32"/>
          <w:szCs w:val="32"/>
          <w:highlight w:val="none"/>
          <w:lang w:val="en-US" w:eastAsia="zh-CN" w:bidi="zh-TW"/>
        </w:rPr>
        <w:t>）再入院的人次占比（I</w:t>
      </w:r>
      <w:r>
        <w:rPr>
          <w:rFonts w:hint="default" w:ascii="Times New Roman" w:hAnsi="Times New Roman" w:eastAsia="仿宋_GB2312" w:cs="Times New Roman"/>
          <w:b/>
          <w:bCs/>
          <w:color w:val="auto"/>
          <w:kern w:val="2"/>
          <w:sz w:val="32"/>
          <w:szCs w:val="32"/>
          <w:highlight w:val="none"/>
          <w:vertAlign w:val="subscript"/>
          <w:lang w:val="en-US" w:eastAsia="zh-CN" w:bidi="zh-TW"/>
        </w:rPr>
        <w:t>zy</w:t>
      </w:r>
      <w:r>
        <w:rPr>
          <w:rFonts w:hint="default" w:ascii="Times New Roman" w:hAnsi="Times New Roman" w:eastAsia="仿宋_GB2312" w:cs="Times New Roman"/>
          <w:b/>
          <w:bCs/>
          <w:color w:val="auto"/>
          <w:kern w:val="2"/>
          <w:sz w:val="32"/>
          <w:szCs w:val="32"/>
          <w:highlight w:val="none"/>
          <w:lang w:val="en-US" w:eastAsia="zh-CN" w:bidi="zh-TW"/>
        </w:rPr>
        <w:t>）确定二次住院系数，最高扣减5个百分点。计算公式如下：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当I</w:t>
      </w:r>
      <w:r>
        <w:rPr>
          <w:rFonts w:hint="default" w:ascii="Times New Roman" w:hAnsi="Times New Roman" w:eastAsia="仿宋_GB2312" w:cs="Times New Roman"/>
          <w:b/>
          <w:bCs/>
          <w:color w:val="auto"/>
          <w:kern w:val="2"/>
          <w:sz w:val="32"/>
          <w:szCs w:val="32"/>
          <w:highlight w:val="none"/>
          <w:vertAlign w:val="subscript"/>
          <w:lang w:val="en-US" w:eastAsia="zh-CN" w:bidi="zh-TW"/>
        </w:rPr>
        <w:t>zy</w:t>
      </w:r>
      <w:r>
        <w:rPr>
          <w:rFonts w:hint="eastAsia" w:ascii="Times New Roman" w:hAnsi="Times New Roman" w:eastAsia="仿宋_GB2312" w:cs="Times New Roman"/>
          <w:b/>
          <w:bCs/>
          <w:color w:val="auto"/>
          <w:kern w:val="2"/>
          <w:sz w:val="32"/>
          <w:szCs w:val="32"/>
          <w:highlight w:val="none"/>
          <w:vertAlign w:val="subscript"/>
          <w:lang w:val="en-US" w:eastAsia="zh-CN" w:bidi="zh-TW"/>
        </w:rPr>
        <w:t xml:space="preserve">  </w:t>
      </w:r>
      <w:r>
        <w:rPr>
          <w:rFonts w:hint="default" w:ascii="Times New Roman" w:hAnsi="Times New Roman" w:eastAsia="仿宋_GB2312" w:cs="Times New Roman"/>
          <w:b/>
          <w:bCs/>
          <w:color w:val="auto"/>
          <w:kern w:val="2"/>
          <w:sz w:val="32"/>
          <w:szCs w:val="32"/>
          <w:highlight w:val="none"/>
          <w:lang w:val="en-US" w:eastAsia="zh-CN" w:bidi="zh-TW"/>
        </w:rPr>
        <w:t>&gt;</w:t>
      </w:r>
      <w:r>
        <w:rPr>
          <w:rFonts w:hint="eastAsia" w:ascii="Times New Roman" w:hAnsi="Times New Roman" w:eastAsia="仿宋_GB2312" w:cs="Times New Roman"/>
          <w:b/>
          <w:bCs/>
          <w:color w:val="auto"/>
          <w:kern w:val="2"/>
          <w:sz w:val="32"/>
          <w:szCs w:val="32"/>
          <w:highlight w:val="none"/>
          <w:lang w:val="en-US" w:eastAsia="zh-CN" w:bidi="zh-TW"/>
        </w:rPr>
        <w:t xml:space="preserve"> </w:t>
      </w:r>
      <w:r>
        <w:rPr>
          <w:rFonts w:hint="default" w:ascii="Times New Roman" w:hAnsi="Times New Roman" w:eastAsia="仿宋_GB2312" w:cs="Times New Roman"/>
          <w:b/>
          <w:bCs/>
          <w:color w:val="auto"/>
          <w:kern w:val="2"/>
          <w:sz w:val="32"/>
          <w:szCs w:val="32"/>
          <w:highlight w:val="none"/>
          <w:lang w:val="en-US" w:eastAsia="zh-CN" w:bidi="zh-TW"/>
        </w:rPr>
        <w:t>10%，二次住院系数=（I</w:t>
      </w:r>
      <w:r>
        <w:rPr>
          <w:rFonts w:hint="default" w:ascii="Times New Roman" w:hAnsi="Times New Roman" w:eastAsia="仿宋_GB2312" w:cs="Times New Roman"/>
          <w:b/>
          <w:bCs/>
          <w:color w:val="auto"/>
          <w:kern w:val="2"/>
          <w:sz w:val="32"/>
          <w:szCs w:val="32"/>
          <w:highlight w:val="none"/>
          <w:vertAlign w:val="subscript"/>
          <w:lang w:val="en-US" w:eastAsia="zh-CN" w:bidi="zh-TW"/>
        </w:rPr>
        <w:t>zy</w:t>
      </w:r>
      <w:r>
        <w:rPr>
          <w:rFonts w:hint="eastAsia" w:ascii="Times New Roman" w:hAnsi="Times New Roman" w:eastAsia="仿宋_GB2312" w:cs="Times New Roman"/>
          <w:b/>
          <w:bCs/>
          <w:color w:val="auto"/>
          <w:kern w:val="2"/>
          <w:sz w:val="32"/>
          <w:szCs w:val="32"/>
          <w:highlight w:val="none"/>
          <w:vertAlign w:val="subscript"/>
          <w:lang w:val="en-US" w:eastAsia="zh-CN" w:bidi="zh-TW"/>
        </w:rPr>
        <w:t xml:space="preserve"> </w:t>
      </w:r>
      <w:r>
        <w:rPr>
          <w:rFonts w:hint="default" w:ascii="Times New Roman" w:hAnsi="Times New Roman" w:eastAsia="仿宋_GB2312" w:cs="Times New Roman"/>
          <w:b/>
          <w:bCs/>
          <w:color w:val="auto"/>
          <w:kern w:val="2"/>
          <w:sz w:val="32"/>
          <w:szCs w:val="32"/>
          <w:highlight w:val="none"/>
          <w:lang w:val="en-US" w:eastAsia="zh-CN" w:bidi="zh-TW"/>
        </w:rPr>
        <w:t>-</w:t>
      </w:r>
      <w:r>
        <w:rPr>
          <w:rFonts w:hint="eastAsia" w:ascii="Times New Roman" w:hAnsi="Times New Roman" w:eastAsia="仿宋_GB2312" w:cs="Times New Roman"/>
          <w:b/>
          <w:bCs/>
          <w:color w:val="auto"/>
          <w:kern w:val="2"/>
          <w:sz w:val="32"/>
          <w:szCs w:val="32"/>
          <w:highlight w:val="none"/>
          <w:lang w:val="en-US" w:eastAsia="zh-CN" w:bidi="zh-TW"/>
        </w:rPr>
        <w:t xml:space="preserve"> </w:t>
      </w:r>
      <w:r>
        <w:rPr>
          <w:rFonts w:hint="default" w:ascii="Times New Roman" w:hAnsi="Times New Roman" w:eastAsia="仿宋_GB2312" w:cs="Times New Roman"/>
          <w:b/>
          <w:bCs/>
          <w:color w:val="auto"/>
          <w:kern w:val="2"/>
          <w:sz w:val="32"/>
          <w:szCs w:val="32"/>
          <w:highlight w:val="none"/>
          <w:lang w:val="en-US" w:eastAsia="zh-CN" w:bidi="zh-TW"/>
        </w:rPr>
        <w:t>10%）×10%；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当I</w:t>
      </w:r>
      <w:r>
        <w:rPr>
          <w:rFonts w:hint="default" w:ascii="Times New Roman" w:hAnsi="Times New Roman" w:eastAsia="仿宋_GB2312" w:cs="Times New Roman"/>
          <w:b/>
          <w:bCs/>
          <w:color w:val="auto"/>
          <w:kern w:val="2"/>
          <w:sz w:val="32"/>
          <w:szCs w:val="32"/>
          <w:highlight w:val="none"/>
          <w:vertAlign w:val="subscript"/>
          <w:lang w:val="en-US" w:eastAsia="zh-CN" w:bidi="zh-TW"/>
        </w:rPr>
        <w:t>zy</w:t>
      </w:r>
      <w:r>
        <w:rPr>
          <w:rFonts w:hint="eastAsia" w:ascii="Times New Roman" w:hAnsi="Times New Roman" w:eastAsia="仿宋_GB2312" w:cs="Times New Roman"/>
          <w:b/>
          <w:bCs/>
          <w:color w:val="auto"/>
          <w:kern w:val="2"/>
          <w:sz w:val="32"/>
          <w:szCs w:val="32"/>
          <w:highlight w:val="none"/>
          <w:vertAlign w:val="subscript"/>
          <w:lang w:val="en-US" w:eastAsia="zh-CN" w:bidi="zh-TW"/>
        </w:rPr>
        <w:t xml:space="preserve"> </w:t>
      </w:r>
      <w:r>
        <w:rPr>
          <w:rFonts w:hint="eastAsia" w:ascii="黑体" w:hAnsi="黑体" w:eastAsia="黑体" w:cs="黑体"/>
          <w:b/>
          <w:bCs/>
          <w:color w:val="auto"/>
          <w:kern w:val="2"/>
          <w:sz w:val="32"/>
          <w:szCs w:val="32"/>
          <w:highlight w:val="none"/>
          <w:lang w:val="en-US" w:eastAsia="zh-CN" w:bidi="zh-TW"/>
        </w:rPr>
        <w:t xml:space="preserve">≤ </w:t>
      </w:r>
      <w:r>
        <w:rPr>
          <w:rFonts w:hint="default" w:ascii="Times New Roman" w:hAnsi="Times New Roman" w:eastAsia="仿宋_GB2312" w:cs="Times New Roman"/>
          <w:b/>
          <w:bCs/>
          <w:color w:val="auto"/>
          <w:kern w:val="2"/>
          <w:sz w:val="32"/>
          <w:szCs w:val="32"/>
          <w:highlight w:val="none"/>
          <w:lang w:val="en-US" w:eastAsia="zh-CN" w:bidi="zh-TW"/>
        </w:rPr>
        <w:t>10%，二次住院系数=0。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再入院人次包括在本院或者其他定点医疗机构再次住院的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人次，已办理转院备案或者定点医疗机构自行办理住院费用合并计算的病例除外。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default" w:ascii="Times New Roman" w:hAnsi="Times New Roman" w:eastAsia="仿宋_GB2312" w:cs="Times New Roman"/>
          <w:b/>
          <w:bCs/>
          <w:color w:val="auto"/>
          <w:kern w:val="2"/>
          <w:sz w:val="32"/>
          <w:szCs w:val="32"/>
          <w:highlight w:val="none"/>
          <w:lang w:val="en-US" w:eastAsia="zh-CN" w:bidi="zh-TW"/>
        </w:rPr>
        <w:t>（</w:t>
      </w:r>
      <w:r>
        <w:rPr>
          <w:rFonts w:hint="eastAsia" w:ascii="Times New Roman" w:hAnsi="Times New Roman" w:eastAsia="仿宋_GB2312" w:cs="Times New Roman"/>
          <w:b/>
          <w:bCs/>
          <w:color w:val="auto"/>
          <w:kern w:val="2"/>
          <w:sz w:val="32"/>
          <w:szCs w:val="32"/>
          <w:highlight w:val="none"/>
          <w:lang w:val="en-US" w:eastAsia="zh-CN" w:bidi="zh-TW"/>
        </w:rPr>
        <w:t>三</w:t>
      </w:r>
      <w:r>
        <w:rPr>
          <w:rFonts w:hint="default" w:ascii="Times New Roman" w:hAnsi="Times New Roman" w:eastAsia="仿宋_GB2312" w:cs="Times New Roman"/>
          <w:b/>
          <w:bCs/>
          <w:color w:val="auto"/>
          <w:kern w:val="2"/>
          <w:sz w:val="32"/>
          <w:szCs w:val="32"/>
          <w:highlight w:val="none"/>
          <w:lang w:val="en-US" w:eastAsia="zh-CN" w:bidi="zh-TW"/>
        </w:rPr>
        <w:t>）</w:t>
      </w:r>
      <w:r>
        <w:rPr>
          <w:rFonts w:hint="eastAsia" w:ascii="Times New Roman" w:hAnsi="Times New Roman" w:eastAsia="仿宋_GB2312" w:cs="Times New Roman"/>
          <w:b/>
          <w:bCs/>
          <w:color w:val="auto"/>
          <w:kern w:val="2"/>
          <w:sz w:val="32"/>
          <w:szCs w:val="32"/>
          <w:highlight w:val="none"/>
          <w:lang w:val="en-US" w:eastAsia="zh-CN" w:bidi="zh-TW"/>
        </w:rPr>
        <w:t>医疗机构综合系数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按照疾病难易程度测算系数（CMI系数）与按照次均费用测算系数（综合基本系数和加成系数确定）相结合，两种办法采用1：1加权的方法确定最终医疗机构综合系数。</w:t>
      </w:r>
    </w:p>
    <w:p>
      <w:pPr>
        <w:keepNext w:val="0"/>
        <w:keepLines w:val="0"/>
        <w:pageBreakBefore w:val="0"/>
        <w:widowControl w:val="0"/>
        <w:kinsoku/>
        <w:wordWrap/>
        <w:overflowPunct/>
        <w:topLinePunct w:val="0"/>
        <w:autoSpaceDE/>
        <w:autoSpaceDN/>
        <w:bidi w:val="0"/>
        <w:adjustRightInd/>
        <w:snapToGrid/>
        <w:spacing w:line="560" w:lineRule="exact"/>
        <w:ind w:firstLine="276" w:firstLineChars="100"/>
        <w:textAlignment w:val="auto"/>
        <w:rPr>
          <w:rFonts w:hint="eastAsia" w:ascii="仿宋" w:hAnsi="仿宋" w:eastAsia="仿宋" w:cs="仿宋"/>
          <w:b/>
          <w:bCs/>
          <w:color w:val="000000"/>
          <w:sz w:val="28"/>
          <w:szCs w:val="28"/>
        </w:rPr>
      </w:pPr>
      <w:bookmarkStart w:id="0" w:name="_GoBack"/>
      <w:bookmarkEnd w:id="0"/>
    </w:p>
    <w:sectPr>
      <w:footerReference r:id="rId3" w:type="default"/>
      <w:pgSz w:w="11906" w:h="16838"/>
      <w:pgMar w:top="2098" w:right="1531" w:bottom="1531" w:left="1531" w:header="851" w:footer="1134" w:gutter="0"/>
      <w:pgNumType w:fmt="numberInDash" w:start="1"/>
      <w:cols w:space="720" w:num="1"/>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8"/>
        <w:szCs w:val="28"/>
      </w:rPr>
    </w:pPr>
  </w:p>
  <w:p>
    <w:pPr>
      <w:pStyle w:val="8"/>
      <w:tabs>
        <w:tab w:val="left" w:pos="5484"/>
        <w:tab w:val="clear" w:pos="4153"/>
        <w:tab w:val="clear" w:pos="8306"/>
      </w:tabs>
    </w:pP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zYjUyZGIyZDI3YjQ3MzVhYTc4N2VkNTAwOThmMDcifQ=="/>
    <w:docVar w:name="KSO_WPS_MARK_KEY" w:val="0504b859-85fc-48ca-825e-878939a26ef7"/>
  </w:docVars>
  <w:rsids>
    <w:rsidRoot w:val="00000000"/>
    <w:rsid w:val="0087167F"/>
    <w:rsid w:val="00C44682"/>
    <w:rsid w:val="010745E4"/>
    <w:rsid w:val="029E162E"/>
    <w:rsid w:val="03977E2B"/>
    <w:rsid w:val="040E27E3"/>
    <w:rsid w:val="0410030A"/>
    <w:rsid w:val="042A2A2B"/>
    <w:rsid w:val="0526590B"/>
    <w:rsid w:val="06A905A2"/>
    <w:rsid w:val="07AD5E6F"/>
    <w:rsid w:val="08153599"/>
    <w:rsid w:val="089D7C92"/>
    <w:rsid w:val="08B671DF"/>
    <w:rsid w:val="09C474A0"/>
    <w:rsid w:val="0A0855DF"/>
    <w:rsid w:val="0A4837C0"/>
    <w:rsid w:val="0A8E01DA"/>
    <w:rsid w:val="0ABC66D8"/>
    <w:rsid w:val="0B6C2B40"/>
    <w:rsid w:val="0B9422E6"/>
    <w:rsid w:val="0BC155B2"/>
    <w:rsid w:val="0BF16E09"/>
    <w:rsid w:val="0C2D57D1"/>
    <w:rsid w:val="0CA041F5"/>
    <w:rsid w:val="0D6671EC"/>
    <w:rsid w:val="0DD426BC"/>
    <w:rsid w:val="0E11685A"/>
    <w:rsid w:val="0E990EFC"/>
    <w:rsid w:val="0EB21FBD"/>
    <w:rsid w:val="0F557518"/>
    <w:rsid w:val="0F916077"/>
    <w:rsid w:val="0FD541B5"/>
    <w:rsid w:val="10FC5772"/>
    <w:rsid w:val="115B2DE0"/>
    <w:rsid w:val="11AB0077"/>
    <w:rsid w:val="11BF6ECB"/>
    <w:rsid w:val="120E7A5C"/>
    <w:rsid w:val="12E45729"/>
    <w:rsid w:val="13410312"/>
    <w:rsid w:val="13DB70B0"/>
    <w:rsid w:val="148E02C6"/>
    <w:rsid w:val="14DE1B64"/>
    <w:rsid w:val="15095DCB"/>
    <w:rsid w:val="151A266A"/>
    <w:rsid w:val="153037FC"/>
    <w:rsid w:val="157A76D4"/>
    <w:rsid w:val="15E92769"/>
    <w:rsid w:val="15EC7D22"/>
    <w:rsid w:val="16492D73"/>
    <w:rsid w:val="16C136E5"/>
    <w:rsid w:val="16DD6CC3"/>
    <w:rsid w:val="174A5489"/>
    <w:rsid w:val="174D6D27"/>
    <w:rsid w:val="175E6D98"/>
    <w:rsid w:val="17E56F60"/>
    <w:rsid w:val="17F9280D"/>
    <w:rsid w:val="18B0756E"/>
    <w:rsid w:val="19001098"/>
    <w:rsid w:val="195070D3"/>
    <w:rsid w:val="196343A0"/>
    <w:rsid w:val="198F1879"/>
    <w:rsid w:val="19A414DD"/>
    <w:rsid w:val="1A2151BD"/>
    <w:rsid w:val="1A3E118F"/>
    <w:rsid w:val="1ACD08AB"/>
    <w:rsid w:val="1B035ED2"/>
    <w:rsid w:val="1B083691"/>
    <w:rsid w:val="1C4A2CE6"/>
    <w:rsid w:val="1C682DBC"/>
    <w:rsid w:val="1CD51C99"/>
    <w:rsid w:val="1D1125A5"/>
    <w:rsid w:val="1EA46E3F"/>
    <w:rsid w:val="1F2C36C6"/>
    <w:rsid w:val="1F9574BD"/>
    <w:rsid w:val="1FBC7140"/>
    <w:rsid w:val="223E208E"/>
    <w:rsid w:val="22986272"/>
    <w:rsid w:val="245925FC"/>
    <w:rsid w:val="24E43E99"/>
    <w:rsid w:val="25457290"/>
    <w:rsid w:val="26306192"/>
    <w:rsid w:val="26CD39E1"/>
    <w:rsid w:val="270C275B"/>
    <w:rsid w:val="282E04AF"/>
    <w:rsid w:val="28321D4D"/>
    <w:rsid w:val="290C6A42"/>
    <w:rsid w:val="29915199"/>
    <w:rsid w:val="2B8337CB"/>
    <w:rsid w:val="2C0734F1"/>
    <w:rsid w:val="2CC403B5"/>
    <w:rsid w:val="2CC72FAE"/>
    <w:rsid w:val="2CD94796"/>
    <w:rsid w:val="2E641BD7"/>
    <w:rsid w:val="2E8D23D3"/>
    <w:rsid w:val="2EC26644"/>
    <w:rsid w:val="2EE4E1E9"/>
    <w:rsid w:val="2F934E01"/>
    <w:rsid w:val="303625F7"/>
    <w:rsid w:val="30701B1A"/>
    <w:rsid w:val="31172428"/>
    <w:rsid w:val="31D273D2"/>
    <w:rsid w:val="320F75A3"/>
    <w:rsid w:val="323A58E7"/>
    <w:rsid w:val="323D1A1A"/>
    <w:rsid w:val="32564843"/>
    <w:rsid w:val="32593271"/>
    <w:rsid w:val="32D85BE7"/>
    <w:rsid w:val="331B58FD"/>
    <w:rsid w:val="3350577D"/>
    <w:rsid w:val="33884F17"/>
    <w:rsid w:val="33E365F1"/>
    <w:rsid w:val="343D03F7"/>
    <w:rsid w:val="343F6B4F"/>
    <w:rsid w:val="35304FF1"/>
    <w:rsid w:val="35F965A0"/>
    <w:rsid w:val="373B04F2"/>
    <w:rsid w:val="374101FF"/>
    <w:rsid w:val="37637985"/>
    <w:rsid w:val="379278E2"/>
    <w:rsid w:val="37D72911"/>
    <w:rsid w:val="37D83F93"/>
    <w:rsid w:val="388A5BFC"/>
    <w:rsid w:val="38BF6019"/>
    <w:rsid w:val="39180AEB"/>
    <w:rsid w:val="39D013C6"/>
    <w:rsid w:val="39E91D09"/>
    <w:rsid w:val="3AD4138A"/>
    <w:rsid w:val="3B092074"/>
    <w:rsid w:val="3C065968"/>
    <w:rsid w:val="3C720E5A"/>
    <w:rsid w:val="3CA32DC2"/>
    <w:rsid w:val="3CD770EF"/>
    <w:rsid w:val="3CDE204C"/>
    <w:rsid w:val="3CFC24D2"/>
    <w:rsid w:val="3D70539A"/>
    <w:rsid w:val="3E73490D"/>
    <w:rsid w:val="3EA70168"/>
    <w:rsid w:val="3F270877"/>
    <w:rsid w:val="3F3947F3"/>
    <w:rsid w:val="3FEC4A80"/>
    <w:rsid w:val="40541885"/>
    <w:rsid w:val="40814698"/>
    <w:rsid w:val="40F40090"/>
    <w:rsid w:val="40F57964"/>
    <w:rsid w:val="41555735"/>
    <w:rsid w:val="41BE41FA"/>
    <w:rsid w:val="41DD0B24"/>
    <w:rsid w:val="42177E0D"/>
    <w:rsid w:val="421A3B26"/>
    <w:rsid w:val="423E0495"/>
    <w:rsid w:val="42984A4B"/>
    <w:rsid w:val="42A87384"/>
    <w:rsid w:val="4340494B"/>
    <w:rsid w:val="441427F7"/>
    <w:rsid w:val="442D7C51"/>
    <w:rsid w:val="459736E0"/>
    <w:rsid w:val="45E12478"/>
    <w:rsid w:val="461B4024"/>
    <w:rsid w:val="461C2F2F"/>
    <w:rsid w:val="467C1644"/>
    <w:rsid w:val="47356D0C"/>
    <w:rsid w:val="47B75973"/>
    <w:rsid w:val="47D149F2"/>
    <w:rsid w:val="48B62409"/>
    <w:rsid w:val="48DB641D"/>
    <w:rsid w:val="499E3420"/>
    <w:rsid w:val="49E3549E"/>
    <w:rsid w:val="4A770C16"/>
    <w:rsid w:val="4A8F4985"/>
    <w:rsid w:val="4B895879"/>
    <w:rsid w:val="4B9F1B8C"/>
    <w:rsid w:val="4BF453E8"/>
    <w:rsid w:val="4CC20A8E"/>
    <w:rsid w:val="4D225F85"/>
    <w:rsid w:val="4E191136"/>
    <w:rsid w:val="4E1F24C4"/>
    <w:rsid w:val="4FA9473B"/>
    <w:rsid w:val="4FB54E8E"/>
    <w:rsid w:val="4FB861DA"/>
    <w:rsid w:val="502E1187"/>
    <w:rsid w:val="50A56CB1"/>
    <w:rsid w:val="50FD41F2"/>
    <w:rsid w:val="51125B99"/>
    <w:rsid w:val="511C0AFF"/>
    <w:rsid w:val="514A7858"/>
    <w:rsid w:val="52457769"/>
    <w:rsid w:val="537E1A3B"/>
    <w:rsid w:val="55436A98"/>
    <w:rsid w:val="558E30E2"/>
    <w:rsid w:val="55B63C57"/>
    <w:rsid w:val="562674D7"/>
    <w:rsid w:val="577D745D"/>
    <w:rsid w:val="581D7A74"/>
    <w:rsid w:val="58366D88"/>
    <w:rsid w:val="58550FBC"/>
    <w:rsid w:val="589870FB"/>
    <w:rsid w:val="58EC1C59"/>
    <w:rsid w:val="59941A1B"/>
    <w:rsid w:val="5ACC12DE"/>
    <w:rsid w:val="5B01367D"/>
    <w:rsid w:val="5B996054"/>
    <w:rsid w:val="5BDC37A3"/>
    <w:rsid w:val="5BFD51BD"/>
    <w:rsid w:val="5C0D1BAE"/>
    <w:rsid w:val="5C862449"/>
    <w:rsid w:val="5D5B1C5B"/>
    <w:rsid w:val="5DCE21D9"/>
    <w:rsid w:val="5EB241AB"/>
    <w:rsid w:val="5EDD61AF"/>
    <w:rsid w:val="5EF93C97"/>
    <w:rsid w:val="5F2E5FDF"/>
    <w:rsid w:val="5F444FB4"/>
    <w:rsid w:val="5F5024DD"/>
    <w:rsid w:val="5F7E34EF"/>
    <w:rsid w:val="60A9669C"/>
    <w:rsid w:val="611640E3"/>
    <w:rsid w:val="617454FA"/>
    <w:rsid w:val="62B677D8"/>
    <w:rsid w:val="630006A9"/>
    <w:rsid w:val="6300421A"/>
    <w:rsid w:val="63B559A6"/>
    <w:rsid w:val="63FF3D72"/>
    <w:rsid w:val="651D1D20"/>
    <w:rsid w:val="663B1FB8"/>
    <w:rsid w:val="665054B9"/>
    <w:rsid w:val="67650AF0"/>
    <w:rsid w:val="67BB4C0B"/>
    <w:rsid w:val="67DB0DB2"/>
    <w:rsid w:val="67E06114"/>
    <w:rsid w:val="684F3C7A"/>
    <w:rsid w:val="68975621"/>
    <w:rsid w:val="69074DC1"/>
    <w:rsid w:val="695E5F52"/>
    <w:rsid w:val="6A27181E"/>
    <w:rsid w:val="6A2B4273"/>
    <w:rsid w:val="6A6E23B2"/>
    <w:rsid w:val="6B0019A2"/>
    <w:rsid w:val="6B71128A"/>
    <w:rsid w:val="6B8A6D77"/>
    <w:rsid w:val="6BC609A6"/>
    <w:rsid w:val="6C661592"/>
    <w:rsid w:val="6CF7610F"/>
    <w:rsid w:val="6D145444"/>
    <w:rsid w:val="6DA71E62"/>
    <w:rsid w:val="6DD864C0"/>
    <w:rsid w:val="6E1B015A"/>
    <w:rsid w:val="6EB0796A"/>
    <w:rsid w:val="6F12155D"/>
    <w:rsid w:val="6F92269E"/>
    <w:rsid w:val="6FEE603A"/>
    <w:rsid w:val="6FFFB53C"/>
    <w:rsid w:val="70B8309D"/>
    <w:rsid w:val="70CD6084"/>
    <w:rsid w:val="71600CA6"/>
    <w:rsid w:val="721455EC"/>
    <w:rsid w:val="725262A7"/>
    <w:rsid w:val="728E0DB7"/>
    <w:rsid w:val="73102258"/>
    <w:rsid w:val="736B748E"/>
    <w:rsid w:val="741B5358"/>
    <w:rsid w:val="74343D24"/>
    <w:rsid w:val="7440116A"/>
    <w:rsid w:val="74F75AEF"/>
    <w:rsid w:val="75EB48B6"/>
    <w:rsid w:val="75FE4DC7"/>
    <w:rsid w:val="7614520D"/>
    <w:rsid w:val="76EB6C2F"/>
    <w:rsid w:val="772027E8"/>
    <w:rsid w:val="773D3837"/>
    <w:rsid w:val="775729BF"/>
    <w:rsid w:val="7764259A"/>
    <w:rsid w:val="776E2782"/>
    <w:rsid w:val="782B3690"/>
    <w:rsid w:val="78B20B05"/>
    <w:rsid w:val="78F041FE"/>
    <w:rsid w:val="7A392094"/>
    <w:rsid w:val="7A540C7C"/>
    <w:rsid w:val="7A6277AD"/>
    <w:rsid w:val="7A7D4063"/>
    <w:rsid w:val="7AB93293"/>
    <w:rsid w:val="7AC56465"/>
    <w:rsid w:val="7B5F08D5"/>
    <w:rsid w:val="7B5F3D7C"/>
    <w:rsid w:val="7B6672A0"/>
    <w:rsid w:val="7C00029F"/>
    <w:rsid w:val="7C2E5727"/>
    <w:rsid w:val="7CAA1027"/>
    <w:rsid w:val="7CCD4D16"/>
    <w:rsid w:val="7DE6834D"/>
    <w:rsid w:val="7E745D91"/>
    <w:rsid w:val="7EE724A7"/>
    <w:rsid w:val="7EF37DFA"/>
    <w:rsid w:val="7F4D372F"/>
    <w:rsid w:val="7FB761B1"/>
    <w:rsid w:val="7FE5DA33"/>
    <w:rsid w:val="8E1BC473"/>
    <w:rsid w:val="9FCA6F99"/>
    <w:rsid w:val="DEFF824C"/>
    <w:rsid w:val="F6D5C417"/>
    <w:rsid w:val="F7BD6C94"/>
    <w:rsid w:val="FDEEE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napToGrid w:val="0"/>
      <w:spacing w:line="640" w:lineRule="exact"/>
      <w:ind w:firstLine="705"/>
    </w:pPr>
    <w:rPr>
      <w:rFonts w:ascii="仿宋_GB2312" w:hAnsi="Times New Roman" w:eastAsia="仿宋_GB2312" w:cs="仿宋_GB2312"/>
      <w:color w:val="000000"/>
      <w:sz w:val="36"/>
      <w:szCs w:val="36"/>
    </w:rPr>
  </w:style>
  <w:style w:type="paragraph" w:styleId="4">
    <w:name w:val="toa heading"/>
    <w:basedOn w:val="1"/>
    <w:next w:val="1"/>
    <w:qFormat/>
    <w:uiPriority w:val="0"/>
    <w:pPr>
      <w:spacing w:before="120"/>
    </w:pPr>
    <w:rPr>
      <w:rFonts w:ascii="Arial" w:hAnsi="Arial"/>
      <w:sz w:val="24"/>
    </w:rPr>
  </w:style>
  <w:style w:type="paragraph" w:styleId="5">
    <w:name w:val="annotation text"/>
    <w:basedOn w:val="1"/>
    <w:qFormat/>
    <w:uiPriority w:val="0"/>
    <w:pPr>
      <w:jc w:val="left"/>
    </w:pPr>
  </w:style>
  <w:style w:type="paragraph" w:styleId="6">
    <w:name w:val="Body Text"/>
    <w:basedOn w:val="1"/>
    <w:next w:val="1"/>
    <w:qFormat/>
    <w:uiPriority w:val="1"/>
    <w:rPr>
      <w:rFonts w:ascii="仿宋" w:hAnsi="仿宋" w:eastAsia="仿宋" w:cs="仿宋"/>
      <w:sz w:val="32"/>
      <w:szCs w:val="32"/>
      <w:lang w:val="zh-CN" w:eastAsia="zh-CN" w:bidi="zh-CN"/>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6"/>
    <w:qFormat/>
    <w:uiPriority w:val="0"/>
    <w:pPr>
      <w:ind w:firstLine="420" w:firstLineChars="100"/>
    </w:pPr>
    <w:rPr>
      <w:rFonts w:ascii="Calibri" w:hAnsi="Calibri" w:eastAsia="宋体"/>
      <w:sz w:val="21"/>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Heading #2|1"/>
    <w:basedOn w:val="1"/>
    <w:qFormat/>
    <w:uiPriority w:val="0"/>
    <w:pPr>
      <w:spacing w:after="480" w:line="559" w:lineRule="exact"/>
      <w:ind w:left="140" w:firstLine="30"/>
      <w:jc w:val="center"/>
      <w:outlineLvl w:val="1"/>
    </w:pPr>
    <w:rPr>
      <w:rFonts w:ascii="宋体" w:hAnsi="宋体" w:eastAsia="宋体" w:cs="宋体"/>
      <w:sz w:val="44"/>
      <w:szCs w:val="44"/>
      <w:lang w:val="zh-TW" w:eastAsia="zh-TW" w:bidi="zh-TW"/>
    </w:rPr>
  </w:style>
  <w:style w:type="paragraph" w:customStyle="1" w:styleId="16">
    <w:name w:val="Heading #3|1"/>
    <w:basedOn w:val="1"/>
    <w:qFormat/>
    <w:uiPriority w:val="0"/>
    <w:pPr>
      <w:spacing w:after="200" w:line="599" w:lineRule="exact"/>
      <w:jc w:val="center"/>
      <w:outlineLvl w:val="2"/>
    </w:pPr>
    <w:rPr>
      <w:rFonts w:ascii="宋体" w:hAnsi="宋体" w:eastAsia="宋体" w:cs="宋体"/>
      <w:sz w:val="36"/>
      <w:szCs w:val="36"/>
      <w:lang w:val="zh-TW" w:eastAsia="zh-TW" w:bidi="zh-TW"/>
    </w:rPr>
  </w:style>
  <w:style w:type="paragraph" w:customStyle="1" w:styleId="17">
    <w:name w:val="Body text|1"/>
    <w:basedOn w:val="1"/>
    <w:qFormat/>
    <w:uiPriority w:val="0"/>
    <w:pPr>
      <w:spacing w:line="451" w:lineRule="auto"/>
      <w:ind w:firstLine="400"/>
    </w:pPr>
    <w:rPr>
      <w:rFonts w:ascii="宋体" w:hAnsi="宋体" w:eastAsia="宋体" w:cs="宋体"/>
      <w:sz w:val="28"/>
      <w:szCs w:val="28"/>
      <w:lang w:val="zh-TW" w:eastAsia="zh-TW" w:bidi="zh-TW"/>
    </w:rPr>
  </w:style>
  <w:style w:type="paragraph" w:customStyle="1" w:styleId="18">
    <w:name w:val="仿宋正文"/>
    <w:basedOn w:val="1"/>
    <w:qFormat/>
    <w:uiPriority w:val="0"/>
    <w:pPr>
      <w:suppressAutoHyphens/>
      <w:spacing w:line="600" w:lineRule="exact"/>
      <w:ind w:firstLine="420"/>
      <w:jc w:val="both"/>
    </w:pPr>
    <w:rPr>
      <w:rFonts w:ascii="Calibri" w:hAnsi="Calibri" w:eastAsia="方正仿宋简体" w:cs="宋体"/>
      <w:color w:val="auto"/>
      <w:kern w:val="2"/>
      <w:sz w:val="21"/>
      <w:szCs w:val="21"/>
      <w:lang w:eastAsia="zh-CN" w:bidi="ar-SA"/>
    </w:rPr>
  </w:style>
  <w:style w:type="paragraph" w:customStyle="1" w:styleId="19">
    <w:name w:val="正文格式"/>
    <w:basedOn w:val="1"/>
    <w:qFormat/>
    <w:uiPriority w:val="0"/>
    <w:pPr>
      <w:widowControl/>
      <w:adjustRightInd w:val="0"/>
      <w:snapToGrid w:val="0"/>
      <w:spacing w:line="400" w:lineRule="atLeast"/>
      <w:ind w:firstLine="482"/>
      <w:textAlignment w:val="baseline"/>
    </w:pPr>
    <w:rPr>
      <w:rFonts w:ascii="Times New Roman" w:hAnsi="Times New Roman"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7822</Words>
  <Characters>9231</Characters>
  <Lines>0</Lines>
  <Paragraphs>0</Paragraphs>
  <TotalTime>40</TotalTime>
  <ScaleCrop>false</ScaleCrop>
  <LinksUpToDate>false</LinksUpToDate>
  <CharactersWithSpaces>9412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2023-05-28T01:38:00Z</dcterms:created>
  <dc:creator>86150</dc:creator>
  <cp:lastModifiedBy>吴静</cp:lastModifiedBy>
  <cp:lastPrinted>2023-09-06T02:10:00Z</cp:lastPrinted>
  <dcterms:modified xsi:type="dcterms:W3CDTF">2024-01-09T01:27:38Z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EE7D5648BB0E4745A210573AD34B194A_12</vt:lpwstr>
  </property>
</Properties>
</file>