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17" w:afterLines="5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实施价格调整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医疗机构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083"/>
        <w:gridCol w:w="5097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136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分类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部属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中南大学湘雅医院</w:t>
            </w: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省医保局</w:t>
            </w:r>
          </w:p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实施</w:t>
            </w:r>
          </w:p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中南大学湘雅三医院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  <w:t>省属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湖南省人民医院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湖南省妇幼保健院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湖南省脑科医院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湖南省肿瘤医院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湖南省儿童医院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湖南省职业病防治医院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胸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科医院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湖南省康复医院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湖南中医药大学第一附属医院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湖南中医药大学第二附属医院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湖南中医药研究院附属医院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69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中国人民解放军联勤保障部队第九二一医院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97" w:type="dxa"/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中国人民武装警察部队湖南省总队医院</w:t>
            </w: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hd w:val="clear" w:color="auto" w:fil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F156A"/>
    <w:rsid w:val="0ED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2023-12-14T11:10:00Z</dcterms:created>
  <dc:creator>xjkp</dc:creator>
  <cp:lastModifiedBy>xjkp</cp:lastModifiedBy>
  <dcterms:modified xsi:type="dcterms:W3CDTF">2023-12-14T11:10:49Z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07F6289F51E17BF825727A6538C586B8</vt:lpwstr>
  </property>
</Properties>
</file>