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附件</w:t>
      </w:r>
      <w:r>
        <w:rPr>
          <w:rFonts w:ascii="Times New Roman" w:hAnsi="Times New Roman" w:eastAsia="方正黑体_GBK" w:cs="方正黑体_GBK"/>
          <w:sz w:val="32"/>
          <w:szCs w:val="32"/>
        </w:rPr>
        <w:t>5</w:t>
      </w:r>
    </w:p>
    <w:p>
      <w:pPr>
        <w:rPr>
          <w:rFonts w:ascii="Times New Roman" w:hAnsi="Times New Roman" w:eastAsia="宋体" w:cs="Times New Roman"/>
          <w:b/>
          <w:bCs/>
          <w:sz w:val="18"/>
          <w:szCs w:val="18"/>
        </w:rPr>
      </w:pPr>
    </w:p>
    <w:p>
      <w:pPr>
        <w:keepNext/>
        <w:keepLines/>
        <w:widowControl w:val="0"/>
        <w:numPr>
          <w:ilvl w:val="0"/>
          <w:numId w:val="0"/>
        </w:numPr>
        <w:tabs>
          <w:tab w:val="left" w:pos="0"/>
          <w:tab w:val="left" w:pos="432"/>
        </w:tabs>
        <w:spacing w:before="312" w:beforeLines="100" w:after="312" w:afterLines="100"/>
        <w:jc w:val="center"/>
        <w:outlineLvl w:val="1"/>
        <w:rPr>
          <w:rFonts w:hint="eastAsia" w:ascii="方正小标宋_GBK" w:hAnsi="方正小标宋_GBK" w:eastAsia="方正小标宋_GBK" w:cs="方正小标宋_GBK"/>
          <w:b w:val="0"/>
          <w:bCs/>
          <w:kern w:val="2"/>
          <w:sz w:val="44"/>
          <w:szCs w:val="44"/>
          <w:lang w:val="en-US" w:eastAsia="zh-CN" w:bidi="ar-SA"/>
        </w:rPr>
      </w:pPr>
      <w:r>
        <w:rPr>
          <w:rFonts w:hint="eastAsia" w:ascii="方正小标宋_GBK" w:hAnsi="方正小标宋_GBK" w:eastAsia="方正小标宋_GBK" w:cs="方正小标宋_GBK"/>
          <w:b w:val="0"/>
          <w:bCs/>
          <w:kern w:val="2"/>
          <w:sz w:val="44"/>
          <w:szCs w:val="44"/>
          <w:lang w:val="en-US" w:eastAsia="zh-CN" w:bidi="ar-SA"/>
        </w:rPr>
        <w:t>定点零售药店接入验收申请表</w:t>
      </w:r>
    </w:p>
    <w:p>
      <w:pPr>
        <w:spacing w:after="156" w:afterLines="50"/>
        <w:ind w:right="-788" w:rightChars="-375"/>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定点机构名称：</w:t>
      </w:r>
      <w:r>
        <w:rPr>
          <w:rFonts w:ascii="Times New Roman" w:hAnsi="Times New Roman" w:eastAsia="宋体" w:cs="Times New Roman"/>
          <w:sz w:val="24"/>
          <w:szCs w:val="24"/>
        </w:rPr>
        <w:t xml:space="preserve">_____________________________  </w:t>
      </w:r>
      <w:r>
        <w:rPr>
          <w:rFonts w:hint="eastAsia" w:ascii="Times New Roman" w:hAnsi="Times New Roman" w:eastAsia="宋体" w:cs="Times New Roman"/>
          <w:sz w:val="24"/>
          <w:szCs w:val="24"/>
        </w:rPr>
        <w:t>定点机构代码：</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18"/>
          <w:szCs w:val="18"/>
          <w:u w:val="single"/>
        </w:rPr>
        <w:t xml:space="preserve">说明：连锁药店后面附门店信息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时间：</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年</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_____</w:t>
      </w:r>
      <w:r>
        <w:rPr>
          <w:rFonts w:hint="eastAsia" w:ascii="Times New Roman" w:hAnsi="Times New Roman" w:eastAsia="宋体" w:cs="Times New Roman"/>
          <w:sz w:val="24"/>
          <w:szCs w:val="24"/>
        </w:rPr>
        <w:t>日</w:t>
      </w:r>
    </w:p>
    <w:tbl>
      <w:tblPr>
        <w:tblStyle w:val="9"/>
        <w:tblW w:w="14735" w:type="dxa"/>
        <w:tblInd w:w="-593" w:type="dxa"/>
        <w:tblLayout w:type="fixed"/>
        <w:tblCellMar>
          <w:top w:w="0" w:type="dxa"/>
          <w:left w:w="108" w:type="dxa"/>
          <w:bottom w:w="0" w:type="dxa"/>
          <w:right w:w="108" w:type="dxa"/>
        </w:tblCellMar>
      </w:tblPr>
      <w:tblGrid>
        <w:gridCol w:w="792"/>
        <w:gridCol w:w="1469"/>
        <w:gridCol w:w="2268"/>
        <w:gridCol w:w="4394"/>
        <w:gridCol w:w="1417"/>
        <w:gridCol w:w="1560"/>
        <w:gridCol w:w="1134"/>
        <w:gridCol w:w="1701"/>
      </w:tblGrid>
      <w:tr>
        <w:tblPrEx>
          <w:tblCellMar>
            <w:top w:w="0" w:type="dxa"/>
            <w:left w:w="108" w:type="dxa"/>
            <w:bottom w:w="0" w:type="dxa"/>
            <w:right w:w="108" w:type="dxa"/>
          </w:tblCellMar>
        </w:tblPrEx>
        <w:trPr>
          <w:trHeight w:val="565" w:hRule="atLeast"/>
        </w:trPr>
        <w:tc>
          <w:tcPr>
            <w:tcW w:w="792" w:type="dxa"/>
            <w:tcBorders>
              <w:top w:val="single" w:color="auto" w:sz="8" w:space="0"/>
              <w:left w:val="single" w:color="auto" w:sz="8" w:space="0"/>
              <w:bottom w:val="single" w:color="auto" w:sz="4" w:space="0"/>
              <w:right w:val="single" w:color="auto" w:sz="4" w:space="0"/>
            </w:tcBorders>
            <w:shd w:val="clear" w:color="auto" w:fill="EDEDED"/>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序号</w:t>
            </w:r>
          </w:p>
        </w:tc>
        <w:tc>
          <w:tcPr>
            <w:tcW w:w="1469" w:type="dxa"/>
            <w:tcBorders>
              <w:top w:val="single" w:color="auto" w:sz="8" w:space="0"/>
              <w:left w:val="nil"/>
              <w:right w:val="single" w:color="auto" w:sz="4" w:space="0"/>
            </w:tcBorders>
            <w:shd w:val="clear" w:color="auto" w:fill="EDEDED"/>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接入验收编号</w:t>
            </w:r>
          </w:p>
        </w:tc>
        <w:tc>
          <w:tcPr>
            <w:tcW w:w="2268" w:type="dxa"/>
            <w:tcBorders>
              <w:top w:val="single" w:color="auto" w:sz="8" w:space="0"/>
              <w:left w:val="nil"/>
              <w:right w:val="single" w:color="auto" w:sz="4" w:space="0"/>
            </w:tcBorders>
            <w:shd w:val="clear" w:color="auto" w:fill="EDEDED"/>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接入验收项</w:t>
            </w:r>
          </w:p>
        </w:tc>
        <w:tc>
          <w:tcPr>
            <w:tcW w:w="4394" w:type="dxa"/>
            <w:tcBorders>
              <w:top w:val="single" w:color="auto" w:sz="8" w:space="0"/>
              <w:left w:val="single" w:color="auto" w:sz="4" w:space="0"/>
              <w:bottom w:val="single" w:color="auto" w:sz="4" w:space="0"/>
              <w:right w:val="single" w:color="auto" w:sz="4" w:space="0"/>
            </w:tcBorders>
            <w:shd w:val="clear" w:color="auto" w:fill="EDEDED"/>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验收要求</w:t>
            </w:r>
          </w:p>
        </w:tc>
        <w:tc>
          <w:tcPr>
            <w:tcW w:w="1417" w:type="dxa"/>
            <w:tcBorders>
              <w:top w:val="single" w:color="auto" w:sz="8" w:space="0"/>
              <w:left w:val="single" w:color="auto" w:sz="4" w:space="0"/>
              <w:bottom w:val="single" w:color="auto" w:sz="4" w:space="0"/>
              <w:right w:val="single" w:color="auto" w:sz="4" w:space="0"/>
            </w:tcBorders>
            <w:shd w:val="clear" w:color="auto" w:fill="EDEDED"/>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状态</w:t>
            </w:r>
          </w:p>
        </w:tc>
        <w:tc>
          <w:tcPr>
            <w:tcW w:w="1560" w:type="dxa"/>
            <w:tcBorders>
              <w:top w:val="single" w:color="auto" w:sz="8" w:space="0"/>
              <w:left w:val="single" w:color="auto" w:sz="4" w:space="0"/>
              <w:bottom w:val="single" w:color="auto" w:sz="4" w:space="0"/>
              <w:right w:val="single" w:color="auto" w:sz="4" w:space="0"/>
            </w:tcBorders>
            <w:shd w:val="clear" w:color="auto" w:fill="EDEDED"/>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接入负责人及</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联系电话（必填）</w:t>
            </w:r>
          </w:p>
        </w:tc>
        <w:tc>
          <w:tcPr>
            <w:tcW w:w="1134" w:type="dxa"/>
            <w:tcBorders>
              <w:top w:val="single" w:color="auto" w:sz="8" w:space="0"/>
              <w:left w:val="single" w:color="auto" w:sz="4" w:space="0"/>
              <w:bottom w:val="single" w:color="auto" w:sz="4" w:space="0"/>
              <w:right w:val="single" w:color="auto" w:sz="4" w:space="0"/>
            </w:tcBorders>
            <w:shd w:val="clear" w:color="auto" w:fill="EDEDED"/>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验收确认人</w:t>
            </w:r>
          </w:p>
        </w:tc>
        <w:tc>
          <w:tcPr>
            <w:tcW w:w="1701" w:type="dxa"/>
            <w:tcBorders>
              <w:top w:val="single" w:color="auto" w:sz="8" w:space="0"/>
              <w:left w:val="single" w:color="auto" w:sz="4" w:space="0"/>
              <w:bottom w:val="single" w:color="auto" w:sz="4" w:space="0"/>
              <w:right w:val="single" w:color="auto" w:sz="4" w:space="0"/>
            </w:tcBorders>
            <w:shd w:val="clear" w:color="auto" w:fill="EDEDED"/>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宋体"/>
                <w:b/>
                <w:bCs/>
                <w:color w:val="000000"/>
                <w:kern w:val="0"/>
                <w:sz w:val="18"/>
                <w:szCs w:val="18"/>
              </w:rPr>
            </w:pPr>
            <w:r>
              <w:rPr>
                <w:rFonts w:hint="eastAsia" w:ascii="Times New Roman" w:hAnsi="Times New Roman" w:eastAsia="仿宋" w:cs="宋体"/>
                <w:b/>
                <w:bCs/>
                <w:color w:val="000000"/>
                <w:kern w:val="0"/>
                <w:sz w:val="18"/>
                <w:szCs w:val="18"/>
              </w:rPr>
              <w:t>情况反馈说明</w:t>
            </w:r>
          </w:p>
        </w:tc>
      </w:tr>
      <w:tr>
        <w:tblPrEx>
          <w:tblCellMar>
            <w:top w:w="0" w:type="dxa"/>
            <w:left w:w="108" w:type="dxa"/>
            <w:bottom w:w="0" w:type="dxa"/>
            <w:right w:w="108" w:type="dxa"/>
          </w:tblCellMar>
        </w:tblPrEx>
        <w:trPr>
          <w:trHeight w:val="288" w:hRule="atLeast"/>
        </w:trPr>
        <w:tc>
          <w:tcPr>
            <w:tcW w:w="792"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1</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w:t>
            </w:r>
            <w:r>
              <w:rPr>
                <w:rFonts w:ascii="Times New Roman" w:hAnsi="Times New Roman" w:eastAsia="仿宋" w:cs="仿宋"/>
                <w:sz w:val="18"/>
                <w:szCs w:val="18"/>
              </w:rPr>
              <w:t>01</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处方流转电子凭证应用</w:t>
            </w:r>
          </w:p>
        </w:tc>
        <w:tc>
          <w:tcPr>
            <w:tcW w:w="439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r>
              <w:rPr>
                <w:rFonts w:hint="eastAsia" w:ascii="Times New Roman" w:hAnsi="Times New Roman" w:eastAsia="仿宋" w:cs="仿宋"/>
                <w:sz w:val="18"/>
                <w:szCs w:val="18"/>
              </w:rPr>
              <w:t>患者因医保电子凭证未激活或医保电子凭证密码使用碰到问题时，能熟练的引导患者进行医保电子凭证激活和密码设置。</w:t>
            </w:r>
          </w:p>
        </w:tc>
        <w:tc>
          <w:tcPr>
            <w:tcW w:w="1417"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hint="eastAsia" w:ascii="Times New Roman" w:hAnsi="Times New Roman" w:eastAsia="仿宋" w:cs="仿宋"/>
                <w:sz w:val="18"/>
                <w:szCs w:val="18"/>
              </w:rPr>
              <w:t>通过/不通过（定点零售药店接入负责人填写）</w:t>
            </w:r>
          </w:p>
        </w:tc>
        <w:tc>
          <w:tcPr>
            <w:tcW w:w="1560"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hint="eastAsia" w:ascii="Times New Roman" w:hAnsi="Times New Roman" w:eastAsia="仿宋" w:cs="仿宋"/>
                <w:sz w:val="18"/>
                <w:szCs w:val="18"/>
              </w:rPr>
              <w:t>定点零售药店负责人及联系电话（问题反馈）</w:t>
            </w:r>
          </w:p>
        </w:tc>
        <w:tc>
          <w:tcPr>
            <w:tcW w:w="113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区县医保局相关信息负责人</w:t>
            </w:r>
            <w:r>
              <w:rPr>
                <w:rFonts w:hint="eastAsia" w:ascii="Times New Roman" w:hAnsi="Times New Roman" w:eastAsia="仿宋" w:cs="仿宋"/>
                <w:color w:val="000000"/>
                <w:sz w:val="18"/>
                <w:szCs w:val="18"/>
              </w:rPr>
              <w:t>（提交时须删除留空）</w:t>
            </w:r>
          </w:p>
        </w:tc>
        <w:tc>
          <w:tcPr>
            <w:tcW w:w="170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反馈表须盖定点零售药店机构章</w:t>
            </w:r>
          </w:p>
        </w:tc>
      </w:tr>
      <w:tr>
        <w:tblPrEx>
          <w:tblCellMar>
            <w:top w:w="0" w:type="dxa"/>
            <w:left w:w="108" w:type="dxa"/>
            <w:bottom w:w="0" w:type="dxa"/>
            <w:right w:w="108" w:type="dxa"/>
          </w:tblCellMar>
        </w:tblPrEx>
        <w:trPr>
          <w:trHeight w:val="288" w:hRule="atLeast"/>
        </w:trPr>
        <w:tc>
          <w:tcPr>
            <w:tcW w:w="792"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2</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-00</w:t>
            </w:r>
            <w:r>
              <w:rPr>
                <w:rFonts w:ascii="Times New Roman" w:hAnsi="Times New Roman" w:eastAsia="仿宋" w:cs="仿宋"/>
                <w:sz w:val="18"/>
                <w:szCs w:val="18"/>
              </w:rPr>
              <w:t>2</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医保信息业务编码标准</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定点零售药店机构代码、医保药品代码、医保审方药师代码等业务信息是否按国家医保新编码标准正确传输。</w:t>
            </w:r>
          </w:p>
        </w:tc>
        <w:tc>
          <w:tcPr>
            <w:tcW w:w="1417"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560"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13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3</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-00</w:t>
            </w:r>
            <w:r>
              <w:rPr>
                <w:rFonts w:ascii="Times New Roman" w:hAnsi="Times New Roman" w:eastAsia="仿宋" w:cs="仿宋"/>
                <w:sz w:val="18"/>
                <w:szCs w:val="18"/>
              </w:rPr>
              <w:t>3</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处方接入规范标准</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是否按医保电子处方中心技术规范，直接对接医保电子处方中心，不存在经过定点机构自身信息系统以外的系统进行中转、存储和业务中间处理参保人处方数据等情况，不存在将接入权限、密钥等信息授权或传递给定点机构自身信息系统以外的系统来调用的情况。</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4</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-00</w:t>
            </w:r>
            <w:r>
              <w:rPr>
                <w:rFonts w:ascii="Times New Roman" w:hAnsi="Times New Roman" w:eastAsia="仿宋" w:cs="仿宋"/>
                <w:sz w:val="18"/>
                <w:szCs w:val="18"/>
              </w:rPr>
              <w:t>4</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处方流转药品信息服务</w:t>
            </w:r>
          </w:p>
        </w:tc>
        <w:tc>
          <w:tcPr>
            <w:tcW w:w="4394"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能为医保公共服务渠道应用和医保公共服务用户，提供处方药品的在售信息查询的数据，确保</w:t>
            </w:r>
            <w:r>
              <w:rPr>
                <w:rFonts w:hint="eastAsia" w:ascii="Times New Roman" w:hAnsi="Times New Roman" w:eastAsia="仿宋" w:cs="宋体"/>
                <w:color w:val="000000"/>
                <w:kern w:val="0"/>
                <w:sz w:val="18"/>
                <w:szCs w:val="18"/>
              </w:rPr>
              <w:t>参保人</w:t>
            </w:r>
            <w:r>
              <w:rPr>
                <w:rFonts w:hint="eastAsia" w:ascii="Times New Roman" w:hAnsi="Times New Roman" w:eastAsia="仿宋" w:cs="仿宋"/>
                <w:sz w:val="18"/>
                <w:szCs w:val="18"/>
              </w:rPr>
              <w:t>能实时查询并自主选择合适的药店进行处方取药购药。</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r>
      <w:tr>
        <w:tblPrEx>
          <w:tblCellMar>
            <w:top w:w="0" w:type="dxa"/>
            <w:left w:w="108" w:type="dxa"/>
            <w:bottom w:w="0" w:type="dxa"/>
            <w:right w:w="108" w:type="dxa"/>
          </w:tblCellMar>
        </w:tblPrEx>
        <w:trPr>
          <w:trHeight w:val="288" w:hRule="atLeast"/>
        </w:trPr>
        <w:tc>
          <w:tcPr>
            <w:tcW w:w="792"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5</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-00</w:t>
            </w:r>
            <w:r>
              <w:rPr>
                <w:rFonts w:ascii="Times New Roman" w:hAnsi="Times New Roman" w:eastAsia="仿宋" w:cs="仿宋"/>
                <w:sz w:val="18"/>
                <w:szCs w:val="18"/>
              </w:rPr>
              <w:t>5</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处方授权身份安全验证</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1</w:t>
            </w:r>
            <w:r>
              <w:rPr>
                <w:rFonts w:ascii="Times New Roman" w:hAnsi="Times New Roman" w:eastAsia="仿宋" w:cs="仿宋"/>
                <w:sz w:val="18"/>
                <w:szCs w:val="18"/>
              </w:rPr>
              <w:t>.</w:t>
            </w:r>
            <w:r>
              <w:rPr>
                <w:rFonts w:hint="eastAsia" w:ascii="Times New Roman" w:hAnsi="Times New Roman" w:eastAsia="仿宋" w:cs="仿宋"/>
                <w:sz w:val="18"/>
                <w:szCs w:val="18"/>
              </w:rPr>
              <w:t>能正确顺畅的使用医保电子凭证、社保卡、身份证等身份介质，查询和下载经</w:t>
            </w:r>
            <w:r>
              <w:rPr>
                <w:rFonts w:hint="eastAsia" w:ascii="Times New Roman" w:hAnsi="Times New Roman" w:eastAsia="仿宋" w:cs="宋体"/>
                <w:color w:val="000000"/>
                <w:kern w:val="0"/>
                <w:sz w:val="18"/>
                <w:szCs w:val="18"/>
              </w:rPr>
              <w:t>参保人</w:t>
            </w:r>
            <w:r>
              <w:rPr>
                <w:rFonts w:hint="eastAsia" w:ascii="Times New Roman" w:hAnsi="Times New Roman" w:eastAsia="仿宋" w:cs="仿宋"/>
                <w:sz w:val="18"/>
                <w:szCs w:val="18"/>
              </w:rPr>
              <w:t>授权后的处方信息。</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ascii="Times New Roman" w:hAnsi="Times New Roman" w:eastAsia="仿宋" w:cs="仿宋"/>
                <w:sz w:val="18"/>
                <w:szCs w:val="18"/>
              </w:rPr>
              <w:t>2.</w:t>
            </w:r>
            <w:r>
              <w:rPr>
                <w:rFonts w:hint="eastAsia" w:ascii="Times New Roman" w:hAnsi="Times New Roman" w:eastAsia="仿宋" w:cs="仿宋"/>
                <w:sz w:val="18"/>
                <w:szCs w:val="18"/>
              </w:rPr>
              <w:t>使用社保卡、身份证进行处方流转授权时，能通过医保电子凭证密码进行身份确认。</w:t>
            </w:r>
          </w:p>
        </w:tc>
        <w:tc>
          <w:tcPr>
            <w:tcW w:w="1417"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560"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13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r>
      <w:tr>
        <w:tblPrEx>
          <w:tblCellMar>
            <w:top w:w="0" w:type="dxa"/>
            <w:left w:w="108" w:type="dxa"/>
            <w:bottom w:w="0" w:type="dxa"/>
            <w:right w:w="108" w:type="dxa"/>
          </w:tblCellMar>
        </w:tblPrEx>
        <w:trPr>
          <w:trHeight w:val="1323" w:hRule="atLeast"/>
        </w:trPr>
        <w:tc>
          <w:tcPr>
            <w:tcW w:w="792"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6</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-00</w:t>
            </w:r>
            <w:r>
              <w:rPr>
                <w:rFonts w:ascii="Times New Roman" w:hAnsi="Times New Roman" w:eastAsia="仿宋" w:cs="仿宋"/>
                <w:sz w:val="18"/>
                <w:szCs w:val="18"/>
              </w:rPr>
              <w:t>6</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医保药师在岗审方服务</w:t>
            </w:r>
          </w:p>
        </w:tc>
        <w:tc>
          <w:tcPr>
            <w:tcW w:w="43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1</w:t>
            </w:r>
            <w:r>
              <w:rPr>
                <w:rFonts w:ascii="Times New Roman" w:hAnsi="Times New Roman" w:eastAsia="仿宋" w:cs="仿宋"/>
                <w:sz w:val="18"/>
                <w:szCs w:val="18"/>
              </w:rPr>
              <w:t>.</w:t>
            </w:r>
            <w:r>
              <w:rPr>
                <w:rFonts w:hint="eastAsia" w:ascii="Times New Roman" w:hAnsi="Times New Roman" w:eastAsia="仿宋" w:cs="仿宋"/>
                <w:sz w:val="18"/>
                <w:szCs w:val="18"/>
              </w:rPr>
              <w:t>能确保医保审方药师在岗审方；</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ascii="Times New Roman" w:hAnsi="Times New Roman" w:eastAsia="仿宋" w:cs="仿宋"/>
                <w:sz w:val="18"/>
                <w:szCs w:val="18"/>
              </w:rPr>
              <w:t>2.</w:t>
            </w:r>
            <w:r>
              <w:rPr>
                <w:rFonts w:hint="eastAsia" w:ascii="Times New Roman" w:hAnsi="Times New Roman" w:eastAsia="仿宋" w:cs="仿宋"/>
                <w:sz w:val="18"/>
                <w:szCs w:val="18"/>
              </w:rPr>
              <w:t>按照技术规范要求，验证医保审方药师的医保电子凭证身份。</w:t>
            </w:r>
          </w:p>
        </w:tc>
        <w:tc>
          <w:tcPr>
            <w:tcW w:w="1417"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p>
        </w:tc>
        <w:tc>
          <w:tcPr>
            <w:tcW w:w="1560"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p>
        </w:tc>
        <w:tc>
          <w:tcPr>
            <w:tcW w:w="113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7</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-00</w:t>
            </w:r>
            <w:r>
              <w:rPr>
                <w:rFonts w:ascii="Times New Roman" w:hAnsi="Times New Roman" w:eastAsia="仿宋" w:cs="仿宋"/>
                <w:sz w:val="18"/>
                <w:szCs w:val="18"/>
              </w:rPr>
              <w:t>7</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处方审核规范性</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1</w:t>
            </w:r>
            <w:r>
              <w:rPr>
                <w:rFonts w:ascii="Times New Roman" w:hAnsi="Times New Roman" w:eastAsia="仿宋" w:cs="仿宋"/>
                <w:sz w:val="18"/>
                <w:szCs w:val="18"/>
              </w:rPr>
              <w:t>.</w:t>
            </w:r>
            <w:r>
              <w:rPr>
                <w:rFonts w:hint="eastAsia" w:ascii="Times New Roman" w:hAnsi="Times New Roman" w:eastAsia="仿宋" w:cs="仿宋"/>
                <w:sz w:val="18"/>
                <w:szCs w:val="18"/>
              </w:rPr>
              <w:t>药店药师审核处方时，须仔细核对展示的电子处方文件和电子处方信息项，按照相关主管部门的处方审核规范及政策要求，进行处方审核；</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ascii="Times New Roman" w:hAnsi="Times New Roman" w:eastAsia="仿宋" w:cs="仿宋"/>
                <w:sz w:val="18"/>
                <w:szCs w:val="18"/>
              </w:rPr>
              <w:t>2.</w:t>
            </w:r>
            <w:r>
              <w:rPr>
                <w:rFonts w:hint="eastAsia" w:ascii="Times New Roman" w:hAnsi="Times New Roman" w:eastAsia="仿宋" w:cs="仿宋"/>
                <w:sz w:val="18"/>
                <w:szCs w:val="18"/>
              </w:rPr>
              <w:t>药店药师处方审核时，能详实的填写审核意见和反馈，并上传至医保电子处方中心。</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8</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-00</w:t>
            </w:r>
            <w:r>
              <w:rPr>
                <w:rFonts w:ascii="Times New Roman" w:hAnsi="Times New Roman" w:eastAsia="仿宋" w:cs="仿宋"/>
                <w:sz w:val="18"/>
                <w:szCs w:val="18"/>
              </w:rPr>
              <w:t>8</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处方电子签名验真</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药店药师审核处方前，须对电子处方进行签名验签，验签通过的须弹出提示返回的签名证书及机构信息，若电子签名无效或证书吊销等情况，信息系统能正确处理和进行警示。</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9</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-00</w:t>
            </w:r>
            <w:r>
              <w:rPr>
                <w:rFonts w:ascii="Times New Roman" w:hAnsi="Times New Roman" w:eastAsia="仿宋" w:cs="仿宋"/>
                <w:sz w:val="18"/>
                <w:szCs w:val="18"/>
              </w:rPr>
              <w:t>9</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处方药品销售管理</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药店通过药品销售出库明细上传服务，能将药品实际销售信息上传至医保电子处方中心。</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10</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w:t>
            </w:r>
            <w:r>
              <w:rPr>
                <w:rFonts w:ascii="Times New Roman" w:hAnsi="Times New Roman" w:eastAsia="仿宋" w:cs="仿宋"/>
                <w:sz w:val="18"/>
                <w:szCs w:val="18"/>
              </w:rPr>
              <w:t>10</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处方结算和冲销业务</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r>
              <w:rPr>
                <w:rFonts w:ascii="Times New Roman" w:hAnsi="Times New Roman" w:eastAsia="仿宋" w:cs="仿宋"/>
                <w:sz w:val="18"/>
                <w:szCs w:val="18"/>
              </w:rPr>
              <w:t>1.</w:t>
            </w:r>
            <w:r>
              <w:rPr>
                <w:rFonts w:hint="eastAsia" w:ascii="Times New Roman" w:hAnsi="Times New Roman" w:eastAsia="仿宋" w:cs="宋体"/>
                <w:color w:val="000000"/>
                <w:kern w:val="0"/>
                <w:sz w:val="18"/>
                <w:szCs w:val="18"/>
              </w:rPr>
              <w:t>能严格的按照参保人的医保电子处方信息，对处方药品进行销售和医保结算，不存在私自套换医保药品、超量违规销售等行为。</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r>
              <w:rPr>
                <w:rFonts w:ascii="Times New Roman" w:hAnsi="Times New Roman" w:eastAsia="仿宋" w:cs="仿宋"/>
                <w:sz w:val="18"/>
                <w:szCs w:val="18"/>
              </w:rPr>
              <w:t>2.</w:t>
            </w:r>
            <w:r>
              <w:rPr>
                <w:rFonts w:hint="eastAsia" w:ascii="Times New Roman" w:hAnsi="Times New Roman" w:eastAsia="仿宋" w:cs="宋体"/>
                <w:color w:val="000000"/>
                <w:kern w:val="0"/>
                <w:sz w:val="18"/>
                <w:szCs w:val="18"/>
              </w:rPr>
              <w:t xml:space="preserve"> 参保人发生退款时，能正确的对已结算的处方发起医保结算冲销流程。</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r>
              <w:rPr>
                <w:rFonts w:ascii="Times New Roman" w:hAnsi="Times New Roman" w:eastAsia="仿宋" w:cs="仿宋"/>
                <w:sz w:val="18"/>
                <w:szCs w:val="18"/>
              </w:rPr>
              <w:t>3.</w:t>
            </w:r>
            <w:r>
              <w:rPr>
                <w:rFonts w:hint="eastAsia" w:ascii="Times New Roman" w:hAnsi="Times New Roman" w:eastAsia="仿宋" w:cs="宋体"/>
                <w:color w:val="000000"/>
                <w:kern w:val="0"/>
                <w:sz w:val="18"/>
                <w:szCs w:val="18"/>
              </w:rPr>
              <w:t>处方药品结算后，可为参保人提供发票等购药凭据，并可提供结算结果和报销政策解读。</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11</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w:t>
            </w:r>
            <w:r>
              <w:rPr>
                <w:rFonts w:ascii="Times New Roman" w:hAnsi="Times New Roman" w:eastAsia="仿宋" w:cs="仿宋"/>
                <w:sz w:val="18"/>
                <w:szCs w:val="18"/>
              </w:rPr>
              <w:t>11</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处方药品配送安全</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1</w:t>
            </w:r>
            <w:r>
              <w:rPr>
                <w:rFonts w:ascii="Times New Roman" w:hAnsi="Times New Roman" w:eastAsia="仿宋" w:cs="仿宋"/>
                <w:sz w:val="18"/>
                <w:szCs w:val="18"/>
              </w:rPr>
              <w:t>.</w:t>
            </w:r>
            <w:r>
              <w:rPr>
                <w:rFonts w:hint="eastAsia" w:ascii="Times New Roman" w:hAnsi="Times New Roman" w:eastAsia="仿宋" w:cs="仿宋"/>
                <w:sz w:val="18"/>
                <w:szCs w:val="18"/>
              </w:rPr>
              <w:t>开展配送业务时，能按照当地医保局对药品配送的管理要求，进行药品配送签收确认，确保药品配送安全及处方用药人身份一致性；</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ascii="Times New Roman" w:hAnsi="Times New Roman" w:eastAsia="仿宋" w:cs="仿宋"/>
                <w:sz w:val="18"/>
                <w:szCs w:val="18"/>
              </w:rPr>
              <w:t>2.</w:t>
            </w:r>
            <w:r>
              <w:rPr>
                <w:rFonts w:hint="eastAsia" w:ascii="Times New Roman" w:hAnsi="Times New Roman" w:eastAsia="仿宋" w:cs="仿宋"/>
                <w:sz w:val="18"/>
                <w:szCs w:val="18"/>
              </w:rPr>
              <w:t>对于有特殊配送要求的药品，如冷链等，具备相关配送资质，并按照相关主管部门的政策要求和规范进行管理.</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未开展配送业务时，可备注说明暂不验收</w:t>
            </w: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12</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w:t>
            </w:r>
            <w:r>
              <w:rPr>
                <w:rFonts w:ascii="Times New Roman" w:hAnsi="Times New Roman" w:eastAsia="仿宋" w:cs="仿宋"/>
                <w:sz w:val="18"/>
                <w:szCs w:val="18"/>
              </w:rPr>
              <w:t>12</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处方流转用药服务</w:t>
            </w:r>
          </w:p>
        </w:tc>
        <w:tc>
          <w:tcPr>
            <w:tcW w:w="43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r>
              <w:rPr>
                <w:rFonts w:hint="eastAsia" w:ascii="Times New Roman" w:hAnsi="Times New Roman" w:eastAsia="仿宋" w:cs="宋体"/>
                <w:color w:val="000000"/>
                <w:kern w:val="0"/>
                <w:sz w:val="18"/>
                <w:szCs w:val="18"/>
              </w:rPr>
              <w:t>处方药品结算后，能按医保电子处方信息，正确的为患者提供用药指导和安全服药说明等服务。</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r>
              <w:rPr>
                <w:rFonts w:hint="eastAsia" w:ascii="Times New Roman" w:hAnsi="Times New Roman" w:eastAsia="仿宋" w:cs="宋体"/>
                <w:color w:val="000000"/>
                <w:kern w:val="0"/>
                <w:sz w:val="18"/>
                <w:szCs w:val="18"/>
              </w:rPr>
              <w:t>药品有服药禁忌、注意事项等情况的、处方医嘱有特殊说明的，须明确告知参保人并提供用药指导和说明。</w:t>
            </w:r>
          </w:p>
        </w:tc>
      </w:tr>
      <w:tr>
        <w:tblPrEx>
          <w:tblCellMar>
            <w:top w:w="0" w:type="dxa"/>
            <w:left w:w="108" w:type="dxa"/>
            <w:bottom w:w="0" w:type="dxa"/>
            <w:right w:w="108" w:type="dxa"/>
          </w:tblCellMar>
        </w:tblPrEx>
        <w:trPr>
          <w:trHeight w:val="288"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仿宋" w:cs="仿宋"/>
                <w:sz w:val="18"/>
                <w:szCs w:val="18"/>
              </w:rPr>
            </w:pPr>
            <w:r>
              <w:rPr>
                <w:rFonts w:ascii="Times New Roman" w:hAnsi="Times New Roman" w:eastAsia="仿宋" w:cs="仿宋"/>
                <w:sz w:val="18"/>
                <w:szCs w:val="18"/>
              </w:rPr>
              <w:t>13</w:t>
            </w:r>
          </w:p>
        </w:tc>
        <w:tc>
          <w:tcPr>
            <w:tcW w:w="14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ST-EPC-0</w:t>
            </w:r>
            <w:r>
              <w:rPr>
                <w:rFonts w:ascii="Times New Roman" w:hAnsi="Times New Roman" w:eastAsia="仿宋" w:cs="仿宋"/>
                <w:sz w:val="18"/>
                <w:szCs w:val="18"/>
              </w:rPr>
              <w:t>2</w:t>
            </w:r>
            <w:r>
              <w:rPr>
                <w:rFonts w:hint="eastAsia" w:ascii="Times New Roman" w:hAnsi="Times New Roman" w:eastAsia="仿宋" w:cs="仿宋"/>
                <w:sz w:val="18"/>
                <w:szCs w:val="18"/>
              </w:rPr>
              <w:t>-0</w:t>
            </w:r>
            <w:r>
              <w:rPr>
                <w:rFonts w:ascii="Times New Roman" w:hAnsi="Times New Roman" w:eastAsia="仿宋" w:cs="仿宋"/>
                <w:sz w:val="18"/>
                <w:szCs w:val="18"/>
              </w:rPr>
              <w:t>13</w:t>
            </w:r>
          </w:p>
        </w:tc>
        <w:tc>
          <w:tcPr>
            <w:tcW w:w="2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处方流转互联网渠道应用</w:t>
            </w:r>
          </w:p>
        </w:tc>
        <w:tc>
          <w:tcPr>
            <w:tcW w:w="4394"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1</w:t>
            </w:r>
            <w:r>
              <w:rPr>
                <w:rFonts w:ascii="Times New Roman" w:hAnsi="Times New Roman" w:eastAsia="仿宋" w:cs="仿宋"/>
                <w:sz w:val="18"/>
                <w:szCs w:val="18"/>
              </w:rPr>
              <w:t>.</w:t>
            </w:r>
            <w:r>
              <w:rPr>
                <w:rFonts w:hint="eastAsia" w:ascii="Times New Roman" w:hAnsi="Times New Roman" w:eastAsia="仿宋" w:cs="仿宋"/>
                <w:sz w:val="18"/>
                <w:szCs w:val="18"/>
              </w:rPr>
              <w:t>是否按照医保电子凭证线上身份核验规范进行接入；</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2</w:t>
            </w:r>
            <w:r>
              <w:rPr>
                <w:rFonts w:ascii="Times New Roman" w:hAnsi="Times New Roman" w:eastAsia="仿宋" w:cs="仿宋"/>
                <w:sz w:val="18"/>
                <w:szCs w:val="18"/>
              </w:rPr>
              <w:t>.</w:t>
            </w:r>
            <w:r>
              <w:rPr>
                <w:rFonts w:hint="eastAsia" w:ascii="Times New Roman" w:hAnsi="Times New Roman" w:eastAsia="仿宋" w:cs="仿宋"/>
                <w:sz w:val="18"/>
                <w:szCs w:val="18"/>
              </w:rPr>
              <w:t>渠道应用须具备互联网药品信息服务资质；</w:t>
            </w:r>
          </w:p>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仿宋"/>
                <w:sz w:val="18"/>
                <w:szCs w:val="18"/>
              </w:rPr>
            </w:pPr>
            <w:r>
              <w:rPr>
                <w:rFonts w:hint="eastAsia" w:ascii="Times New Roman" w:hAnsi="Times New Roman" w:eastAsia="仿宋" w:cs="仿宋"/>
                <w:sz w:val="18"/>
                <w:szCs w:val="18"/>
              </w:rPr>
              <w:t>3</w:t>
            </w:r>
            <w:r>
              <w:rPr>
                <w:rFonts w:ascii="Times New Roman" w:hAnsi="Times New Roman" w:eastAsia="仿宋" w:cs="仿宋"/>
                <w:sz w:val="18"/>
                <w:szCs w:val="18"/>
              </w:rPr>
              <w:t>.</w:t>
            </w:r>
            <w:r>
              <w:rPr>
                <w:rFonts w:hint="eastAsia" w:ascii="Times New Roman" w:hAnsi="Times New Roman" w:eastAsia="仿宋" w:cs="仿宋"/>
                <w:sz w:val="18"/>
                <w:szCs w:val="18"/>
              </w:rPr>
              <w:t>是否按照医保电子处方中心技术规范及要求进行渠道应用服务接入。</w:t>
            </w:r>
          </w:p>
        </w:tc>
        <w:tc>
          <w:tcPr>
            <w:tcW w:w="1417"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560"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134"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p>
        </w:tc>
        <w:tc>
          <w:tcPr>
            <w:tcW w:w="1701"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仿宋" w:cs="宋体"/>
                <w:color w:val="000000"/>
                <w:kern w:val="0"/>
                <w:sz w:val="18"/>
                <w:szCs w:val="18"/>
              </w:rPr>
            </w:pPr>
            <w:r>
              <w:rPr>
                <w:rFonts w:hint="eastAsia" w:ascii="Times New Roman" w:hAnsi="Times New Roman" w:eastAsia="仿宋" w:cs="仿宋"/>
                <w:sz w:val="18"/>
                <w:szCs w:val="18"/>
              </w:rPr>
              <w:t>未申请和建设渠道应用时，可备注说明暂不验收</w:t>
            </w:r>
          </w:p>
        </w:tc>
      </w:tr>
    </w:tbl>
    <w:p>
      <w:pPr>
        <w:keepNext w:val="0"/>
        <w:keepLines w:val="0"/>
        <w:pageBreakBefore w:val="0"/>
        <w:kinsoku/>
        <w:wordWrap/>
        <w:overflowPunct/>
        <w:topLinePunct w:val="0"/>
        <w:autoSpaceDE/>
        <w:autoSpaceDN/>
        <w:bidi w:val="0"/>
        <w:adjustRightInd/>
        <w:snapToGrid w:val="0"/>
        <w:spacing w:line="360" w:lineRule="exact"/>
        <w:textAlignment w:val="auto"/>
        <w:rPr>
          <w:rFonts w:ascii="Times New Roman" w:hAnsi="Times New Roman" w:eastAsia="宋体" w:cs="Times New Roman"/>
          <w:sz w:val="21"/>
          <w:szCs w:val="24"/>
        </w:rPr>
      </w:pPr>
    </w:p>
    <w:p>
      <w:pPr>
        <w:rPr>
          <w:rFonts w:ascii="Times New Roman" w:hAnsi="Times New Roman" w:eastAsia="宋体" w:cs="Times New Roman"/>
          <w:sz w:val="21"/>
          <w:szCs w:val="24"/>
        </w:rPr>
      </w:pPr>
    </w:p>
    <w:p>
      <w:pPr>
        <w:rPr>
          <w:rFonts w:ascii="Times New Roman" w:hAnsi="Times New Roman" w:eastAsia="宋体" w:cs="Times New Roman"/>
          <w:sz w:val="21"/>
          <w:szCs w:val="24"/>
        </w:rPr>
      </w:pPr>
      <w:r>
        <w:rPr>
          <w:rFonts w:hint="eastAsia" w:ascii="Times New Roman" w:hAnsi="Times New Roman" w:eastAsia="方正黑体_GBK" w:cs="方正黑体_GBK"/>
          <w:sz w:val="32"/>
          <w:szCs w:val="32"/>
        </w:rPr>
        <w:t>附表</w:t>
      </w:r>
    </w:p>
    <w:tbl>
      <w:tblPr>
        <w:tblStyle w:val="9"/>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543"/>
        <w:gridCol w:w="2732"/>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jc w:val="center"/>
        </w:trPr>
        <w:tc>
          <w:tcPr>
            <w:tcW w:w="369" w:type="pct"/>
            <w:tcBorders>
              <w:tl2br w:val="nil"/>
              <w:tr2bl w:val="nil"/>
            </w:tcBorders>
            <w:shd w:val="clear" w:color="auto" w:fill="D9D9D9"/>
            <w:noWrap/>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序号</w:t>
            </w:r>
          </w:p>
        </w:tc>
        <w:tc>
          <w:tcPr>
            <w:tcW w:w="986" w:type="pct"/>
            <w:tcBorders>
              <w:tl2br w:val="nil"/>
              <w:tr2bl w:val="nil"/>
            </w:tcBorders>
            <w:shd w:val="clear" w:color="auto" w:fill="D9D9D9"/>
            <w:noWrap/>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门店定点机构名称</w:t>
            </w:r>
          </w:p>
        </w:tc>
        <w:tc>
          <w:tcPr>
            <w:tcW w:w="1059" w:type="pct"/>
            <w:tcBorders>
              <w:tl2br w:val="nil"/>
              <w:tr2bl w:val="nil"/>
            </w:tcBorders>
            <w:shd w:val="clear" w:color="auto" w:fill="D9D9D9"/>
            <w:noWrap/>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门店定点机构代码</w:t>
            </w:r>
          </w:p>
        </w:tc>
        <w:tc>
          <w:tcPr>
            <w:tcW w:w="2586" w:type="pct"/>
            <w:tcBorders>
              <w:tl2br w:val="nil"/>
              <w:tr2bl w:val="nil"/>
            </w:tcBorders>
            <w:shd w:val="clear" w:color="auto" w:fill="D9D9D9"/>
            <w:noWrap/>
            <w:vAlign w:val="center"/>
          </w:tcPr>
          <w:p>
            <w:pPr>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门店地址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69" w:type="pct"/>
            <w:tcBorders>
              <w:tl2br w:val="nil"/>
              <w:tr2bl w:val="nil"/>
            </w:tcBorders>
            <w:shd w:val="clear" w:color="auto" w:fill="auto"/>
            <w:noWrap/>
            <w:vAlign w:val="center"/>
          </w:tcPr>
          <w:p>
            <w:pPr>
              <w:jc w:val="center"/>
              <w:rPr>
                <w:rFonts w:ascii="Times New Roman" w:hAnsi="Times New Roman" w:eastAsia="宋体" w:cs="Calibri"/>
                <w:color w:val="000000"/>
                <w:sz w:val="18"/>
                <w:szCs w:val="18"/>
              </w:rPr>
            </w:pPr>
            <w:r>
              <w:rPr>
                <w:rFonts w:hint="eastAsia" w:ascii="Times New Roman" w:hAnsi="Times New Roman" w:eastAsia="宋体" w:cs="Times New Roman"/>
                <w:color w:val="000000"/>
                <w:sz w:val="18"/>
                <w:szCs w:val="18"/>
              </w:rPr>
              <w:t>1</w:t>
            </w:r>
          </w:p>
        </w:tc>
        <w:tc>
          <w:tcPr>
            <w:tcW w:w="986"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c>
          <w:tcPr>
            <w:tcW w:w="1059"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c>
          <w:tcPr>
            <w:tcW w:w="2586"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69" w:type="pct"/>
            <w:tcBorders>
              <w:tl2br w:val="nil"/>
              <w:tr2bl w:val="nil"/>
            </w:tcBorders>
            <w:shd w:val="clear" w:color="auto" w:fill="auto"/>
            <w:noWrap/>
            <w:vAlign w:val="center"/>
          </w:tcPr>
          <w:p>
            <w:pPr>
              <w:jc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2</w:t>
            </w:r>
          </w:p>
        </w:tc>
        <w:tc>
          <w:tcPr>
            <w:tcW w:w="986"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c>
          <w:tcPr>
            <w:tcW w:w="1059"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c>
          <w:tcPr>
            <w:tcW w:w="2586"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69" w:type="pct"/>
            <w:tcBorders>
              <w:tl2br w:val="nil"/>
              <w:tr2bl w:val="nil"/>
            </w:tcBorders>
            <w:shd w:val="clear" w:color="auto" w:fill="auto"/>
            <w:noWrap/>
            <w:vAlign w:val="center"/>
          </w:tcPr>
          <w:p>
            <w:pPr>
              <w:jc w:val="center"/>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3</w:t>
            </w:r>
          </w:p>
        </w:tc>
        <w:tc>
          <w:tcPr>
            <w:tcW w:w="986"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c>
          <w:tcPr>
            <w:tcW w:w="1059"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c>
          <w:tcPr>
            <w:tcW w:w="2586" w:type="pct"/>
            <w:tcBorders>
              <w:tl2br w:val="nil"/>
              <w:tr2bl w:val="nil"/>
            </w:tcBorders>
            <w:shd w:val="clear" w:color="auto" w:fill="auto"/>
            <w:noWrap/>
            <w:vAlign w:val="center"/>
          </w:tcPr>
          <w:p>
            <w:pPr>
              <w:jc w:val="center"/>
              <w:rPr>
                <w:rFonts w:ascii="Times New Roman" w:hAnsi="Times New Roman" w:eastAsia="宋体" w:cs="Times New Roman"/>
                <w:color w:val="000000"/>
                <w:sz w:val="18"/>
                <w:szCs w:val="18"/>
              </w:rPr>
            </w:pPr>
          </w:p>
        </w:tc>
      </w:tr>
    </w:tbl>
    <w:p>
      <w:pPr>
        <w:spacing w:line="240" w:lineRule="atLeast"/>
        <w:textAlignment w:val="baseline"/>
        <w:rPr>
          <w:rFonts w:ascii="Times New Roman" w:hAnsi="Times New Roman" w:eastAsia="方正小标宋_GBK" w:cs="方正小标宋_GBK"/>
          <w:vanish/>
          <w:sz w:val="36"/>
          <w:szCs w:val="36"/>
        </w:rPr>
        <w:sectPr>
          <w:pgSz w:w="16838" w:h="11906" w:orient="landscape"/>
          <w:pgMar w:top="1587" w:right="2098" w:bottom="1474" w:left="1984" w:header="851" w:footer="992" w:gutter="0"/>
          <w:pgNumType w:fmt="numberInDash"/>
          <w:cols w:space="0" w:num="1"/>
          <w:docGrid w:type="lines" w:linePitch="312" w:charSpace="0"/>
        </w:sectPr>
      </w:pPr>
    </w:p>
    <w:p>
      <w:pPr>
        <w:spacing w:line="240" w:lineRule="atLeast"/>
        <w:textAlignment w:val="baseline"/>
        <w:rPr>
          <w:rFonts w:ascii="Times New Roman" w:hAnsi="Times New Roman" w:eastAsia="方正小标宋_GBK" w:cs="方正小标宋_GBK"/>
          <w:vanish/>
          <w:sz w:val="36"/>
          <w:szCs w:val="36"/>
        </w:rPr>
        <w:sectPr>
          <w:pgSz w:w="11906" w:h="16838"/>
          <w:pgMar w:top="2098" w:right="1474" w:bottom="1984" w:left="1587" w:header="851" w:footer="992" w:gutter="0"/>
          <w:pgNumType w:fmt="numberInDash"/>
          <w:cols w:space="0" w:num="1"/>
          <w:docGrid w:type="lines" w:linePitch="312" w:charSpace="0"/>
        </w:sectPr>
      </w:pPr>
    </w:p>
    <w:p>
      <w:pPr>
        <w:spacing w:line="240" w:lineRule="atLeast"/>
        <w:textAlignment w:val="baseline"/>
        <w:rPr>
          <w:rFonts w:ascii="Times New Roman" w:hAnsi="Times New Roman" w:eastAsia="方正小标宋_GBK" w:cs="方正小标宋_GBK"/>
          <w:vanish/>
          <w:sz w:val="36"/>
          <w:szCs w:val="36"/>
        </w:rPr>
        <w:sectPr>
          <w:pgSz w:w="16838" w:h="11906" w:orient="landscape"/>
          <w:pgMar w:top="1587" w:right="2098" w:bottom="1474" w:left="1984" w:header="851" w:footer="992" w:gutter="0"/>
          <w:pgNumType w:fmt="numberInDash"/>
          <w:cols w:space="0" w:num="1"/>
          <w:docGrid w:type="lines" w:linePitch="312" w:charSpace="0"/>
        </w:sectPr>
      </w:pPr>
    </w:p>
    <w:p>
      <w:pPr>
        <w:rPr>
          <w:rFonts w:hint="eastAsia" w:ascii="Times New Roman" w:hAnsi="Times New Roman" w:eastAsia="方正黑体_GBK" w:cs="方正黑体_GBK"/>
          <w:sz w:val="32"/>
          <w:szCs w:val="32"/>
        </w:rPr>
      </w:pPr>
    </w:p>
    <w:p>
      <w:pPr>
        <w:rPr>
          <w:rFonts w:hint="eastAsia" w:ascii="Times New Roman" w:hAnsi="Times New Roman" w:eastAsia="方正黑体_GBK" w:cs="方正黑体_GBK"/>
          <w:sz w:val="32"/>
          <w:szCs w:val="32"/>
        </w:rPr>
      </w:pPr>
    </w:p>
    <w:p>
      <w:pPr>
        <w:rPr>
          <w:rFonts w:hint="eastAsia" w:ascii="Times New Roman" w:hAnsi="Times New Roman" w:eastAsia="方正黑体_GBK" w:cs="方正黑体_GBK"/>
          <w:sz w:val="32"/>
          <w:szCs w:val="32"/>
        </w:rPr>
      </w:pPr>
    </w:p>
    <w:p>
      <w:pPr>
        <w:rPr>
          <w:rFonts w:hint="eastAsia" w:ascii="Times New Roman" w:hAnsi="Times New Roman" w:eastAsia="方正黑体_GBK" w:cs="方正黑体_GBK"/>
          <w:sz w:val="32"/>
          <w:szCs w:val="32"/>
        </w:rPr>
      </w:pPr>
    </w:p>
    <w:p>
      <w:pPr>
        <w:rPr>
          <w:rFonts w:hint="eastAsia" w:ascii="Times New Roman" w:hAnsi="Times New Roman" w:eastAsia="方正黑体_GBK" w:cs="方正黑体_GBK"/>
          <w:sz w:val="32"/>
          <w:szCs w:val="32"/>
        </w:rPr>
      </w:pPr>
    </w:p>
    <w:p>
      <w:pPr>
        <w:rPr>
          <w:rFonts w:hint="eastAsia" w:ascii="Times New Roman" w:hAnsi="Times New Roman" w:eastAsia="方正黑体_GBK" w:cs="方正黑体_GBK"/>
          <w:sz w:val="32"/>
          <w:szCs w:val="32"/>
        </w:rPr>
      </w:pPr>
    </w:p>
    <w:p>
      <w:pPr>
        <w:rPr>
          <w:rFonts w:ascii="Times New Roman" w:hAnsi="Times New Roman" w:eastAsia="仿宋_GB2312" w:cs="Times New Roman"/>
          <w:vanish/>
          <w:sz w:val="32"/>
          <w:szCs w:val="32"/>
        </w:rPr>
      </w:pPr>
      <w:bookmarkStart w:id="1" w:name="_GoBack"/>
      <w:bookmarkEnd w:id="1"/>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bookmarkStart w:id="0" w:name="公章"/>
      <w:bookmarkEnd w:id="0"/>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ascii="Times New Roman" w:hAnsi="Times New Roman"/>
          <w:vanish/>
        </w:rPr>
      </w:pPr>
    </w:p>
    <w:sectPr>
      <w:footerReference r:id="rId3" w:type="default"/>
      <w:pgSz w:w="11906" w:h="16838"/>
      <w:pgMar w:top="2098" w:right="1474" w:bottom="1984" w:left="1587" w:header="850"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20"/>
        <w:szCs w:val="28"/>
        <w:lang w:val="en-US" w:eastAsia="zh-CN" w:bidi="ar-SA"/>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7768"/>
    <w:multiLevelType w:val="multilevel"/>
    <w:tmpl w:val="1BCE7768"/>
    <w:lvl w:ilvl="0" w:tentative="0">
      <w:start w:val="1"/>
      <w:numFmt w:val="decimal"/>
      <w:lvlText w:val="%1"/>
      <w:lvlJc w:val="left"/>
      <w:pPr>
        <w:tabs>
          <w:tab w:val="left" w:pos="432"/>
        </w:tabs>
        <w:ind w:left="0" w:firstLine="0"/>
      </w:pPr>
      <w:rPr>
        <w:rFonts w:hint="eastAsia"/>
        <w:color w:val="auto"/>
      </w:rPr>
    </w:lvl>
    <w:lvl w:ilvl="1" w:tentative="0">
      <w:start w:val="1"/>
      <w:numFmt w:val="decimal"/>
      <w:pStyle w:val="3"/>
      <w:lvlText w:val="%1.%2"/>
      <w:lvlJc w:val="left"/>
      <w:pPr>
        <w:tabs>
          <w:tab w:val="left" w:pos="432"/>
        </w:tabs>
        <w:ind w:left="0" w:firstLine="0"/>
      </w:pPr>
      <w:rPr>
        <w:rFonts w:cs="Times New Roman"/>
        <w:b w:val="0"/>
        <w:bCs w:val="0"/>
        <w:i w:val="0"/>
        <w:iCs w:val="0"/>
        <w:caps w:val="0"/>
        <w:smallCaps w:val="0"/>
        <w:strike w:val="0"/>
        <w:dstrike w:val="0"/>
        <w:vanish w:val="0"/>
        <w:spacing w:val="0"/>
        <w:position w:val="0"/>
        <w:u w:val="none"/>
        <w:vertAlign w:val="baseline"/>
      </w:rPr>
    </w:lvl>
    <w:lvl w:ilvl="2" w:tentative="0">
      <w:start w:val="1"/>
      <w:numFmt w:val="decimal"/>
      <w:pStyle w:val="4"/>
      <w:lvlText w:val="%1.%2.%3"/>
      <w:lvlJc w:val="left"/>
      <w:pPr>
        <w:tabs>
          <w:tab w:val="left" w:pos="432"/>
        </w:tabs>
        <w:ind w:left="0" w:firstLine="0"/>
      </w:pPr>
      <w:rPr>
        <w:rFonts w:hint="eastAsia"/>
      </w:rPr>
    </w:lvl>
    <w:lvl w:ilvl="3" w:tentative="0">
      <w:start w:val="1"/>
      <w:numFmt w:val="decimal"/>
      <w:lvlText w:val="%1.%2.%3.%4"/>
      <w:lvlJc w:val="left"/>
      <w:pPr>
        <w:tabs>
          <w:tab w:val="left" w:pos="432"/>
        </w:tabs>
        <w:ind w:left="0" w:firstLine="0"/>
      </w:pPr>
      <w:rPr>
        <w:rFonts w:hint="eastAsia"/>
      </w:rPr>
    </w:lvl>
    <w:lvl w:ilvl="4" w:tentative="0">
      <w:start w:val="1"/>
      <w:numFmt w:val="decimal"/>
      <w:lvlText w:val="%1.%2.%3.%4.%5"/>
      <w:lvlJc w:val="left"/>
      <w:pPr>
        <w:tabs>
          <w:tab w:val="left" w:pos="432"/>
        </w:tabs>
        <w:ind w:left="0" w:firstLine="0"/>
      </w:pPr>
      <w:rPr>
        <w:rFonts w:hint="eastAsia"/>
      </w:rPr>
    </w:lvl>
    <w:lvl w:ilvl="5" w:tentative="0">
      <w:start w:val="1"/>
      <w:numFmt w:val="decimal"/>
      <w:lvlText w:val="%1.%2.%3.%4.%5.%6"/>
      <w:lvlJc w:val="left"/>
      <w:pPr>
        <w:tabs>
          <w:tab w:val="left" w:pos="432"/>
        </w:tabs>
        <w:ind w:left="0" w:firstLine="0"/>
      </w:pPr>
      <w:rPr>
        <w:rFonts w:hint="eastAsia"/>
      </w:rPr>
    </w:lvl>
    <w:lvl w:ilvl="6" w:tentative="0">
      <w:start w:val="1"/>
      <w:numFmt w:val="decimal"/>
      <w:lvlText w:val="%1.%2.%3.%4.%5.%6.%7"/>
      <w:lvlJc w:val="left"/>
      <w:pPr>
        <w:tabs>
          <w:tab w:val="left" w:pos="432"/>
        </w:tabs>
        <w:ind w:left="0" w:firstLine="0"/>
      </w:pPr>
      <w:rPr>
        <w:rFonts w:hint="eastAsia"/>
      </w:rPr>
    </w:lvl>
    <w:lvl w:ilvl="7" w:tentative="0">
      <w:start w:val="1"/>
      <w:numFmt w:val="decimal"/>
      <w:lvlText w:val="%1.%2.%3.%4.%5.%6.%7.%8"/>
      <w:lvlJc w:val="left"/>
      <w:pPr>
        <w:tabs>
          <w:tab w:val="left" w:pos="432"/>
        </w:tabs>
        <w:ind w:left="0" w:firstLine="0"/>
      </w:pPr>
      <w:rPr>
        <w:rFonts w:hint="eastAsia"/>
      </w:rPr>
    </w:lvl>
    <w:lvl w:ilvl="8" w:tentative="0">
      <w:start w:val="1"/>
      <w:numFmt w:val="decimal"/>
      <w:lvlText w:val="%1.%2.%3.%4.%5.%6.%7.%8.%9"/>
      <w:lvlJc w:val="left"/>
      <w:pPr>
        <w:tabs>
          <w:tab w:val="left" w:pos="432"/>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YmU0NDJhODVlMWU0MDgxMWFjMDdkMmEyNGJmOGMifQ=="/>
  </w:docVars>
  <w:rsids>
    <w:rsidRoot w:val="00172A27"/>
    <w:rsid w:val="000317D8"/>
    <w:rsid w:val="00122843"/>
    <w:rsid w:val="00152A4D"/>
    <w:rsid w:val="00172A27"/>
    <w:rsid w:val="00182E00"/>
    <w:rsid w:val="002720CB"/>
    <w:rsid w:val="002A7DFE"/>
    <w:rsid w:val="00391736"/>
    <w:rsid w:val="004909A4"/>
    <w:rsid w:val="00534D15"/>
    <w:rsid w:val="0054201F"/>
    <w:rsid w:val="005822E6"/>
    <w:rsid w:val="005A2A4B"/>
    <w:rsid w:val="005B6712"/>
    <w:rsid w:val="005F34B5"/>
    <w:rsid w:val="006A3118"/>
    <w:rsid w:val="008A540B"/>
    <w:rsid w:val="008C2254"/>
    <w:rsid w:val="00903FC9"/>
    <w:rsid w:val="00A12F67"/>
    <w:rsid w:val="00A30619"/>
    <w:rsid w:val="00AD757E"/>
    <w:rsid w:val="00B12A7C"/>
    <w:rsid w:val="00B22769"/>
    <w:rsid w:val="00BF4C73"/>
    <w:rsid w:val="00D243E7"/>
    <w:rsid w:val="00FA5DB7"/>
    <w:rsid w:val="00FE47BD"/>
    <w:rsid w:val="01D54643"/>
    <w:rsid w:val="02BD4467"/>
    <w:rsid w:val="02C95F7F"/>
    <w:rsid w:val="032D4533"/>
    <w:rsid w:val="037D2B72"/>
    <w:rsid w:val="03BA68A2"/>
    <w:rsid w:val="03F22C8B"/>
    <w:rsid w:val="04210E57"/>
    <w:rsid w:val="054A06D7"/>
    <w:rsid w:val="056B77C2"/>
    <w:rsid w:val="05865387"/>
    <w:rsid w:val="059B5D2C"/>
    <w:rsid w:val="05DE7794"/>
    <w:rsid w:val="06C0230E"/>
    <w:rsid w:val="09307AB0"/>
    <w:rsid w:val="09B942D4"/>
    <w:rsid w:val="09F4639E"/>
    <w:rsid w:val="0A453C7B"/>
    <w:rsid w:val="0A8C6509"/>
    <w:rsid w:val="0B5D4C16"/>
    <w:rsid w:val="0BE3287A"/>
    <w:rsid w:val="0D3E62D5"/>
    <w:rsid w:val="0D6B035F"/>
    <w:rsid w:val="0D7A6D3C"/>
    <w:rsid w:val="0D881799"/>
    <w:rsid w:val="0E260D76"/>
    <w:rsid w:val="0E293D6E"/>
    <w:rsid w:val="10967DE9"/>
    <w:rsid w:val="118378BD"/>
    <w:rsid w:val="11F85D15"/>
    <w:rsid w:val="125B6C5A"/>
    <w:rsid w:val="129A1D89"/>
    <w:rsid w:val="1362782E"/>
    <w:rsid w:val="13892454"/>
    <w:rsid w:val="14C05911"/>
    <w:rsid w:val="14E630C9"/>
    <w:rsid w:val="15AC75B0"/>
    <w:rsid w:val="17770B02"/>
    <w:rsid w:val="17EE3C39"/>
    <w:rsid w:val="18986835"/>
    <w:rsid w:val="1A1F108F"/>
    <w:rsid w:val="1A3022CF"/>
    <w:rsid w:val="1A584CC0"/>
    <w:rsid w:val="1A8A7BCD"/>
    <w:rsid w:val="1AF165FE"/>
    <w:rsid w:val="1AF2016D"/>
    <w:rsid w:val="1C7A0F4E"/>
    <w:rsid w:val="1CDF6284"/>
    <w:rsid w:val="1D4F5C8D"/>
    <w:rsid w:val="1D8B05A9"/>
    <w:rsid w:val="1DDC1011"/>
    <w:rsid w:val="1EF21F2F"/>
    <w:rsid w:val="1EFA44D7"/>
    <w:rsid w:val="1F253E23"/>
    <w:rsid w:val="1F53304D"/>
    <w:rsid w:val="20041B2F"/>
    <w:rsid w:val="214C1158"/>
    <w:rsid w:val="217365F2"/>
    <w:rsid w:val="21BB3B27"/>
    <w:rsid w:val="22AF5390"/>
    <w:rsid w:val="235B2CCC"/>
    <w:rsid w:val="237B2A26"/>
    <w:rsid w:val="23F81D6B"/>
    <w:rsid w:val="242B1D01"/>
    <w:rsid w:val="24F95907"/>
    <w:rsid w:val="26875B58"/>
    <w:rsid w:val="26903161"/>
    <w:rsid w:val="284C44C1"/>
    <w:rsid w:val="28C55CB5"/>
    <w:rsid w:val="294457CA"/>
    <w:rsid w:val="2A364311"/>
    <w:rsid w:val="2A7B546B"/>
    <w:rsid w:val="2A9430CA"/>
    <w:rsid w:val="2AA44A58"/>
    <w:rsid w:val="2AB16E31"/>
    <w:rsid w:val="2AB72212"/>
    <w:rsid w:val="2AD410C5"/>
    <w:rsid w:val="2B266DD4"/>
    <w:rsid w:val="2B532EB7"/>
    <w:rsid w:val="2B642068"/>
    <w:rsid w:val="2B7937A9"/>
    <w:rsid w:val="2BC04357"/>
    <w:rsid w:val="2BFC342C"/>
    <w:rsid w:val="2DD2419B"/>
    <w:rsid w:val="2DE43F6E"/>
    <w:rsid w:val="2EB172D5"/>
    <w:rsid w:val="2F9B3407"/>
    <w:rsid w:val="2FA10F19"/>
    <w:rsid w:val="302467EC"/>
    <w:rsid w:val="30CB0694"/>
    <w:rsid w:val="317B4B59"/>
    <w:rsid w:val="31F50C3C"/>
    <w:rsid w:val="32EF3929"/>
    <w:rsid w:val="34157A51"/>
    <w:rsid w:val="34C22C7F"/>
    <w:rsid w:val="386B770D"/>
    <w:rsid w:val="387237BB"/>
    <w:rsid w:val="39056F43"/>
    <w:rsid w:val="397D76ED"/>
    <w:rsid w:val="398D4A17"/>
    <w:rsid w:val="3A176FF5"/>
    <w:rsid w:val="3A875485"/>
    <w:rsid w:val="3AC50E9C"/>
    <w:rsid w:val="3B6E080C"/>
    <w:rsid w:val="3C021A8C"/>
    <w:rsid w:val="3C0E7857"/>
    <w:rsid w:val="3CBC1403"/>
    <w:rsid w:val="3D003610"/>
    <w:rsid w:val="3D161887"/>
    <w:rsid w:val="3D5436E4"/>
    <w:rsid w:val="3D7D7AB7"/>
    <w:rsid w:val="3D8654C4"/>
    <w:rsid w:val="3D93538A"/>
    <w:rsid w:val="3DBB141B"/>
    <w:rsid w:val="3E2A46CB"/>
    <w:rsid w:val="3EC328F8"/>
    <w:rsid w:val="3EEE77BC"/>
    <w:rsid w:val="3EF27241"/>
    <w:rsid w:val="3F0E26CF"/>
    <w:rsid w:val="3F9F1B75"/>
    <w:rsid w:val="401D155C"/>
    <w:rsid w:val="41000F67"/>
    <w:rsid w:val="41D55520"/>
    <w:rsid w:val="41FE3FC3"/>
    <w:rsid w:val="43A75821"/>
    <w:rsid w:val="441A0E84"/>
    <w:rsid w:val="450B19A4"/>
    <w:rsid w:val="452125D6"/>
    <w:rsid w:val="457F7746"/>
    <w:rsid w:val="4629583F"/>
    <w:rsid w:val="46684FD0"/>
    <w:rsid w:val="499F4710"/>
    <w:rsid w:val="49F47A22"/>
    <w:rsid w:val="49F66B64"/>
    <w:rsid w:val="4A9F1B2A"/>
    <w:rsid w:val="4BBF2D4A"/>
    <w:rsid w:val="4C7E34E1"/>
    <w:rsid w:val="4CD314A1"/>
    <w:rsid w:val="4E1340A9"/>
    <w:rsid w:val="4E290E52"/>
    <w:rsid w:val="4E916209"/>
    <w:rsid w:val="4FB55FFB"/>
    <w:rsid w:val="4FBA0745"/>
    <w:rsid w:val="50137C28"/>
    <w:rsid w:val="50B769E4"/>
    <w:rsid w:val="51682211"/>
    <w:rsid w:val="52B21416"/>
    <w:rsid w:val="52B5209A"/>
    <w:rsid w:val="53C32D17"/>
    <w:rsid w:val="557B4484"/>
    <w:rsid w:val="55E55977"/>
    <w:rsid w:val="56027D15"/>
    <w:rsid w:val="56A435AA"/>
    <w:rsid w:val="57C85D49"/>
    <w:rsid w:val="584559A7"/>
    <w:rsid w:val="584779E0"/>
    <w:rsid w:val="58DF52B9"/>
    <w:rsid w:val="595C4E23"/>
    <w:rsid w:val="599C797C"/>
    <w:rsid w:val="59D70DF6"/>
    <w:rsid w:val="5A286221"/>
    <w:rsid w:val="5B032705"/>
    <w:rsid w:val="5BBF47F9"/>
    <w:rsid w:val="5DA07C71"/>
    <w:rsid w:val="5DE700A1"/>
    <w:rsid w:val="5FED28FE"/>
    <w:rsid w:val="600915E9"/>
    <w:rsid w:val="6175447D"/>
    <w:rsid w:val="617F2EE1"/>
    <w:rsid w:val="6193131A"/>
    <w:rsid w:val="62AC28BE"/>
    <w:rsid w:val="64830EEA"/>
    <w:rsid w:val="655D4042"/>
    <w:rsid w:val="65D53629"/>
    <w:rsid w:val="66106F19"/>
    <w:rsid w:val="66546751"/>
    <w:rsid w:val="6658752C"/>
    <w:rsid w:val="67713AA8"/>
    <w:rsid w:val="67862E78"/>
    <w:rsid w:val="678C1036"/>
    <w:rsid w:val="67BD74A0"/>
    <w:rsid w:val="67F21A05"/>
    <w:rsid w:val="685E5C6B"/>
    <w:rsid w:val="69D5399A"/>
    <w:rsid w:val="6AB760D3"/>
    <w:rsid w:val="6B4404BA"/>
    <w:rsid w:val="6E9A1B33"/>
    <w:rsid w:val="6EE455DB"/>
    <w:rsid w:val="6F756601"/>
    <w:rsid w:val="71605AEE"/>
    <w:rsid w:val="71A143C8"/>
    <w:rsid w:val="7243196D"/>
    <w:rsid w:val="729130E1"/>
    <w:rsid w:val="72E71B23"/>
    <w:rsid w:val="733E0012"/>
    <w:rsid w:val="73434868"/>
    <w:rsid w:val="7382704D"/>
    <w:rsid w:val="7419513C"/>
    <w:rsid w:val="750317B6"/>
    <w:rsid w:val="75B53160"/>
    <w:rsid w:val="76110EC5"/>
    <w:rsid w:val="766705D8"/>
    <w:rsid w:val="76B8698D"/>
    <w:rsid w:val="7779772A"/>
    <w:rsid w:val="785E6AE0"/>
    <w:rsid w:val="7867431D"/>
    <w:rsid w:val="786D5A56"/>
    <w:rsid w:val="79141F72"/>
    <w:rsid w:val="79621180"/>
    <w:rsid w:val="797E46DF"/>
    <w:rsid w:val="7A9028F3"/>
    <w:rsid w:val="7B7A5A81"/>
    <w:rsid w:val="7C594943"/>
    <w:rsid w:val="7D8B7E99"/>
    <w:rsid w:val="7E3E42C6"/>
    <w:rsid w:val="7E4A3D15"/>
    <w:rsid w:val="7F015BE1"/>
    <w:rsid w:val="7F671F16"/>
    <w:rsid w:val="7FDD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Lines="50" w:afterLines="50"/>
      <w:outlineLvl w:val="1"/>
    </w:pPr>
    <w:rPr>
      <w:rFonts w:ascii="黑体" w:hAnsi="黑体" w:eastAsia="黑体"/>
      <w:bCs/>
      <w:szCs w:val="32"/>
    </w:rPr>
  </w:style>
  <w:style w:type="paragraph" w:styleId="4">
    <w:name w:val="heading 3"/>
    <w:basedOn w:val="1"/>
    <w:next w:val="1"/>
    <w:qFormat/>
    <w:uiPriority w:val="0"/>
    <w:pPr>
      <w:keepNext/>
      <w:keepLines/>
      <w:numPr>
        <w:ilvl w:val="2"/>
        <w:numId w:val="1"/>
      </w:numPr>
      <w:tabs>
        <w:tab w:val="left" w:pos="720"/>
      </w:tabs>
      <w:spacing w:beforeLines="50" w:afterLines="50"/>
      <w:outlineLvl w:val="2"/>
    </w:pPr>
    <w:rPr>
      <w:rFonts w:ascii="黑体" w:hAnsi="黑体" w:eastAsia="黑体"/>
      <w:bCs/>
      <w:szCs w:val="32"/>
      <w:lang w:val="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3272"/>
    </w:pPr>
    <w:rPr>
      <w:rFonts w:ascii="宋体" w:hAnsi="宋体" w:eastAsia="宋体"/>
      <w:sz w:val="60"/>
      <w:szCs w:val="6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qFormat/>
    <w:uiPriority w:val="99"/>
    <w:rPr>
      <w:color w:val="0000FF"/>
      <w:u w:val="single"/>
    </w:rPr>
  </w:style>
  <w:style w:type="character" w:customStyle="1" w:styleId="13">
    <w:name w:val="font71"/>
    <w:basedOn w:val="10"/>
    <w:qFormat/>
    <w:uiPriority w:val="0"/>
    <w:rPr>
      <w:rFonts w:hint="default" w:ascii="方正小标宋简体" w:hAnsi="方正小标宋简体" w:eastAsia="方正小标宋简体" w:cs="方正小标宋简体"/>
      <w:color w:val="000000"/>
      <w:sz w:val="40"/>
      <w:szCs w:val="40"/>
      <w:u w:val="single"/>
    </w:rPr>
  </w:style>
  <w:style w:type="character" w:customStyle="1" w:styleId="14">
    <w:name w:val="font21"/>
    <w:basedOn w:val="10"/>
    <w:qFormat/>
    <w:uiPriority w:val="0"/>
    <w:rPr>
      <w:rFonts w:hint="default" w:ascii="方正小标宋简体" w:hAnsi="方正小标宋简体" w:eastAsia="方正小标宋简体" w:cs="方正小标宋简体"/>
      <w:color w:val="000000"/>
      <w:sz w:val="40"/>
      <w:szCs w:val="40"/>
      <w:u w:val="none"/>
    </w:rPr>
  </w:style>
  <w:style w:type="character" w:customStyle="1" w:styleId="15">
    <w:name w:val="font31"/>
    <w:basedOn w:val="10"/>
    <w:qFormat/>
    <w:uiPriority w:val="0"/>
    <w:rPr>
      <w:rFonts w:hint="eastAsia" w:ascii="方正仿宋_GBK" w:hAnsi="方正仿宋_GBK" w:eastAsia="方正仿宋_GBK" w:cs="方正仿宋_GBK"/>
      <w:b/>
      <w:bCs/>
      <w:color w:val="000000"/>
      <w:sz w:val="28"/>
      <w:szCs w:val="28"/>
      <w:u w:val="none"/>
    </w:rPr>
  </w:style>
  <w:style w:type="character" w:customStyle="1" w:styleId="16">
    <w:name w:val="font81"/>
    <w:basedOn w:val="10"/>
    <w:qFormat/>
    <w:uiPriority w:val="0"/>
    <w:rPr>
      <w:rFonts w:hint="eastAsia" w:ascii="方正仿宋_GBK" w:hAnsi="方正仿宋_GBK" w:eastAsia="方正仿宋_GBK" w:cs="方正仿宋_GBK"/>
      <w:b/>
      <w:bCs/>
      <w:color w:val="000000"/>
      <w:sz w:val="28"/>
      <w:szCs w:val="28"/>
      <w:u w:val="single"/>
    </w:rPr>
  </w:style>
  <w:style w:type="paragraph" w:styleId="17">
    <w:name w:val="List Paragraph"/>
    <w:basedOn w:val="1"/>
    <w:link w:val="22"/>
    <w:qFormat/>
    <w:uiPriority w:val="99"/>
    <w:pPr>
      <w:ind w:firstLine="200" w:firstLineChars="200"/>
    </w:pPr>
    <w:rPr>
      <w:rFonts w:ascii="宋体" w:hAnsi="宋体"/>
    </w:rPr>
  </w:style>
  <w:style w:type="paragraph" w:customStyle="1" w:styleId="18">
    <w:name w:val="列出段落1"/>
    <w:basedOn w:val="1"/>
    <w:qFormat/>
    <w:uiPriority w:val="34"/>
    <w:pPr>
      <w:ind w:firstLine="420"/>
    </w:pPr>
  </w:style>
  <w:style w:type="character" w:customStyle="1" w:styleId="19">
    <w:name w:val="font41"/>
    <w:basedOn w:val="10"/>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61"/>
    <w:basedOn w:val="10"/>
    <w:qFormat/>
    <w:uiPriority w:val="0"/>
    <w:rPr>
      <w:rFonts w:hint="eastAsia" w:ascii="方正仿宋_GBK" w:hAnsi="方正仿宋_GBK" w:eastAsia="方正仿宋_GBK" w:cs="方正仿宋_GBK"/>
      <w:color w:val="000000"/>
      <w:sz w:val="28"/>
      <w:szCs w:val="28"/>
      <w:u w:val="single"/>
    </w:r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列表段落 字符"/>
    <w:link w:val="17"/>
    <w:qFormat/>
    <w:uiPriority w:val="99"/>
    <w:rPr>
      <w:rFonts w:ascii="宋体" w:hAnsi="宋体" w:eastAsiaTheme="minorEastAsia" w:cstheme="minorBidi"/>
      <w:kern w:val="2"/>
      <w:sz w:val="21"/>
      <w:szCs w:val="24"/>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3637D-D739-4222-9A4C-FF22964ED74E}">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1271</Words>
  <Characters>7247</Characters>
  <Lines>60</Lines>
  <Paragraphs>17</Paragraphs>
  <TotalTime>0</TotalTime>
  <ScaleCrop>false</ScaleCrop>
  <LinksUpToDate>false</LinksUpToDate>
  <CharactersWithSpaces>8501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2023-10-31T03:28:00Z</dcterms:created>
  <dc:creator>PICC</dc:creator>
  <cp:lastModifiedBy>Administrator</cp:lastModifiedBy>
  <cp:lastPrinted>2023-11-23T02:47:00Z</cp:lastPrinted>
  <dcterms:modified xsi:type="dcterms:W3CDTF">2023-11-27T07:27:30Z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B49D9BF5397C49D4B521E3F9420A0569</vt:lpwstr>
  </property>
</Properties>
</file>