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B0F" w:rsidRPr="009F76C5" w:rsidRDefault="00EC1B0F" w:rsidP="00584D1C">
      <w:pPr>
        <w:snapToGrid w:val="0"/>
        <w:spacing w:beforeLines="50" w:before="156" w:afterLines="50" w:after="156" w:line="300" w:lineRule="auto"/>
        <w:rPr>
          <w:rFonts w:eastAsia="方正小标宋简体"/>
          <w:color w:val="000000" w:themeColor="text1"/>
          <w:sz w:val="24"/>
          <w:szCs w:val="21"/>
        </w:rPr>
      </w:pPr>
      <w:r w:rsidRPr="009F76C5">
        <w:rPr>
          <w:rFonts w:eastAsia="方正小标宋简体"/>
          <w:color w:val="000000" w:themeColor="text1"/>
          <w:sz w:val="24"/>
          <w:szCs w:val="21"/>
        </w:rPr>
        <w:t>附件</w:t>
      </w:r>
      <w:r w:rsidRPr="009F76C5">
        <w:rPr>
          <w:rFonts w:eastAsia="方正小标宋简体"/>
          <w:color w:val="000000" w:themeColor="text1"/>
          <w:sz w:val="24"/>
          <w:szCs w:val="21"/>
        </w:rPr>
        <w:t>1</w:t>
      </w:r>
      <w:r w:rsidR="00546B13">
        <w:rPr>
          <w:rFonts w:eastAsia="方正小标宋简体" w:hint="eastAsia"/>
          <w:color w:val="000000" w:themeColor="text1"/>
          <w:sz w:val="24"/>
          <w:szCs w:val="21"/>
        </w:rPr>
        <w:t>9</w:t>
      </w:r>
      <w:r w:rsidRPr="009F76C5">
        <w:rPr>
          <w:rFonts w:eastAsia="方正小标宋简体"/>
          <w:color w:val="000000" w:themeColor="text1"/>
          <w:sz w:val="24"/>
          <w:szCs w:val="21"/>
        </w:rPr>
        <w:t xml:space="preserve"> </w:t>
      </w:r>
    </w:p>
    <w:p w:rsidR="00EC1B0F" w:rsidRDefault="00EC1B0F" w:rsidP="00EC1B0F">
      <w:pPr>
        <w:snapToGrid w:val="0"/>
        <w:spacing w:beforeLines="50" w:before="156" w:afterLines="50" w:after="156" w:line="300" w:lineRule="auto"/>
        <w:jc w:val="center"/>
        <w:rPr>
          <w:rFonts w:ascii="黑体" w:eastAsia="黑体" w:hAnsi="黑体"/>
          <w:color w:val="000000" w:themeColor="text1"/>
          <w:sz w:val="32"/>
          <w:szCs w:val="32"/>
        </w:rPr>
      </w:pPr>
      <w:r w:rsidRPr="00EC1B0F">
        <w:rPr>
          <w:rFonts w:ascii="黑体" w:eastAsia="黑体" w:hAnsi="黑体" w:hint="eastAsia"/>
          <w:color w:val="000000" w:themeColor="text1"/>
          <w:sz w:val="32"/>
          <w:szCs w:val="32"/>
        </w:rPr>
        <w:t>化妆品原料及其产品毒理学试验样品前处理技术要求</w:t>
      </w:r>
    </w:p>
    <w:p w:rsidR="009F76C5" w:rsidRPr="009F76C5" w:rsidRDefault="009F76C5" w:rsidP="00EC1B0F">
      <w:pPr>
        <w:snapToGrid w:val="0"/>
        <w:spacing w:beforeLines="50" w:before="156" w:afterLines="50" w:after="156" w:line="300" w:lineRule="auto"/>
        <w:jc w:val="center"/>
        <w:rPr>
          <w:rFonts w:eastAsia="黑体"/>
          <w:color w:val="000000" w:themeColor="text1"/>
          <w:szCs w:val="21"/>
        </w:rPr>
      </w:pPr>
      <w:r w:rsidRPr="009F76C5">
        <w:rPr>
          <w:rFonts w:eastAsia="黑体"/>
          <w:color w:val="000000" w:themeColor="text1"/>
          <w:szCs w:val="21"/>
        </w:rPr>
        <w:t>Technical requirements for pretreatment of cosmetic materials and products in toxicological experiments</w:t>
      </w:r>
    </w:p>
    <w:p w:rsidR="003228A0" w:rsidRDefault="00493676" w:rsidP="00584D1C">
      <w:pPr>
        <w:snapToGrid w:val="0"/>
        <w:spacing w:beforeLines="50" w:before="156" w:afterLines="50" w:after="156" w:line="300" w:lineRule="auto"/>
        <w:rPr>
          <w:rFonts w:ascii="黑体" w:eastAsia="黑体" w:hAnsi="黑体"/>
          <w:color w:val="000000" w:themeColor="text1"/>
          <w:szCs w:val="21"/>
        </w:rPr>
      </w:pPr>
      <w:r>
        <w:rPr>
          <w:rFonts w:ascii="黑体" w:eastAsia="黑体" w:hAnsi="黑体" w:hint="eastAsia"/>
          <w:color w:val="000000" w:themeColor="text1"/>
          <w:szCs w:val="21"/>
        </w:rPr>
        <w:t>1 范围</w:t>
      </w:r>
    </w:p>
    <w:p w:rsidR="003228A0" w:rsidRDefault="00493676">
      <w:pPr>
        <w:snapToGrid w:val="0"/>
        <w:spacing w:line="300" w:lineRule="auto"/>
        <w:ind w:firstLineChars="200" w:firstLine="420"/>
        <w:rPr>
          <w:color w:val="000000" w:themeColor="text1"/>
          <w:szCs w:val="21"/>
        </w:rPr>
      </w:pPr>
      <w:r>
        <w:rPr>
          <w:color w:val="000000" w:themeColor="text1"/>
          <w:szCs w:val="21"/>
        </w:rPr>
        <w:t>本规范规定了毒理学试验样品前处理的基本原则、要求和方法。</w:t>
      </w:r>
    </w:p>
    <w:p w:rsidR="003228A0" w:rsidRDefault="00493676">
      <w:pPr>
        <w:snapToGrid w:val="0"/>
        <w:spacing w:line="300" w:lineRule="auto"/>
        <w:ind w:firstLineChars="200" w:firstLine="420"/>
        <w:rPr>
          <w:color w:val="000000" w:themeColor="text1"/>
          <w:szCs w:val="21"/>
        </w:rPr>
      </w:pPr>
      <w:r>
        <w:rPr>
          <w:color w:val="000000" w:themeColor="text1"/>
          <w:szCs w:val="21"/>
        </w:rPr>
        <w:t>本规范适用于化妆品原料及其产品的毒理学试验检测。</w:t>
      </w:r>
    </w:p>
    <w:p w:rsidR="003228A0" w:rsidRDefault="00493676" w:rsidP="00584D1C">
      <w:pPr>
        <w:snapToGrid w:val="0"/>
        <w:spacing w:beforeLines="50" w:before="156" w:afterLines="50" w:after="156" w:line="300" w:lineRule="auto"/>
        <w:rPr>
          <w:rFonts w:ascii="黑体" w:eastAsia="黑体" w:hAnsi="黑体"/>
          <w:color w:val="000000" w:themeColor="text1"/>
          <w:szCs w:val="21"/>
        </w:rPr>
      </w:pPr>
      <w:r>
        <w:rPr>
          <w:rFonts w:ascii="黑体" w:eastAsia="黑体" w:hAnsi="黑体"/>
          <w:color w:val="000000" w:themeColor="text1"/>
          <w:szCs w:val="21"/>
        </w:rPr>
        <w:t>2试验目的</w:t>
      </w:r>
    </w:p>
    <w:p w:rsidR="003228A0" w:rsidRDefault="00493676">
      <w:pPr>
        <w:snapToGrid w:val="0"/>
        <w:spacing w:line="300" w:lineRule="auto"/>
        <w:ind w:firstLineChars="200" w:firstLine="420"/>
        <w:rPr>
          <w:color w:val="000000" w:themeColor="text1"/>
          <w:szCs w:val="21"/>
        </w:rPr>
      </w:pPr>
      <w:r>
        <w:rPr>
          <w:color w:val="000000" w:themeColor="text1"/>
          <w:szCs w:val="21"/>
        </w:rPr>
        <w:t>在毒理学试验开始之前，首先应对样品进行前处理操作，通过样品前处理可以增加受试物与试验体系（包括实验动物、细胞、细菌等）的接触，增加样品吸收率，使样品性状更利于试验操作，保证毒理学试验的科学性和严谨性。</w:t>
      </w:r>
    </w:p>
    <w:p w:rsidR="003228A0" w:rsidRDefault="00493676" w:rsidP="00584D1C">
      <w:pPr>
        <w:snapToGrid w:val="0"/>
        <w:spacing w:beforeLines="50" w:before="156" w:afterLines="50" w:after="156" w:line="300" w:lineRule="auto"/>
        <w:rPr>
          <w:rFonts w:ascii="黑体" w:eastAsia="黑体" w:hAnsi="黑体"/>
          <w:color w:val="000000" w:themeColor="text1"/>
          <w:szCs w:val="21"/>
        </w:rPr>
      </w:pPr>
      <w:r>
        <w:rPr>
          <w:rFonts w:ascii="黑体" w:eastAsia="黑体" w:hAnsi="黑体"/>
          <w:color w:val="000000" w:themeColor="text1"/>
          <w:szCs w:val="21"/>
        </w:rPr>
        <w:t>3 定义</w:t>
      </w:r>
    </w:p>
    <w:p w:rsidR="003228A0" w:rsidRDefault="00493676" w:rsidP="00584D1C">
      <w:pPr>
        <w:snapToGrid w:val="0"/>
        <w:spacing w:beforeLines="50" w:before="156" w:afterLines="50" w:after="156" w:line="300" w:lineRule="auto"/>
        <w:rPr>
          <w:color w:val="000000" w:themeColor="text1"/>
          <w:szCs w:val="21"/>
        </w:rPr>
      </w:pPr>
      <w:r>
        <w:rPr>
          <w:color w:val="000000" w:themeColor="text1"/>
          <w:szCs w:val="21"/>
        </w:rPr>
        <w:t>3.1</w:t>
      </w:r>
      <w:r>
        <w:rPr>
          <w:color w:val="000000" w:themeColor="text1"/>
          <w:szCs w:val="21"/>
        </w:rPr>
        <w:t>前处理</w:t>
      </w:r>
    </w:p>
    <w:p w:rsidR="003228A0" w:rsidRDefault="00493676">
      <w:pPr>
        <w:snapToGrid w:val="0"/>
        <w:spacing w:line="300" w:lineRule="auto"/>
        <w:ind w:firstLineChars="200" w:firstLine="420"/>
        <w:rPr>
          <w:color w:val="000000" w:themeColor="text1"/>
          <w:szCs w:val="21"/>
        </w:rPr>
      </w:pPr>
      <w:r>
        <w:rPr>
          <w:color w:val="000000" w:themeColor="text1"/>
          <w:szCs w:val="21"/>
        </w:rPr>
        <w:t>指在毒理学试验开始前，对受试样品进行溶解、研磨、混匀、赋形、剂量分组、合理保存等一系列的准备性操作。</w:t>
      </w:r>
    </w:p>
    <w:p w:rsidR="003228A0" w:rsidRDefault="00493676">
      <w:pPr>
        <w:snapToGrid w:val="0"/>
        <w:spacing w:beforeLines="50" w:before="156" w:afterLines="50" w:after="156" w:line="300" w:lineRule="auto"/>
        <w:rPr>
          <w:color w:val="000000" w:themeColor="text1"/>
          <w:szCs w:val="21"/>
        </w:rPr>
      </w:pPr>
      <w:r>
        <w:rPr>
          <w:color w:val="000000" w:themeColor="text1"/>
          <w:szCs w:val="21"/>
        </w:rPr>
        <w:t>3.2</w:t>
      </w:r>
      <w:r>
        <w:rPr>
          <w:color w:val="000000" w:themeColor="text1"/>
          <w:szCs w:val="21"/>
        </w:rPr>
        <w:t>溶剂</w:t>
      </w:r>
    </w:p>
    <w:p w:rsidR="003228A0" w:rsidRDefault="00493676">
      <w:pPr>
        <w:snapToGrid w:val="0"/>
        <w:spacing w:line="300" w:lineRule="auto"/>
        <w:ind w:firstLineChars="200" w:firstLine="420"/>
        <w:rPr>
          <w:color w:val="000000" w:themeColor="text1"/>
          <w:szCs w:val="21"/>
        </w:rPr>
      </w:pPr>
      <w:r>
        <w:rPr>
          <w:color w:val="000000" w:themeColor="text1"/>
          <w:szCs w:val="21"/>
        </w:rPr>
        <w:t>能</w:t>
      </w:r>
      <w:proofErr w:type="gramStart"/>
      <w:r>
        <w:rPr>
          <w:color w:val="000000" w:themeColor="text1"/>
          <w:szCs w:val="21"/>
        </w:rPr>
        <w:t>溶解受</w:t>
      </w:r>
      <w:proofErr w:type="gramEnd"/>
      <w:r>
        <w:rPr>
          <w:color w:val="000000" w:themeColor="text1"/>
          <w:szCs w:val="21"/>
        </w:rPr>
        <w:t>试样品成为均匀混合物的一种介质，可使受试物更好地进入试验体系，也称作溶媒。可分为有无机溶剂和有机溶剂，其中最常用的溶剂为蒸馏水，常见的有机溶剂有玉米油、</w:t>
      </w:r>
      <w:r>
        <w:rPr>
          <w:color w:val="000000" w:themeColor="text1"/>
          <w:szCs w:val="21"/>
        </w:rPr>
        <w:t>DMSO</w:t>
      </w:r>
      <w:r>
        <w:rPr>
          <w:color w:val="000000" w:themeColor="text1"/>
          <w:szCs w:val="21"/>
        </w:rPr>
        <w:t>、甘油等。</w:t>
      </w:r>
    </w:p>
    <w:p w:rsidR="003228A0" w:rsidRPr="00584D1C" w:rsidRDefault="00493676" w:rsidP="00584D1C">
      <w:pPr>
        <w:snapToGrid w:val="0"/>
        <w:spacing w:beforeLines="50" w:before="156" w:afterLines="50" w:after="156" w:line="300" w:lineRule="auto"/>
        <w:rPr>
          <w:rFonts w:ascii="黑体" w:eastAsia="黑体" w:hAnsi="黑体"/>
          <w:color w:val="000000" w:themeColor="text1"/>
          <w:szCs w:val="21"/>
        </w:rPr>
      </w:pPr>
      <w:r>
        <w:rPr>
          <w:rFonts w:ascii="黑体" w:eastAsia="黑体" w:hAnsi="黑体"/>
          <w:color w:val="000000" w:themeColor="text1"/>
          <w:szCs w:val="21"/>
        </w:rPr>
        <w:t>4 前处理的基本原则</w:t>
      </w:r>
    </w:p>
    <w:p w:rsidR="003228A0" w:rsidRDefault="00493676">
      <w:pPr>
        <w:snapToGrid w:val="0"/>
        <w:spacing w:line="300" w:lineRule="auto"/>
        <w:ind w:firstLineChars="200" w:firstLine="420"/>
        <w:rPr>
          <w:rFonts w:eastAsia="仿宋_GB2312"/>
          <w:color w:val="000000" w:themeColor="text1"/>
          <w:sz w:val="24"/>
        </w:rPr>
      </w:pPr>
      <w:r>
        <w:rPr>
          <w:color w:val="000000" w:themeColor="text1"/>
          <w:szCs w:val="21"/>
        </w:rPr>
        <w:t>化妆品原料及其产品的前处理方式需要综合考虑样品的理化性质和毒理学试验方案。对于化妆品原料而言，应根据受试物的理化特性和染毒方式确定前处理方法。对于化妆品产品而言，则主要考虑化妆品产品的物理性状和实际应用中的使用方法。</w:t>
      </w:r>
      <w:r>
        <w:rPr>
          <w:rFonts w:hint="eastAsia"/>
          <w:color w:val="000000" w:themeColor="text1"/>
          <w:szCs w:val="21"/>
        </w:rPr>
        <w:t>稀释</w:t>
      </w:r>
      <w:r>
        <w:rPr>
          <w:color w:val="000000" w:themeColor="text1"/>
          <w:szCs w:val="21"/>
        </w:rPr>
        <w:t>产品的前处理应保证最终</w:t>
      </w:r>
      <w:proofErr w:type="gramStart"/>
      <w:r>
        <w:rPr>
          <w:color w:val="000000" w:themeColor="text1"/>
          <w:szCs w:val="21"/>
        </w:rPr>
        <w:t>供试品浓度</w:t>
      </w:r>
      <w:proofErr w:type="gramEnd"/>
      <w:r>
        <w:rPr>
          <w:color w:val="000000" w:themeColor="text1"/>
          <w:szCs w:val="21"/>
        </w:rPr>
        <w:t>不低于实际使用浓度。</w:t>
      </w:r>
    </w:p>
    <w:p w:rsidR="003228A0" w:rsidRPr="00584D1C" w:rsidRDefault="00493676">
      <w:pPr>
        <w:snapToGrid w:val="0"/>
        <w:spacing w:beforeLines="50" w:before="156" w:afterLines="50" w:after="156" w:line="300" w:lineRule="auto"/>
        <w:rPr>
          <w:rFonts w:ascii="黑体" w:eastAsia="黑体" w:hAnsi="黑体"/>
          <w:color w:val="000000" w:themeColor="text1"/>
          <w:szCs w:val="21"/>
        </w:rPr>
      </w:pPr>
      <w:r w:rsidRPr="00584D1C">
        <w:rPr>
          <w:rFonts w:ascii="黑体" w:eastAsia="黑体" w:hAnsi="黑体"/>
          <w:color w:val="000000" w:themeColor="text1"/>
          <w:szCs w:val="21"/>
        </w:rPr>
        <w:t>5 前处理方法</w:t>
      </w:r>
    </w:p>
    <w:p w:rsidR="003228A0" w:rsidRDefault="00493676">
      <w:pPr>
        <w:snapToGrid w:val="0"/>
        <w:spacing w:line="300" w:lineRule="auto"/>
        <w:ind w:firstLineChars="200" w:firstLine="420"/>
        <w:rPr>
          <w:color w:val="000000" w:themeColor="text1"/>
          <w:szCs w:val="21"/>
        </w:rPr>
      </w:pPr>
      <w:r>
        <w:rPr>
          <w:color w:val="000000" w:themeColor="text1"/>
          <w:szCs w:val="21"/>
        </w:rPr>
        <w:t>根据毒理学试验的要求，需进行前处理（如去除已知干扰性成分、多剂量）的受试物，应提供处理方法、组成成分及比例，并提供相应的资料。受试物的处理不能改变其原有的毒理学性质。受试物进行不同试验时，应结合毒理学试验项目的染毒方式和受试物的理化性质进行相应的前处理工作。</w:t>
      </w:r>
    </w:p>
    <w:p w:rsidR="003228A0" w:rsidRDefault="00493676">
      <w:pPr>
        <w:snapToGrid w:val="0"/>
        <w:spacing w:beforeLines="50" w:before="156" w:afterLines="50" w:after="156" w:line="300" w:lineRule="auto"/>
        <w:rPr>
          <w:color w:val="000000" w:themeColor="text1"/>
          <w:szCs w:val="21"/>
        </w:rPr>
      </w:pPr>
      <w:r>
        <w:rPr>
          <w:rFonts w:hint="eastAsia"/>
          <w:color w:val="000000" w:themeColor="text1"/>
          <w:szCs w:val="21"/>
        </w:rPr>
        <w:t>5.1</w:t>
      </w:r>
      <w:r>
        <w:rPr>
          <w:color w:val="000000" w:themeColor="text1"/>
          <w:szCs w:val="21"/>
        </w:rPr>
        <w:t xml:space="preserve"> </w:t>
      </w:r>
      <w:r>
        <w:rPr>
          <w:color w:val="000000" w:themeColor="text1"/>
          <w:szCs w:val="21"/>
        </w:rPr>
        <w:t>溶剂的选择</w:t>
      </w:r>
    </w:p>
    <w:p w:rsidR="003228A0" w:rsidRDefault="00493676">
      <w:pPr>
        <w:widowControl/>
        <w:snapToGrid w:val="0"/>
        <w:spacing w:line="300" w:lineRule="auto"/>
        <w:ind w:firstLineChars="200" w:firstLine="420"/>
        <w:jc w:val="left"/>
        <w:rPr>
          <w:rFonts w:eastAsia="仿宋_GB2312"/>
          <w:color w:val="000000" w:themeColor="text1"/>
          <w:sz w:val="24"/>
        </w:rPr>
      </w:pPr>
      <w:r>
        <w:rPr>
          <w:color w:val="000000" w:themeColor="text1"/>
          <w:szCs w:val="21"/>
        </w:rPr>
        <w:lastRenderedPageBreak/>
        <w:t>化妆品原料及其产品的前处理应不改变样品的毒理学性质。多组分化妆品在前处理时，要遵循现用现配的操作规范。当样品需要溶解时，应注意溶剂的选择，以保证样品充分溶解或混悬。</w:t>
      </w:r>
    </w:p>
    <w:p w:rsidR="003228A0" w:rsidRDefault="00493676">
      <w:pPr>
        <w:widowControl/>
        <w:snapToGrid w:val="0"/>
        <w:spacing w:line="300" w:lineRule="auto"/>
        <w:ind w:firstLineChars="200" w:firstLine="420"/>
        <w:jc w:val="left"/>
        <w:rPr>
          <w:color w:val="000000" w:themeColor="text1"/>
          <w:szCs w:val="21"/>
        </w:rPr>
      </w:pPr>
      <w:r>
        <w:rPr>
          <w:color w:val="000000" w:themeColor="text1"/>
          <w:szCs w:val="21"/>
        </w:rPr>
        <w:t>溶剂的选择应充分了解其毒理特性。溶剂应无特殊刺激性或气味，本身应不产生毒性作用，与受试物各成分之间不发生化学反应，且保持其稳定性，如使用其他溶剂应说明理由。</w:t>
      </w:r>
    </w:p>
    <w:p w:rsidR="003228A0" w:rsidRDefault="00493676">
      <w:pPr>
        <w:widowControl/>
        <w:snapToGrid w:val="0"/>
        <w:spacing w:line="300" w:lineRule="auto"/>
        <w:ind w:firstLineChars="200" w:firstLine="420"/>
        <w:jc w:val="left"/>
        <w:rPr>
          <w:color w:val="000000" w:themeColor="text1"/>
          <w:szCs w:val="21"/>
        </w:rPr>
      </w:pPr>
      <w:r>
        <w:rPr>
          <w:color w:val="000000" w:themeColor="text1"/>
          <w:szCs w:val="21"/>
        </w:rPr>
        <w:t>体外遗传毒性试验中，所选溶剂必须是非致突变物，且不能影响细胞或细菌存活以及</w:t>
      </w:r>
      <w:r>
        <w:rPr>
          <w:color w:val="000000" w:themeColor="text1"/>
          <w:szCs w:val="21"/>
        </w:rPr>
        <w:t>S9</w:t>
      </w:r>
      <w:r>
        <w:rPr>
          <w:color w:val="000000" w:themeColor="text1"/>
          <w:szCs w:val="21"/>
        </w:rPr>
        <w:t>的活性。</w:t>
      </w:r>
      <w:r>
        <w:rPr>
          <w:color w:val="000000" w:themeColor="text1"/>
          <w:szCs w:val="21"/>
        </w:rPr>
        <w:t>Ames</w:t>
      </w:r>
      <w:r>
        <w:rPr>
          <w:color w:val="000000" w:themeColor="text1"/>
          <w:szCs w:val="21"/>
        </w:rPr>
        <w:t>试验常用溶剂首选无菌蒸馏水，其次</w:t>
      </w:r>
      <w:r>
        <w:rPr>
          <w:color w:val="000000" w:themeColor="text1"/>
          <w:szCs w:val="21"/>
        </w:rPr>
        <w:t>DMSO</w:t>
      </w:r>
      <w:r>
        <w:rPr>
          <w:color w:val="000000" w:themeColor="text1"/>
          <w:szCs w:val="21"/>
        </w:rPr>
        <w:t>、四氢呋喃、丙酮等。细胞试验常用溶剂首选培养液（不含血清）或无菌蒸馏水，其次</w:t>
      </w:r>
      <w:r>
        <w:rPr>
          <w:color w:val="000000" w:themeColor="text1"/>
          <w:szCs w:val="21"/>
        </w:rPr>
        <w:t>DMSO</w:t>
      </w:r>
      <w:r>
        <w:rPr>
          <w:color w:val="000000" w:themeColor="text1"/>
          <w:szCs w:val="21"/>
        </w:rPr>
        <w:t>、丙酮、甘油等；使用有机溶剂时，终浓度应不大于一定比例，如</w:t>
      </w:r>
      <w:r>
        <w:rPr>
          <w:color w:val="000000" w:themeColor="text1"/>
          <w:szCs w:val="21"/>
        </w:rPr>
        <w:t>DMSO</w:t>
      </w:r>
      <w:r>
        <w:rPr>
          <w:color w:val="000000" w:themeColor="text1"/>
          <w:szCs w:val="21"/>
        </w:rPr>
        <w:t>使用时浓度不应大于</w:t>
      </w:r>
      <w:r>
        <w:rPr>
          <w:color w:val="000000" w:themeColor="text1"/>
          <w:szCs w:val="21"/>
        </w:rPr>
        <w:t>0.5%</w:t>
      </w:r>
      <w:r>
        <w:rPr>
          <w:color w:val="000000" w:themeColor="text1"/>
          <w:szCs w:val="21"/>
        </w:rPr>
        <w:t>。</w:t>
      </w:r>
    </w:p>
    <w:p w:rsidR="003228A0" w:rsidRDefault="00493676">
      <w:pPr>
        <w:snapToGrid w:val="0"/>
        <w:spacing w:beforeLines="50" w:before="156" w:afterLines="50" w:after="156" w:line="300" w:lineRule="auto"/>
        <w:rPr>
          <w:color w:val="000000" w:themeColor="text1"/>
          <w:szCs w:val="21"/>
        </w:rPr>
      </w:pPr>
      <w:r>
        <w:rPr>
          <w:color w:val="000000" w:themeColor="text1"/>
          <w:szCs w:val="21"/>
        </w:rPr>
        <w:t>5.</w:t>
      </w:r>
      <w:r>
        <w:rPr>
          <w:rFonts w:hint="eastAsia"/>
          <w:color w:val="000000" w:themeColor="text1"/>
          <w:szCs w:val="21"/>
        </w:rPr>
        <w:t>2</w:t>
      </w:r>
      <w:r>
        <w:rPr>
          <w:color w:val="000000" w:themeColor="text1"/>
          <w:szCs w:val="21"/>
        </w:rPr>
        <w:t>化妆品原料</w:t>
      </w:r>
    </w:p>
    <w:p w:rsidR="003228A0" w:rsidRDefault="00493676">
      <w:pPr>
        <w:snapToGrid w:val="0"/>
        <w:spacing w:line="300" w:lineRule="auto"/>
        <w:ind w:firstLineChars="200" w:firstLine="420"/>
        <w:rPr>
          <w:color w:val="000000" w:themeColor="text1"/>
          <w:szCs w:val="21"/>
        </w:rPr>
      </w:pPr>
      <w:r>
        <w:rPr>
          <w:rFonts w:hint="eastAsia"/>
          <w:color w:val="000000" w:themeColor="text1"/>
          <w:szCs w:val="21"/>
        </w:rPr>
        <w:t>化妆品原料的前处理方法主要取决于样品的物理形态和染毒方式，具体如下：</w:t>
      </w:r>
    </w:p>
    <w:p w:rsidR="003228A0" w:rsidRDefault="00493676">
      <w:pPr>
        <w:snapToGrid w:val="0"/>
        <w:spacing w:line="300" w:lineRule="auto"/>
        <w:ind w:firstLineChars="200" w:firstLine="420"/>
        <w:rPr>
          <w:color w:val="000000" w:themeColor="text1"/>
          <w:szCs w:val="21"/>
        </w:rPr>
      </w:pPr>
      <w:r>
        <w:rPr>
          <w:color w:val="000000" w:themeColor="text1"/>
          <w:szCs w:val="21"/>
        </w:rPr>
        <w:t>5.</w:t>
      </w:r>
      <w:r>
        <w:rPr>
          <w:rFonts w:hint="eastAsia"/>
          <w:color w:val="000000" w:themeColor="text1"/>
          <w:szCs w:val="21"/>
        </w:rPr>
        <w:t>2</w:t>
      </w:r>
      <w:r>
        <w:rPr>
          <w:color w:val="000000" w:themeColor="text1"/>
          <w:szCs w:val="21"/>
        </w:rPr>
        <w:t>.1</w:t>
      </w:r>
      <w:r>
        <w:rPr>
          <w:color w:val="000000" w:themeColor="text1"/>
          <w:szCs w:val="21"/>
        </w:rPr>
        <w:t>液态</w:t>
      </w:r>
    </w:p>
    <w:p w:rsidR="003228A0" w:rsidRDefault="00493676">
      <w:pPr>
        <w:snapToGrid w:val="0"/>
        <w:spacing w:line="30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r>
        <w:rPr>
          <w:color w:val="000000" w:themeColor="text1"/>
          <w:szCs w:val="21"/>
        </w:rPr>
        <w:t>准备器材：一次性注射器（</w:t>
      </w:r>
      <w:r>
        <w:rPr>
          <w:color w:val="000000" w:themeColor="text1"/>
          <w:szCs w:val="21"/>
        </w:rPr>
        <w:t>2mL-5mL</w:t>
      </w:r>
      <w:r>
        <w:rPr>
          <w:color w:val="000000" w:themeColor="text1"/>
          <w:szCs w:val="21"/>
        </w:rPr>
        <w:t>），量筒（</w:t>
      </w:r>
      <w:r>
        <w:rPr>
          <w:color w:val="000000" w:themeColor="text1"/>
          <w:szCs w:val="21"/>
        </w:rPr>
        <w:t>10mL</w:t>
      </w:r>
      <w:r>
        <w:rPr>
          <w:color w:val="000000" w:themeColor="text1"/>
          <w:szCs w:val="21"/>
        </w:rPr>
        <w:t>），烧杯，搅拌棒，</w:t>
      </w:r>
      <w:r>
        <w:rPr>
          <w:rFonts w:hint="eastAsia"/>
          <w:color w:val="000000" w:themeColor="text1"/>
          <w:szCs w:val="21"/>
        </w:rPr>
        <w:t>溶剂</w:t>
      </w:r>
      <w:r>
        <w:rPr>
          <w:color w:val="000000" w:themeColor="text1"/>
          <w:szCs w:val="21"/>
        </w:rPr>
        <w:t>等。</w:t>
      </w:r>
    </w:p>
    <w:p w:rsidR="003228A0" w:rsidRDefault="00493676">
      <w:pPr>
        <w:snapToGrid w:val="0"/>
        <w:spacing w:line="30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r>
        <w:rPr>
          <w:color w:val="000000" w:themeColor="text1"/>
          <w:szCs w:val="21"/>
        </w:rPr>
        <w:t>取样：根据毒理学试验项目、染毒方式以及样品原液性质计算各剂量组稀释倍数，然后用一次性注射器或量筒量取相应体积的样品原液，加入</w:t>
      </w:r>
      <w:r>
        <w:rPr>
          <w:rFonts w:hint="eastAsia"/>
          <w:color w:val="000000" w:themeColor="text1"/>
          <w:szCs w:val="21"/>
        </w:rPr>
        <w:t>适宜</w:t>
      </w:r>
      <w:r>
        <w:rPr>
          <w:color w:val="000000" w:themeColor="text1"/>
          <w:szCs w:val="21"/>
        </w:rPr>
        <w:t>溶剂中，并搅拌混匀。也可应用等比例稀释法。若样品原液为多介质分层液体，应上下摇晃，使其充分混匀后，再做稀释分组。若毒理学试验项目未明确要求剂量分组时，可使用一次性注射器或量筒</w:t>
      </w:r>
      <w:r>
        <w:rPr>
          <w:rFonts w:hint="eastAsia"/>
          <w:color w:val="000000" w:themeColor="text1"/>
          <w:szCs w:val="21"/>
        </w:rPr>
        <w:t>直接</w:t>
      </w:r>
      <w:r>
        <w:rPr>
          <w:color w:val="000000" w:themeColor="text1"/>
          <w:szCs w:val="21"/>
        </w:rPr>
        <w:t>量取样品原液。</w:t>
      </w:r>
    </w:p>
    <w:p w:rsidR="003228A0" w:rsidRDefault="00493676">
      <w:pPr>
        <w:snapToGrid w:val="0"/>
        <w:spacing w:line="30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w:t>
      </w:r>
      <w:r>
        <w:rPr>
          <w:color w:val="000000" w:themeColor="text1"/>
          <w:szCs w:val="21"/>
        </w:rPr>
        <w:t>储存：将配置好的供试液密封，防止杂质污染，根据样品原液的储存方式选择室温或冷藏暂放。样品配制应适量，遵守现用现配的原则，防止样品在储存过程中发生变质或变性。</w:t>
      </w:r>
    </w:p>
    <w:p w:rsidR="003228A0" w:rsidRDefault="00493676">
      <w:pPr>
        <w:snapToGrid w:val="0"/>
        <w:spacing w:line="300" w:lineRule="auto"/>
        <w:ind w:firstLineChars="200" w:firstLine="420"/>
        <w:rPr>
          <w:color w:val="000000" w:themeColor="text1"/>
          <w:szCs w:val="21"/>
        </w:rPr>
      </w:pPr>
      <w:r>
        <w:rPr>
          <w:color w:val="000000" w:themeColor="text1"/>
          <w:szCs w:val="21"/>
        </w:rPr>
        <w:t>5.</w:t>
      </w:r>
      <w:r>
        <w:rPr>
          <w:rFonts w:hint="eastAsia"/>
          <w:color w:val="000000" w:themeColor="text1"/>
          <w:szCs w:val="21"/>
        </w:rPr>
        <w:t>2</w:t>
      </w:r>
      <w:r>
        <w:rPr>
          <w:color w:val="000000" w:themeColor="text1"/>
          <w:szCs w:val="21"/>
        </w:rPr>
        <w:t xml:space="preserve">.2 </w:t>
      </w:r>
      <w:r>
        <w:rPr>
          <w:color w:val="000000" w:themeColor="text1"/>
          <w:szCs w:val="21"/>
        </w:rPr>
        <w:t>固态</w:t>
      </w:r>
    </w:p>
    <w:p w:rsidR="003228A0" w:rsidRDefault="00493676">
      <w:pPr>
        <w:snapToGrid w:val="0"/>
        <w:spacing w:line="30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r>
        <w:rPr>
          <w:color w:val="000000" w:themeColor="text1"/>
          <w:szCs w:val="21"/>
        </w:rPr>
        <w:t>准备器材：研钵，电子天平，称量纸，称量勺，量筒（</w:t>
      </w:r>
      <w:r>
        <w:rPr>
          <w:color w:val="000000" w:themeColor="text1"/>
          <w:szCs w:val="21"/>
        </w:rPr>
        <w:t>10mL</w:t>
      </w:r>
      <w:r>
        <w:rPr>
          <w:color w:val="000000" w:themeColor="text1"/>
          <w:szCs w:val="21"/>
        </w:rPr>
        <w:t>），烧杯，搅拌棒</w:t>
      </w:r>
      <w:r>
        <w:rPr>
          <w:rFonts w:hint="eastAsia"/>
          <w:color w:val="000000" w:themeColor="text1"/>
          <w:szCs w:val="21"/>
        </w:rPr>
        <w:t>，溶剂</w:t>
      </w:r>
      <w:r>
        <w:rPr>
          <w:color w:val="000000" w:themeColor="text1"/>
          <w:szCs w:val="21"/>
        </w:rPr>
        <w:t>等。</w:t>
      </w:r>
    </w:p>
    <w:p w:rsidR="003228A0" w:rsidRDefault="00493676">
      <w:pPr>
        <w:snapToGrid w:val="0"/>
        <w:spacing w:line="30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r>
        <w:rPr>
          <w:color w:val="000000" w:themeColor="text1"/>
          <w:szCs w:val="21"/>
        </w:rPr>
        <w:t>取样：首先根据样品物理性状，考虑是否需要研磨，若样品原样为细粉状，则无需研磨；否则，应先使用研钵，将块状、膏状等固体性状，充分研磨成细粉状或糊状。然后根据毒理学试验项目、染毒方式以及样品</w:t>
      </w:r>
      <w:r>
        <w:rPr>
          <w:rFonts w:hint="eastAsia"/>
          <w:color w:val="000000" w:themeColor="text1"/>
          <w:szCs w:val="21"/>
        </w:rPr>
        <w:t>原样</w:t>
      </w:r>
      <w:r>
        <w:rPr>
          <w:color w:val="000000" w:themeColor="text1"/>
          <w:szCs w:val="21"/>
        </w:rPr>
        <w:t>性质计算各剂量组浓度，用电子天平称量相应重量的样品，加入适宜溶剂中，并搅拌混匀。若毒理学试验项目未明确要求分剂量组时，可</w:t>
      </w:r>
      <w:r>
        <w:rPr>
          <w:rFonts w:hint="eastAsia"/>
          <w:color w:val="000000" w:themeColor="text1"/>
          <w:szCs w:val="21"/>
        </w:rPr>
        <w:t>直接用</w:t>
      </w:r>
      <w:r>
        <w:rPr>
          <w:color w:val="000000" w:themeColor="text1"/>
          <w:szCs w:val="21"/>
        </w:rPr>
        <w:t>电子天平称量相应重量的样品；如果试验项目为经皮染毒时，可考虑用最小体积的溶剂将样品湿化，或在正式试验时，先湿化皮肤。</w:t>
      </w:r>
    </w:p>
    <w:p w:rsidR="003228A0" w:rsidRDefault="00493676">
      <w:pPr>
        <w:snapToGrid w:val="0"/>
        <w:spacing w:line="30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w:t>
      </w:r>
      <w:r>
        <w:rPr>
          <w:color w:val="000000" w:themeColor="text1"/>
          <w:szCs w:val="21"/>
        </w:rPr>
        <w:t>储存：将配置好的供试液密封，防止杂质污染，根据样品原样的储存方式选择干燥通风的环境，室温或冷藏暂放。样品配制应适量，遵守现用现配的原则，防止样品在储存过程中发生潮化或变质。</w:t>
      </w:r>
    </w:p>
    <w:p w:rsidR="003228A0" w:rsidRDefault="00493676">
      <w:pPr>
        <w:snapToGrid w:val="0"/>
        <w:spacing w:line="300" w:lineRule="auto"/>
        <w:ind w:firstLineChars="200" w:firstLine="420"/>
        <w:rPr>
          <w:color w:val="000000" w:themeColor="text1"/>
          <w:szCs w:val="21"/>
        </w:rPr>
      </w:pPr>
      <w:r>
        <w:rPr>
          <w:color w:val="000000" w:themeColor="text1"/>
          <w:szCs w:val="21"/>
        </w:rPr>
        <w:t>5.</w:t>
      </w:r>
      <w:r>
        <w:rPr>
          <w:rFonts w:hint="eastAsia"/>
          <w:color w:val="000000" w:themeColor="text1"/>
          <w:szCs w:val="21"/>
        </w:rPr>
        <w:t>2</w:t>
      </w:r>
      <w:r>
        <w:rPr>
          <w:color w:val="000000" w:themeColor="text1"/>
          <w:szCs w:val="21"/>
        </w:rPr>
        <w:t>.</w:t>
      </w:r>
      <w:r>
        <w:rPr>
          <w:rFonts w:hint="eastAsia"/>
          <w:color w:val="000000" w:themeColor="text1"/>
          <w:szCs w:val="21"/>
        </w:rPr>
        <w:t>3</w:t>
      </w:r>
      <w:r>
        <w:rPr>
          <w:color w:val="000000" w:themeColor="text1"/>
          <w:szCs w:val="21"/>
        </w:rPr>
        <w:t xml:space="preserve"> </w:t>
      </w:r>
      <w:r>
        <w:rPr>
          <w:rFonts w:hint="eastAsia"/>
          <w:color w:val="000000" w:themeColor="text1"/>
          <w:szCs w:val="21"/>
        </w:rPr>
        <w:t>难溶样品</w:t>
      </w:r>
    </w:p>
    <w:p w:rsidR="003228A0" w:rsidRDefault="00493676">
      <w:pPr>
        <w:snapToGrid w:val="0"/>
        <w:spacing w:line="300" w:lineRule="auto"/>
        <w:ind w:firstLineChars="200" w:firstLine="420"/>
        <w:rPr>
          <w:color w:val="000000" w:themeColor="text1"/>
          <w:szCs w:val="21"/>
        </w:rPr>
      </w:pPr>
      <w:r>
        <w:rPr>
          <w:rFonts w:hint="eastAsia"/>
          <w:color w:val="000000" w:themeColor="text1"/>
          <w:szCs w:val="21"/>
        </w:rPr>
        <w:t>不溶于水或有机溶剂的难溶样品，常见处理方法有（</w:t>
      </w:r>
      <w:r>
        <w:rPr>
          <w:rFonts w:hint="eastAsia"/>
          <w:color w:val="000000" w:themeColor="text1"/>
          <w:szCs w:val="21"/>
        </w:rPr>
        <w:t>1</w:t>
      </w:r>
      <w:r>
        <w:rPr>
          <w:rFonts w:hint="eastAsia"/>
          <w:color w:val="000000" w:themeColor="text1"/>
          <w:szCs w:val="21"/>
        </w:rPr>
        <w:t>）使用样品浸提液。根据样品理化性质选择适宜浸提介质、浸提比例、浸提温度、浸</w:t>
      </w:r>
      <w:proofErr w:type="gramStart"/>
      <w:r>
        <w:rPr>
          <w:rFonts w:hint="eastAsia"/>
          <w:color w:val="000000" w:themeColor="text1"/>
          <w:szCs w:val="21"/>
        </w:rPr>
        <w:t>提时间</w:t>
      </w:r>
      <w:proofErr w:type="gramEnd"/>
      <w:r>
        <w:rPr>
          <w:rFonts w:hint="eastAsia"/>
          <w:color w:val="000000" w:themeColor="text1"/>
          <w:szCs w:val="21"/>
        </w:rPr>
        <w:t>和浸提方法，并提供相应说明。（</w:t>
      </w:r>
      <w:r>
        <w:rPr>
          <w:rFonts w:hint="eastAsia"/>
          <w:color w:val="000000" w:themeColor="text1"/>
          <w:szCs w:val="21"/>
        </w:rPr>
        <w:t>2</w:t>
      </w:r>
      <w:r>
        <w:rPr>
          <w:rFonts w:hint="eastAsia"/>
          <w:color w:val="000000" w:themeColor="text1"/>
          <w:szCs w:val="21"/>
        </w:rPr>
        <w:t>）加入悬浮剂或赋形剂，使样品悬浮其中，形成分布均匀的混合物。悬浮剂或赋形剂应对皮肤无毒副作用、无色无味，且稳定性高。常见的悬浮剂及赋形剂有：玉米油、淀粉、明胶等。</w:t>
      </w:r>
    </w:p>
    <w:p w:rsidR="003228A0" w:rsidRDefault="00493676">
      <w:pPr>
        <w:snapToGrid w:val="0"/>
        <w:spacing w:beforeLines="50" w:before="156" w:afterLines="50" w:after="156" w:line="300" w:lineRule="auto"/>
        <w:rPr>
          <w:color w:val="000000" w:themeColor="text1"/>
          <w:szCs w:val="21"/>
        </w:rPr>
      </w:pPr>
      <w:r>
        <w:rPr>
          <w:color w:val="000000" w:themeColor="text1"/>
          <w:szCs w:val="21"/>
        </w:rPr>
        <w:lastRenderedPageBreak/>
        <w:t>5.</w:t>
      </w:r>
      <w:r>
        <w:rPr>
          <w:rFonts w:hint="eastAsia"/>
          <w:color w:val="000000" w:themeColor="text1"/>
          <w:szCs w:val="21"/>
        </w:rPr>
        <w:t>3</w:t>
      </w:r>
      <w:r>
        <w:rPr>
          <w:color w:val="000000" w:themeColor="text1"/>
          <w:szCs w:val="21"/>
        </w:rPr>
        <w:t>化妆品产品</w:t>
      </w:r>
    </w:p>
    <w:p w:rsidR="003228A0" w:rsidRDefault="00493676">
      <w:pPr>
        <w:snapToGrid w:val="0"/>
        <w:spacing w:line="300" w:lineRule="auto"/>
        <w:ind w:firstLineChars="200" w:firstLine="420"/>
        <w:rPr>
          <w:color w:val="000000" w:themeColor="text1"/>
          <w:szCs w:val="21"/>
        </w:rPr>
      </w:pPr>
      <w:r>
        <w:rPr>
          <w:color w:val="000000" w:themeColor="text1"/>
          <w:szCs w:val="21"/>
        </w:rPr>
        <w:t>化妆品产品进行毒理学试验的前处理工作时，主要根据</w:t>
      </w:r>
      <w:r>
        <w:rPr>
          <w:rFonts w:hint="eastAsia"/>
          <w:color w:val="000000" w:themeColor="text1"/>
          <w:szCs w:val="21"/>
        </w:rPr>
        <w:t>化妆品</w:t>
      </w:r>
      <w:r>
        <w:rPr>
          <w:color w:val="000000" w:themeColor="text1"/>
          <w:szCs w:val="21"/>
        </w:rPr>
        <w:t>产品剂型分类处理，</w:t>
      </w:r>
      <w:r>
        <w:rPr>
          <w:rFonts w:hint="eastAsia"/>
          <w:color w:val="000000" w:themeColor="text1"/>
          <w:szCs w:val="21"/>
        </w:rPr>
        <w:t>此</w:t>
      </w:r>
      <w:r>
        <w:rPr>
          <w:color w:val="000000" w:themeColor="text1"/>
          <w:szCs w:val="21"/>
        </w:rPr>
        <w:t>外，还需要考虑化妆品的实际使用方法等因素。</w:t>
      </w:r>
    </w:p>
    <w:p w:rsidR="003228A0" w:rsidRDefault="00493676">
      <w:pPr>
        <w:snapToGrid w:val="0"/>
        <w:spacing w:line="300" w:lineRule="auto"/>
        <w:ind w:firstLineChars="200" w:firstLine="420"/>
        <w:rPr>
          <w:color w:val="000000" w:themeColor="text1"/>
          <w:szCs w:val="21"/>
        </w:rPr>
      </w:pPr>
      <w:r>
        <w:rPr>
          <w:color w:val="000000" w:themeColor="text1"/>
          <w:szCs w:val="21"/>
        </w:rPr>
        <w:t>5.</w:t>
      </w:r>
      <w:r>
        <w:rPr>
          <w:rFonts w:hint="eastAsia"/>
          <w:color w:val="000000" w:themeColor="text1"/>
          <w:szCs w:val="21"/>
        </w:rPr>
        <w:t>3</w:t>
      </w:r>
      <w:r>
        <w:rPr>
          <w:color w:val="000000" w:themeColor="text1"/>
          <w:szCs w:val="21"/>
        </w:rPr>
        <w:t xml:space="preserve">.1 </w:t>
      </w:r>
      <w:r>
        <w:rPr>
          <w:color w:val="000000" w:themeColor="text1"/>
          <w:szCs w:val="21"/>
        </w:rPr>
        <w:t>液体剂型化妆品产品</w:t>
      </w:r>
    </w:p>
    <w:p w:rsidR="003228A0" w:rsidRDefault="00493676">
      <w:pPr>
        <w:snapToGrid w:val="0"/>
        <w:spacing w:line="300" w:lineRule="auto"/>
        <w:ind w:firstLineChars="200" w:firstLine="420"/>
        <w:rPr>
          <w:color w:val="000000" w:themeColor="text1"/>
          <w:szCs w:val="21"/>
        </w:rPr>
      </w:pPr>
      <w:r>
        <w:rPr>
          <w:rFonts w:hint="eastAsia"/>
          <w:color w:val="000000" w:themeColor="text1"/>
          <w:szCs w:val="21"/>
        </w:rPr>
        <w:t>化妆品</w:t>
      </w:r>
      <w:r>
        <w:rPr>
          <w:color w:val="000000" w:themeColor="text1"/>
          <w:szCs w:val="21"/>
        </w:rPr>
        <w:t>中的液体剂型（露、液、水、油、油水分离等），除膏、霜、蜜、脂以外的膏霜乳剂型（乳、乳液、奶、奶液等）、凝胶剂型（</w:t>
      </w:r>
      <w:proofErr w:type="gramStart"/>
      <w:r>
        <w:rPr>
          <w:color w:val="000000" w:themeColor="text1"/>
          <w:szCs w:val="21"/>
        </w:rPr>
        <w:t>啫喱</w:t>
      </w:r>
      <w:proofErr w:type="gramEnd"/>
      <w:r>
        <w:rPr>
          <w:color w:val="000000" w:themeColor="text1"/>
          <w:szCs w:val="21"/>
        </w:rPr>
        <w:t>、胶等）等流动性的化妆品产品均可参照</w:t>
      </w:r>
      <w:r>
        <w:rPr>
          <w:color w:val="000000" w:themeColor="text1"/>
          <w:szCs w:val="21"/>
        </w:rPr>
        <w:t>5.</w:t>
      </w:r>
      <w:r>
        <w:rPr>
          <w:rFonts w:hint="eastAsia"/>
          <w:color w:val="000000" w:themeColor="text1"/>
          <w:szCs w:val="21"/>
        </w:rPr>
        <w:t>2</w:t>
      </w:r>
      <w:r>
        <w:rPr>
          <w:color w:val="000000" w:themeColor="text1"/>
          <w:szCs w:val="21"/>
        </w:rPr>
        <w:t>.1</w:t>
      </w:r>
      <w:r>
        <w:rPr>
          <w:color w:val="000000" w:themeColor="text1"/>
          <w:szCs w:val="21"/>
        </w:rPr>
        <w:t>处理。乳化类的液体产品稀释时，需根据产品特征选择极性或非极性溶剂。</w:t>
      </w:r>
    </w:p>
    <w:p w:rsidR="003228A0" w:rsidRDefault="00493676">
      <w:pPr>
        <w:snapToGrid w:val="0"/>
        <w:spacing w:line="300" w:lineRule="auto"/>
        <w:ind w:firstLineChars="200" w:firstLine="420"/>
        <w:rPr>
          <w:color w:val="000000" w:themeColor="text1"/>
          <w:szCs w:val="21"/>
        </w:rPr>
      </w:pPr>
      <w:r>
        <w:rPr>
          <w:color w:val="000000" w:themeColor="text1"/>
          <w:szCs w:val="21"/>
        </w:rPr>
        <w:t>5.</w:t>
      </w:r>
      <w:r>
        <w:rPr>
          <w:rFonts w:hint="eastAsia"/>
          <w:color w:val="000000" w:themeColor="text1"/>
          <w:szCs w:val="21"/>
        </w:rPr>
        <w:t>3</w:t>
      </w:r>
      <w:r>
        <w:rPr>
          <w:color w:val="000000" w:themeColor="text1"/>
          <w:szCs w:val="21"/>
        </w:rPr>
        <w:t xml:space="preserve">.2 </w:t>
      </w:r>
      <w:r>
        <w:rPr>
          <w:color w:val="000000" w:themeColor="text1"/>
          <w:szCs w:val="21"/>
        </w:rPr>
        <w:t>固体剂型化妆品产品</w:t>
      </w:r>
    </w:p>
    <w:p w:rsidR="003228A0" w:rsidRDefault="00493676">
      <w:pPr>
        <w:snapToGrid w:val="0"/>
        <w:spacing w:line="300" w:lineRule="auto"/>
        <w:ind w:firstLineChars="200" w:firstLine="420"/>
        <w:rPr>
          <w:color w:val="000000" w:themeColor="text1"/>
          <w:szCs w:val="21"/>
        </w:rPr>
      </w:pPr>
      <w:r>
        <w:rPr>
          <w:rFonts w:hint="eastAsia"/>
          <w:color w:val="000000" w:themeColor="text1"/>
          <w:szCs w:val="21"/>
        </w:rPr>
        <w:t>化妆品</w:t>
      </w:r>
      <w:r>
        <w:rPr>
          <w:color w:val="000000" w:themeColor="text1"/>
          <w:szCs w:val="21"/>
        </w:rPr>
        <w:t>中膏霜乳类中的膏体、霜类</w:t>
      </w:r>
      <w:r>
        <w:rPr>
          <w:rFonts w:hint="eastAsia"/>
          <w:color w:val="000000" w:themeColor="text1"/>
          <w:szCs w:val="21"/>
        </w:rPr>
        <w:t>、</w:t>
      </w:r>
      <w:r>
        <w:rPr>
          <w:color w:val="000000" w:themeColor="text1"/>
          <w:szCs w:val="21"/>
        </w:rPr>
        <w:t>蜜、脂，</w:t>
      </w:r>
      <w:r>
        <w:rPr>
          <w:rFonts w:hint="eastAsia"/>
          <w:color w:val="000000" w:themeColor="text1"/>
          <w:szCs w:val="21"/>
        </w:rPr>
        <w:t>以及</w:t>
      </w:r>
      <w:r>
        <w:rPr>
          <w:color w:val="000000" w:themeColor="text1"/>
          <w:szCs w:val="21"/>
        </w:rPr>
        <w:t>粉剂剂型（散粉、颗粒等），块状剂型（块状粉、大块固体等），泥</w:t>
      </w:r>
      <w:r>
        <w:rPr>
          <w:rFonts w:hint="eastAsia"/>
          <w:color w:val="000000" w:themeColor="text1"/>
          <w:szCs w:val="21"/>
        </w:rPr>
        <w:t>状</w:t>
      </w:r>
      <w:r>
        <w:rPr>
          <w:color w:val="000000" w:themeColor="text1"/>
          <w:szCs w:val="21"/>
        </w:rPr>
        <w:t>剂型（泥状固体等），</w:t>
      </w:r>
      <w:proofErr w:type="gramStart"/>
      <w:r>
        <w:rPr>
          <w:color w:val="000000" w:themeColor="text1"/>
          <w:szCs w:val="21"/>
        </w:rPr>
        <w:t>蜡基剂型</w:t>
      </w:r>
      <w:proofErr w:type="gramEnd"/>
      <w:r>
        <w:rPr>
          <w:color w:val="000000" w:themeColor="text1"/>
          <w:szCs w:val="21"/>
        </w:rPr>
        <w:t>（以蜡为主要基料的产品）等固体化妆品产品的前处理方式可参照</w:t>
      </w:r>
      <w:r>
        <w:rPr>
          <w:color w:val="000000" w:themeColor="text1"/>
          <w:szCs w:val="21"/>
        </w:rPr>
        <w:t>5.</w:t>
      </w:r>
      <w:r>
        <w:rPr>
          <w:rFonts w:hint="eastAsia"/>
          <w:color w:val="000000" w:themeColor="text1"/>
          <w:szCs w:val="21"/>
        </w:rPr>
        <w:t>2</w:t>
      </w:r>
      <w:r>
        <w:rPr>
          <w:color w:val="000000" w:themeColor="text1"/>
          <w:szCs w:val="21"/>
        </w:rPr>
        <w:t>.2</w:t>
      </w:r>
      <w:r>
        <w:rPr>
          <w:color w:val="000000" w:themeColor="text1"/>
          <w:szCs w:val="21"/>
        </w:rPr>
        <w:t>处理。</w:t>
      </w:r>
    </w:p>
    <w:p w:rsidR="003228A0" w:rsidRDefault="00493676">
      <w:pPr>
        <w:snapToGrid w:val="0"/>
        <w:spacing w:line="300" w:lineRule="auto"/>
        <w:ind w:firstLineChars="200" w:firstLine="420"/>
        <w:rPr>
          <w:color w:val="000000" w:themeColor="text1"/>
          <w:szCs w:val="21"/>
        </w:rPr>
      </w:pPr>
      <w:r>
        <w:rPr>
          <w:color w:val="000000" w:themeColor="text1"/>
          <w:szCs w:val="21"/>
        </w:rPr>
        <w:t>5.</w:t>
      </w:r>
      <w:r>
        <w:rPr>
          <w:rFonts w:hint="eastAsia"/>
          <w:color w:val="000000" w:themeColor="text1"/>
          <w:szCs w:val="21"/>
        </w:rPr>
        <w:t>3</w:t>
      </w:r>
      <w:r>
        <w:rPr>
          <w:color w:val="000000" w:themeColor="text1"/>
          <w:szCs w:val="21"/>
        </w:rPr>
        <w:t xml:space="preserve">.3 </w:t>
      </w:r>
      <w:r>
        <w:rPr>
          <w:color w:val="000000" w:themeColor="text1"/>
          <w:szCs w:val="21"/>
        </w:rPr>
        <w:t>敷贴类化妆品产品</w:t>
      </w:r>
    </w:p>
    <w:p w:rsidR="003228A0" w:rsidRDefault="00493676">
      <w:pPr>
        <w:snapToGrid w:val="0"/>
        <w:spacing w:line="300" w:lineRule="auto"/>
        <w:ind w:firstLineChars="200" w:firstLine="420"/>
        <w:rPr>
          <w:color w:val="000000" w:themeColor="text1"/>
          <w:szCs w:val="21"/>
        </w:rPr>
      </w:pPr>
      <w:r>
        <w:rPr>
          <w:rFonts w:hint="eastAsia"/>
          <w:color w:val="000000" w:themeColor="text1"/>
          <w:szCs w:val="21"/>
        </w:rPr>
        <w:t>化妆品</w:t>
      </w:r>
      <w:r>
        <w:rPr>
          <w:color w:val="000000" w:themeColor="text1"/>
          <w:szCs w:val="21"/>
        </w:rPr>
        <w:t>中贴、膜、含基材剂型（贴、膜、</w:t>
      </w:r>
      <w:proofErr w:type="gramStart"/>
      <w:r>
        <w:rPr>
          <w:color w:val="000000" w:themeColor="text1"/>
          <w:szCs w:val="21"/>
        </w:rPr>
        <w:t>含配合</w:t>
      </w:r>
      <w:proofErr w:type="gramEnd"/>
      <w:r>
        <w:rPr>
          <w:color w:val="000000" w:themeColor="text1"/>
          <w:szCs w:val="21"/>
        </w:rPr>
        <w:t>化妆品使用的基材</w:t>
      </w:r>
      <w:r>
        <w:rPr>
          <w:rFonts w:hint="eastAsia"/>
          <w:color w:val="000000" w:themeColor="text1"/>
          <w:szCs w:val="21"/>
        </w:rPr>
        <w:t>类</w:t>
      </w:r>
      <w:r>
        <w:rPr>
          <w:color w:val="000000" w:themeColor="text1"/>
          <w:szCs w:val="21"/>
        </w:rPr>
        <w:t>）的化妆品产品前处理方法如下：</w:t>
      </w:r>
    </w:p>
    <w:p w:rsidR="003228A0" w:rsidRDefault="00493676">
      <w:pPr>
        <w:snapToGrid w:val="0"/>
        <w:spacing w:line="30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r>
        <w:rPr>
          <w:color w:val="000000" w:themeColor="text1"/>
          <w:szCs w:val="21"/>
        </w:rPr>
        <w:t>准备器材：取剪刀，一次性注射器（</w:t>
      </w:r>
      <w:r>
        <w:rPr>
          <w:color w:val="000000" w:themeColor="text1"/>
          <w:szCs w:val="21"/>
        </w:rPr>
        <w:t>2mL-5mL</w:t>
      </w:r>
      <w:r>
        <w:rPr>
          <w:color w:val="000000" w:themeColor="text1"/>
          <w:szCs w:val="21"/>
        </w:rPr>
        <w:t>）</w:t>
      </w:r>
      <w:r>
        <w:rPr>
          <w:rFonts w:hint="eastAsia"/>
          <w:color w:val="000000" w:themeColor="text1"/>
          <w:szCs w:val="21"/>
        </w:rPr>
        <w:t>，</w:t>
      </w:r>
      <w:r>
        <w:rPr>
          <w:color w:val="000000" w:themeColor="text1"/>
          <w:szCs w:val="21"/>
        </w:rPr>
        <w:t>量筒（</w:t>
      </w:r>
      <w:r>
        <w:rPr>
          <w:color w:val="000000" w:themeColor="text1"/>
          <w:szCs w:val="21"/>
        </w:rPr>
        <w:t>10mL</w:t>
      </w:r>
      <w:r>
        <w:rPr>
          <w:color w:val="000000" w:themeColor="text1"/>
          <w:szCs w:val="21"/>
        </w:rPr>
        <w:t>），</w:t>
      </w:r>
      <w:r>
        <w:rPr>
          <w:rFonts w:hint="eastAsia"/>
          <w:color w:val="000000" w:themeColor="text1"/>
          <w:szCs w:val="21"/>
        </w:rPr>
        <w:t>溶剂等</w:t>
      </w:r>
      <w:r>
        <w:rPr>
          <w:color w:val="000000" w:themeColor="text1"/>
          <w:szCs w:val="21"/>
        </w:rPr>
        <w:t>。</w:t>
      </w:r>
    </w:p>
    <w:p w:rsidR="003228A0" w:rsidRDefault="00493676">
      <w:pPr>
        <w:snapToGrid w:val="0"/>
        <w:spacing w:line="30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r>
        <w:rPr>
          <w:color w:val="000000" w:themeColor="text1"/>
          <w:szCs w:val="21"/>
        </w:rPr>
        <w:t>取样：根据毒理学试验项目和产品的使用方式，如若经皮接触，首先用剪刀将样品裁剪成适宜的</w:t>
      </w:r>
      <w:r>
        <w:rPr>
          <w:rFonts w:hint="eastAsia"/>
          <w:color w:val="000000" w:themeColor="text1"/>
          <w:szCs w:val="21"/>
        </w:rPr>
        <w:t>形</w:t>
      </w:r>
      <w:r>
        <w:rPr>
          <w:color w:val="000000" w:themeColor="text1"/>
          <w:szCs w:val="21"/>
        </w:rPr>
        <w:t>状（如</w:t>
      </w:r>
      <w:r>
        <w:rPr>
          <w:color w:val="000000" w:themeColor="text1"/>
          <w:szCs w:val="21"/>
        </w:rPr>
        <w:t>2.5*2.5cm</w:t>
      </w:r>
      <w:r>
        <w:rPr>
          <w:color w:val="000000" w:themeColor="text1"/>
          <w:szCs w:val="21"/>
        </w:rPr>
        <w:t>的方块），比如含基质材料的面膜类；当原产品形状不足尺寸时，可叠加多个直到满足</w:t>
      </w:r>
      <w:r>
        <w:rPr>
          <w:rFonts w:hint="eastAsia"/>
          <w:color w:val="000000" w:themeColor="text1"/>
          <w:szCs w:val="21"/>
        </w:rPr>
        <w:t>形状</w:t>
      </w:r>
      <w:r>
        <w:rPr>
          <w:color w:val="000000" w:themeColor="text1"/>
          <w:szCs w:val="21"/>
        </w:rPr>
        <w:t>要求，比如</w:t>
      </w:r>
      <w:proofErr w:type="gramStart"/>
      <w:r>
        <w:rPr>
          <w:color w:val="000000" w:themeColor="text1"/>
          <w:szCs w:val="21"/>
        </w:rPr>
        <w:t>痘痘</w:t>
      </w:r>
      <w:proofErr w:type="gramEnd"/>
      <w:r>
        <w:rPr>
          <w:color w:val="000000" w:themeColor="text1"/>
          <w:szCs w:val="21"/>
        </w:rPr>
        <w:t>贴类；如若经眼睛接触，可将样品液从产品袋中挤出，然后按照</w:t>
      </w:r>
      <w:r>
        <w:rPr>
          <w:color w:val="000000" w:themeColor="text1"/>
          <w:szCs w:val="21"/>
        </w:rPr>
        <w:t>5.</w:t>
      </w:r>
      <w:r>
        <w:rPr>
          <w:rFonts w:hint="eastAsia"/>
          <w:color w:val="000000" w:themeColor="text1"/>
          <w:szCs w:val="21"/>
        </w:rPr>
        <w:t>2</w:t>
      </w:r>
      <w:r>
        <w:rPr>
          <w:color w:val="000000" w:themeColor="text1"/>
          <w:szCs w:val="21"/>
        </w:rPr>
        <w:t>.1</w:t>
      </w:r>
      <w:r>
        <w:rPr>
          <w:color w:val="000000" w:themeColor="text1"/>
          <w:szCs w:val="21"/>
        </w:rPr>
        <w:t>处理。</w:t>
      </w:r>
    </w:p>
    <w:p w:rsidR="003228A0" w:rsidRDefault="00493676">
      <w:pPr>
        <w:snapToGrid w:val="0"/>
        <w:spacing w:line="30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w:t>
      </w:r>
      <w:r>
        <w:rPr>
          <w:color w:val="000000" w:themeColor="text1"/>
          <w:szCs w:val="21"/>
        </w:rPr>
        <w:t>储存：将配置好的供试液密封，防止杂质污染，根据样品的储存方式选择室温或冷藏暂放。</w:t>
      </w:r>
    </w:p>
    <w:p w:rsidR="003228A0" w:rsidRDefault="00493676">
      <w:pPr>
        <w:snapToGrid w:val="0"/>
        <w:spacing w:line="300" w:lineRule="auto"/>
        <w:ind w:firstLineChars="200" w:firstLine="420"/>
        <w:rPr>
          <w:color w:val="000000" w:themeColor="text1"/>
          <w:szCs w:val="21"/>
        </w:rPr>
      </w:pPr>
      <w:r>
        <w:rPr>
          <w:color w:val="000000" w:themeColor="text1"/>
          <w:szCs w:val="21"/>
        </w:rPr>
        <w:t>5.</w:t>
      </w:r>
      <w:r>
        <w:rPr>
          <w:rFonts w:hint="eastAsia"/>
          <w:color w:val="000000" w:themeColor="text1"/>
          <w:szCs w:val="21"/>
        </w:rPr>
        <w:t>3</w:t>
      </w:r>
      <w:r>
        <w:rPr>
          <w:color w:val="000000" w:themeColor="text1"/>
          <w:szCs w:val="21"/>
        </w:rPr>
        <w:t>.4</w:t>
      </w:r>
      <w:r>
        <w:rPr>
          <w:color w:val="000000" w:themeColor="text1"/>
          <w:szCs w:val="21"/>
        </w:rPr>
        <w:t>按配比使用的化妆品产品</w:t>
      </w:r>
    </w:p>
    <w:p w:rsidR="003228A0" w:rsidRDefault="00493676">
      <w:pPr>
        <w:snapToGrid w:val="0"/>
        <w:spacing w:line="300" w:lineRule="auto"/>
        <w:ind w:firstLineChars="200" w:firstLine="420"/>
        <w:rPr>
          <w:color w:val="000000" w:themeColor="text1"/>
          <w:szCs w:val="21"/>
        </w:rPr>
      </w:pPr>
      <w:r>
        <w:rPr>
          <w:color w:val="000000" w:themeColor="text1"/>
          <w:szCs w:val="21"/>
        </w:rPr>
        <w:t>染发剂、烫发剂等需按比例配制使用的化妆品，其前处理工作应与产品实际使用方法保持一致，具体如下：</w:t>
      </w:r>
    </w:p>
    <w:p w:rsidR="003228A0" w:rsidRDefault="00493676">
      <w:pPr>
        <w:snapToGrid w:val="0"/>
        <w:spacing w:line="30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r>
        <w:rPr>
          <w:color w:val="000000" w:themeColor="text1"/>
          <w:szCs w:val="21"/>
        </w:rPr>
        <w:t>准备器材：一次性注射器（</w:t>
      </w:r>
      <w:r>
        <w:rPr>
          <w:color w:val="000000" w:themeColor="text1"/>
          <w:szCs w:val="21"/>
        </w:rPr>
        <w:t>2mL-5mL</w:t>
      </w:r>
      <w:r>
        <w:rPr>
          <w:color w:val="000000" w:themeColor="text1"/>
          <w:szCs w:val="21"/>
        </w:rPr>
        <w:t>）</w:t>
      </w:r>
      <w:r>
        <w:rPr>
          <w:color w:val="000000" w:themeColor="text1"/>
          <w:szCs w:val="21"/>
        </w:rPr>
        <w:t>,</w:t>
      </w:r>
      <w:r>
        <w:rPr>
          <w:color w:val="000000" w:themeColor="text1"/>
          <w:szCs w:val="21"/>
        </w:rPr>
        <w:t>量筒（</w:t>
      </w:r>
      <w:r>
        <w:rPr>
          <w:color w:val="000000" w:themeColor="text1"/>
          <w:szCs w:val="21"/>
        </w:rPr>
        <w:t>10mL</w:t>
      </w:r>
      <w:r>
        <w:rPr>
          <w:color w:val="000000" w:themeColor="text1"/>
          <w:szCs w:val="21"/>
        </w:rPr>
        <w:t>），电子天平，搅拌棒等。</w:t>
      </w:r>
    </w:p>
    <w:p w:rsidR="003228A0" w:rsidRDefault="00493676">
      <w:pPr>
        <w:snapToGrid w:val="0"/>
        <w:spacing w:line="30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r>
        <w:rPr>
          <w:color w:val="000000" w:themeColor="text1"/>
          <w:szCs w:val="21"/>
        </w:rPr>
        <w:t>取样：根据化妆品产品的使用说明，用电子天平或一次性注射器定量取相应质量的各组分样品，</w:t>
      </w:r>
      <w:r>
        <w:rPr>
          <w:rFonts w:hint="eastAsia"/>
          <w:color w:val="000000" w:themeColor="text1"/>
          <w:szCs w:val="21"/>
        </w:rPr>
        <w:t>然后</w:t>
      </w:r>
      <w:r>
        <w:rPr>
          <w:color w:val="000000" w:themeColor="text1"/>
          <w:szCs w:val="21"/>
        </w:rPr>
        <w:t>搅拌</w:t>
      </w:r>
      <w:r>
        <w:rPr>
          <w:rFonts w:hint="eastAsia"/>
          <w:color w:val="000000" w:themeColor="text1"/>
          <w:szCs w:val="21"/>
        </w:rPr>
        <w:t>使其充分</w:t>
      </w:r>
      <w:r>
        <w:rPr>
          <w:color w:val="000000" w:themeColor="text1"/>
          <w:szCs w:val="21"/>
        </w:rPr>
        <w:t>均匀。</w:t>
      </w:r>
    </w:p>
    <w:p w:rsidR="003228A0" w:rsidRDefault="00493676">
      <w:pPr>
        <w:snapToGrid w:val="0"/>
        <w:spacing w:line="300" w:lineRule="auto"/>
        <w:ind w:firstLineChars="200" w:firstLine="420"/>
        <w:rPr>
          <w:rFonts w:eastAsia="仿宋_GB2312"/>
          <w:color w:val="000000" w:themeColor="text1"/>
          <w:sz w:val="24"/>
        </w:rPr>
      </w:pPr>
      <w:r>
        <w:rPr>
          <w:rFonts w:hint="eastAsia"/>
          <w:color w:val="000000" w:themeColor="text1"/>
          <w:szCs w:val="21"/>
        </w:rPr>
        <w:t>（</w:t>
      </w:r>
      <w:r>
        <w:rPr>
          <w:rFonts w:hint="eastAsia"/>
          <w:color w:val="000000" w:themeColor="text1"/>
          <w:szCs w:val="21"/>
        </w:rPr>
        <w:t>3</w:t>
      </w:r>
      <w:r>
        <w:rPr>
          <w:rFonts w:hint="eastAsia"/>
          <w:color w:val="000000" w:themeColor="text1"/>
          <w:szCs w:val="21"/>
        </w:rPr>
        <w:t>）</w:t>
      </w:r>
      <w:r>
        <w:rPr>
          <w:color w:val="000000" w:themeColor="text1"/>
          <w:szCs w:val="21"/>
        </w:rPr>
        <w:t>储存：将配置好的供试液密封，防止杂质污染，根据样品的储存方式选择室温或冷藏暂放。此类化妆品产品应严格遵守现用现配原则。</w:t>
      </w:r>
    </w:p>
    <w:p w:rsidR="003228A0" w:rsidRDefault="00493676">
      <w:pPr>
        <w:snapToGrid w:val="0"/>
        <w:spacing w:line="300" w:lineRule="auto"/>
        <w:ind w:firstLineChars="200" w:firstLine="420"/>
        <w:rPr>
          <w:color w:val="000000" w:themeColor="text1"/>
          <w:szCs w:val="21"/>
        </w:rPr>
      </w:pPr>
      <w:r>
        <w:rPr>
          <w:color w:val="000000" w:themeColor="text1"/>
          <w:szCs w:val="21"/>
        </w:rPr>
        <w:t>5.</w:t>
      </w:r>
      <w:r>
        <w:rPr>
          <w:rFonts w:hint="eastAsia"/>
          <w:color w:val="000000" w:themeColor="text1"/>
          <w:szCs w:val="21"/>
        </w:rPr>
        <w:t>3</w:t>
      </w:r>
      <w:r>
        <w:rPr>
          <w:color w:val="000000" w:themeColor="text1"/>
          <w:szCs w:val="21"/>
        </w:rPr>
        <w:t xml:space="preserve">.5 </w:t>
      </w:r>
      <w:r>
        <w:rPr>
          <w:color w:val="000000" w:themeColor="text1"/>
          <w:szCs w:val="21"/>
        </w:rPr>
        <w:t>气雾剂剂型</w:t>
      </w:r>
      <w:r>
        <w:rPr>
          <w:rFonts w:hint="eastAsia"/>
          <w:color w:val="000000" w:themeColor="text1"/>
          <w:szCs w:val="21"/>
        </w:rPr>
        <w:t>及</w:t>
      </w:r>
      <w:r>
        <w:rPr>
          <w:color w:val="000000" w:themeColor="text1"/>
          <w:szCs w:val="21"/>
        </w:rPr>
        <w:t>喷雾</w:t>
      </w:r>
      <w:proofErr w:type="gramStart"/>
      <w:r>
        <w:rPr>
          <w:color w:val="000000" w:themeColor="text1"/>
          <w:szCs w:val="21"/>
        </w:rPr>
        <w:t>剂</w:t>
      </w:r>
      <w:proofErr w:type="gramEnd"/>
      <w:r>
        <w:rPr>
          <w:color w:val="000000" w:themeColor="text1"/>
          <w:szCs w:val="21"/>
        </w:rPr>
        <w:t>剂型化妆品产品</w:t>
      </w:r>
    </w:p>
    <w:p w:rsidR="003228A0" w:rsidRDefault="00493676">
      <w:pPr>
        <w:widowControl/>
        <w:snapToGrid w:val="0"/>
        <w:spacing w:line="300" w:lineRule="auto"/>
        <w:ind w:firstLineChars="200" w:firstLine="420"/>
        <w:jc w:val="left"/>
        <w:rPr>
          <w:color w:val="000000" w:themeColor="text1"/>
          <w:szCs w:val="21"/>
        </w:rPr>
      </w:pPr>
      <w:r>
        <w:rPr>
          <w:rFonts w:hint="eastAsia"/>
          <w:color w:val="000000" w:themeColor="text1"/>
          <w:szCs w:val="21"/>
        </w:rPr>
        <w:t>化妆品</w:t>
      </w:r>
      <w:r>
        <w:rPr>
          <w:color w:val="000000" w:themeColor="text1"/>
          <w:szCs w:val="21"/>
        </w:rPr>
        <w:t>中气雾剂剂型（含推进剂）</w:t>
      </w:r>
      <w:r>
        <w:rPr>
          <w:rFonts w:hint="eastAsia"/>
          <w:color w:val="000000" w:themeColor="text1"/>
          <w:szCs w:val="21"/>
        </w:rPr>
        <w:t>及喷雾剂剂型</w:t>
      </w:r>
      <w:r>
        <w:rPr>
          <w:color w:val="000000" w:themeColor="text1"/>
          <w:szCs w:val="21"/>
        </w:rPr>
        <w:t>的化妆品前处理如下：</w:t>
      </w:r>
    </w:p>
    <w:p w:rsidR="003228A0" w:rsidRDefault="00493676">
      <w:pPr>
        <w:widowControl/>
        <w:snapToGrid w:val="0"/>
        <w:spacing w:line="300" w:lineRule="auto"/>
        <w:ind w:firstLineChars="200" w:firstLine="420"/>
        <w:jc w:val="left"/>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r>
        <w:rPr>
          <w:color w:val="000000" w:themeColor="text1"/>
          <w:szCs w:val="21"/>
        </w:rPr>
        <w:t>准备器材：烧杯，一次性注射器（</w:t>
      </w:r>
      <w:r>
        <w:rPr>
          <w:color w:val="000000" w:themeColor="text1"/>
          <w:szCs w:val="21"/>
        </w:rPr>
        <w:t>2mL-5mL</w:t>
      </w:r>
      <w:r>
        <w:rPr>
          <w:color w:val="000000" w:themeColor="text1"/>
          <w:szCs w:val="21"/>
        </w:rPr>
        <w:t>）等。</w:t>
      </w:r>
    </w:p>
    <w:p w:rsidR="003228A0" w:rsidRDefault="00493676">
      <w:pPr>
        <w:widowControl/>
        <w:snapToGrid w:val="0"/>
        <w:spacing w:line="300" w:lineRule="auto"/>
        <w:ind w:firstLineChars="200" w:firstLine="420"/>
        <w:jc w:val="left"/>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r>
        <w:rPr>
          <w:color w:val="000000" w:themeColor="text1"/>
          <w:szCs w:val="21"/>
        </w:rPr>
        <w:t>取样：</w:t>
      </w:r>
      <w:r>
        <w:rPr>
          <w:rFonts w:hint="eastAsia"/>
          <w:color w:val="000000" w:themeColor="text1"/>
          <w:szCs w:val="21"/>
        </w:rPr>
        <w:t>一般情况下，首先</w:t>
      </w:r>
      <w:r>
        <w:rPr>
          <w:color w:val="000000" w:themeColor="text1"/>
          <w:szCs w:val="21"/>
        </w:rPr>
        <w:t>将样品喷至烧杯容器中，收集其液体，再按照</w:t>
      </w:r>
      <w:r>
        <w:rPr>
          <w:color w:val="000000" w:themeColor="text1"/>
          <w:szCs w:val="21"/>
        </w:rPr>
        <w:t>5.</w:t>
      </w:r>
      <w:r>
        <w:rPr>
          <w:rFonts w:hint="eastAsia"/>
          <w:color w:val="000000" w:themeColor="text1"/>
          <w:szCs w:val="21"/>
        </w:rPr>
        <w:t>2</w:t>
      </w:r>
      <w:r>
        <w:rPr>
          <w:color w:val="000000" w:themeColor="text1"/>
          <w:szCs w:val="21"/>
        </w:rPr>
        <w:t>.1</w:t>
      </w:r>
      <w:r>
        <w:rPr>
          <w:color w:val="000000" w:themeColor="text1"/>
          <w:szCs w:val="21"/>
        </w:rPr>
        <w:t>处理。</w:t>
      </w:r>
      <w:r>
        <w:rPr>
          <w:rFonts w:hint="eastAsia"/>
          <w:color w:val="000000" w:themeColor="text1"/>
          <w:szCs w:val="21"/>
        </w:rPr>
        <w:t>若样品</w:t>
      </w:r>
      <w:r>
        <w:rPr>
          <w:color w:val="000000" w:themeColor="text1"/>
          <w:szCs w:val="21"/>
        </w:rPr>
        <w:t>因为蒸发而无法收集时，可</w:t>
      </w:r>
      <w:r>
        <w:rPr>
          <w:rFonts w:hint="eastAsia"/>
          <w:color w:val="000000" w:themeColor="text1"/>
          <w:szCs w:val="21"/>
        </w:rPr>
        <w:t>模拟产品的实际使用方法，</w:t>
      </w:r>
      <w:r>
        <w:rPr>
          <w:color w:val="000000" w:themeColor="text1"/>
          <w:szCs w:val="21"/>
        </w:rPr>
        <w:t>直接</w:t>
      </w:r>
      <w:r>
        <w:rPr>
          <w:rFonts w:hint="eastAsia"/>
          <w:color w:val="000000" w:themeColor="text1"/>
          <w:szCs w:val="21"/>
        </w:rPr>
        <w:t>将</w:t>
      </w:r>
      <w:r>
        <w:rPr>
          <w:color w:val="000000" w:themeColor="text1"/>
          <w:szCs w:val="21"/>
        </w:rPr>
        <w:t>产品在受试动物正前方</w:t>
      </w:r>
      <w:r>
        <w:rPr>
          <w:color w:val="000000" w:themeColor="text1"/>
          <w:szCs w:val="21"/>
        </w:rPr>
        <w:t>10cm</w:t>
      </w:r>
      <w:r>
        <w:rPr>
          <w:color w:val="000000" w:themeColor="text1"/>
          <w:szCs w:val="21"/>
        </w:rPr>
        <w:t>处喷射，此距离可根据喷雾压力及内容</w:t>
      </w:r>
      <w:proofErr w:type="gramStart"/>
      <w:r>
        <w:rPr>
          <w:color w:val="000000" w:themeColor="text1"/>
          <w:szCs w:val="21"/>
        </w:rPr>
        <w:t>物做出</w:t>
      </w:r>
      <w:proofErr w:type="gramEnd"/>
      <w:r>
        <w:rPr>
          <w:color w:val="000000" w:themeColor="text1"/>
          <w:szCs w:val="21"/>
        </w:rPr>
        <w:t>适度调整。</w:t>
      </w:r>
    </w:p>
    <w:p w:rsidR="003228A0" w:rsidRDefault="00493676">
      <w:pPr>
        <w:widowControl/>
        <w:snapToGrid w:val="0"/>
        <w:spacing w:line="300" w:lineRule="auto"/>
        <w:ind w:firstLineChars="200" w:firstLine="420"/>
        <w:jc w:val="left"/>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w:t>
      </w:r>
      <w:r>
        <w:rPr>
          <w:color w:val="000000" w:themeColor="text1"/>
          <w:szCs w:val="21"/>
        </w:rPr>
        <w:t>储存：将配置好的供试液密封，防止杂质污染或挥发，根据样品原液的储存方式选择室温或冷藏暂放，等待试验。</w:t>
      </w:r>
    </w:p>
    <w:p w:rsidR="003228A0" w:rsidRDefault="00493676">
      <w:pPr>
        <w:snapToGrid w:val="0"/>
        <w:spacing w:line="300" w:lineRule="auto"/>
        <w:ind w:firstLineChars="200" w:firstLine="420"/>
        <w:rPr>
          <w:color w:val="000000" w:themeColor="text1"/>
          <w:szCs w:val="21"/>
        </w:rPr>
      </w:pPr>
      <w:r>
        <w:rPr>
          <w:color w:val="000000" w:themeColor="text1"/>
          <w:szCs w:val="21"/>
        </w:rPr>
        <w:t>5.</w:t>
      </w:r>
      <w:r>
        <w:rPr>
          <w:rFonts w:hint="eastAsia"/>
          <w:color w:val="000000" w:themeColor="text1"/>
          <w:szCs w:val="21"/>
        </w:rPr>
        <w:t>3</w:t>
      </w:r>
      <w:r>
        <w:rPr>
          <w:color w:val="000000" w:themeColor="text1"/>
          <w:szCs w:val="21"/>
        </w:rPr>
        <w:t>.</w:t>
      </w:r>
      <w:r>
        <w:rPr>
          <w:rFonts w:hint="eastAsia"/>
          <w:color w:val="000000" w:themeColor="text1"/>
          <w:szCs w:val="21"/>
        </w:rPr>
        <w:t>6</w:t>
      </w:r>
      <w:r>
        <w:rPr>
          <w:color w:val="000000" w:themeColor="text1"/>
          <w:szCs w:val="21"/>
        </w:rPr>
        <w:t xml:space="preserve"> </w:t>
      </w:r>
      <w:r>
        <w:rPr>
          <w:color w:val="000000" w:themeColor="text1"/>
          <w:szCs w:val="21"/>
        </w:rPr>
        <w:t>具有特殊使用方法的化妆品产品</w:t>
      </w:r>
    </w:p>
    <w:p w:rsidR="003228A0" w:rsidRDefault="00493676">
      <w:pPr>
        <w:widowControl/>
        <w:snapToGrid w:val="0"/>
        <w:spacing w:line="300" w:lineRule="auto"/>
        <w:ind w:firstLineChars="200" w:firstLine="420"/>
        <w:jc w:val="left"/>
        <w:rPr>
          <w:color w:val="000000" w:themeColor="text1"/>
          <w:szCs w:val="21"/>
        </w:rPr>
      </w:pPr>
      <w:r>
        <w:rPr>
          <w:color w:val="000000" w:themeColor="text1"/>
          <w:szCs w:val="21"/>
        </w:rPr>
        <w:lastRenderedPageBreak/>
        <w:t>若产品备注有特殊使用方法，如需要加热、溶解等操作，如美肤蜡、冻干粉</w:t>
      </w:r>
      <w:r>
        <w:rPr>
          <w:rFonts w:hint="eastAsia"/>
          <w:color w:val="000000" w:themeColor="text1"/>
          <w:szCs w:val="21"/>
        </w:rPr>
        <w:t>、浴盐</w:t>
      </w:r>
      <w:r>
        <w:rPr>
          <w:color w:val="000000" w:themeColor="text1"/>
          <w:szCs w:val="21"/>
        </w:rPr>
        <w:t>等，应在前处理时，按照样品的实际使用方法，尽可能保持受试物在实际使用中的形态。此类化妆品产品的配制应注意现用现配的原则。</w:t>
      </w:r>
    </w:p>
    <w:p w:rsidR="003228A0" w:rsidRDefault="00493676">
      <w:pPr>
        <w:snapToGrid w:val="0"/>
        <w:spacing w:beforeLines="50" w:before="156" w:afterLines="50" w:after="156" w:line="300" w:lineRule="auto"/>
        <w:rPr>
          <w:color w:val="000000" w:themeColor="text1"/>
          <w:szCs w:val="21"/>
        </w:rPr>
      </w:pPr>
      <w:r>
        <w:rPr>
          <w:color w:val="000000" w:themeColor="text1"/>
          <w:szCs w:val="21"/>
        </w:rPr>
        <w:t>5.</w:t>
      </w:r>
      <w:r>
        <w:rPr>
          <w:rFonts w:hint="eastAsia"/>
          <w:color w:val="000000" w:themeColor="text1"/>
          <w:szCs w:val="21"/>
        </w:rPr>
        <w:t>4</w:t>
      </w:r>
      <w:r>
        <w:rPr>
          <w:color w:val="000000" w:themeColor="text1"/>
          <w:szCs w:val="21"/>
        </w:rPr>
        <w:t xml:space="preserve"> </w:t>
      </w:r>
      <w:r>
        <w:rPr>
          <w:color w:val="000000" w:themeColor="text1"/>
          <w:szCs w:val="21"/>
        </w:rPr>
        <w:t>其他</w:t>
      </w:r>
    </w:p>
    <w:p w:rsidR="003228A0" w:rsidRDefault="00493676">
      <w:pPr>
        <w:widowControl/>
        <w:snapToGrid w:val="0"/>
        <w:spacing w:line="300" w:lineRule="auto"/>
        <w:ind w:firstLineChars="200" w:firstLine="420"/>
        <w:jc w:val="left"/>
        <w:rPr>
          <w:color w:val="000000" w:themeColor="text1"/>
          <w:szCs w:val="21"/>
        </w:rPr>
      </w:pPr>
      <w:r>
        <w:rPr>
          <w:color w:val="000000" w:themeColor="text1"/>
          <w:szCs w:val="21"/>
        </w:rPr>
        <w:t>化妆品原料及其产品为其他特殊性状时，应综合考虑受试物理化特性和人群接触特征，选择不影响受试物毒理学特性的前处理方式。</w:t>
      </w:r>
    </w:p>
    <w:p w:rsidR="003228A0" w:rsidRDefault="00493676" w:rsidP="00584D1C">
      <w:pPr>
        <w:snapToGrid w:val="0"/>
        <w:spacing w:beforeLines="50" w:before="156" w:afterLines="50" w:after="156" w:line="300" w:lineRule="auto"/>
        <w:rPr>
          <w:rFonts w:ascii="黑体" w:eastAsia="黑体" w:hAnsi="黑体"/>
          <w:color w:val="000000" w:themeColor="text1"/>
          <w:szCs w:val="21"/>
        </w:rPr>
      </w:pPr>
      <w:r>
        <w:rPr>
          <w:rFonts w:ascii="黑体" w:eastAsia="黑体" w:hAnsi="黑体" w:hint="eastAsia"/>
          <w:color w:val="000000" w:themeColor="text1"/>
          <w:szCs w:val="21"/>
        </w:rPr>
        <w:t>6</w:t>
      </w:r>
      <w:r>
        <w:rPr>
          <w:rFonts w:ascii="黑体" w:eastAsia="黑体" w:hAnsi="黑体"/>
          <w:color w:val="000000" w:themeColor="text1"/>
          <w:szCs w:val="21"/>
        </w:rPr>
        <w:t xml:space="preserve"> 注意事项</w:t>
      </w:r>
    </w:p>
    <w:p w:rsidR="003228A0" w:rsidRDefault="00493676">
      <w:pPr>
        <w:widowControl/>
        <w:snapToGrid w:val="0"/>
        <w:spacing w:line="300" w:lineRule="auto"/>
        <w:ind w:firstLineChars="200" w:firstLine="420"/>
        <w:jc w:val="left"/>
        <w:rPr>
          <w:color w:val="000000" w:themeColor="text1"/>
          <w:szCs w:val="21"/>
        </w:rPr>
      </w:pPr>
      <w:r>
        <w:rPr>
          <w:color w:val="000000" w:themeColor="text1"/>
          <w:szCs w:val="21"/>
        </w:rPr>
        <w:t>经皮染毒时，溶剂应另外注意不影响受试物穿透皮肤，保证受试物与皮肤有良好接触，常用的介质有蒸馏水、羊毛脂、凡士林。</w:t>
      </w:r>
    </w:p>
    <w:p w:rsidR="003228A0" w:rsidRDefault="00493676">
      <w:pPr>
        <w:widowControl/>
        <w:snapToGrid w:val="0"/>
        <w:spacing w:line="300" w:lineRule="auto"/>
        <w:ind w:firstLineChars="200" w:firstLine="420"/>
        <w:jc w:val="left"/>
        <w:rPr>
          <w:color w:val="000000" w:themeColor="text1"/>
          <w:szCs w:val="21"/>
        </w:rPr>
      </w:pPr>
      <w:r>
        <w:rPr>
          <w:color w:val="000000" w:themeColor="text1"/>
          <w:szCs w:val="21"/>
        </w:rPr>
        <w:t>经口染毒时，受试物均应溶解于适宜的溶剂中，在选择溶剂时应不高于经口染毒液体的最大容量，啮齿类动物所给液体容量一般为</w:t>
      </w:r>
      <w:r>
        <w:rPr>
          <w:color w:val="000000" w:themeColor="text1"/>
          <w:szCs w:val="21"/>
        </w:rPr>
        <w:t>1mL/100g</w:t>
      </w:r>
      <w:r>
        <w:rPr>
          <w:color w:val="000000" w:themeColor="text1"/>
          <w:szCs w:val="21"/>
        </w:rPr>
        <w:t>，水溶液可至</w:t>
      </w:r>
      <w:r>
        <w:rPr>
          <w:color w:val="000000" w:themeColor="text1"/>
          <w:szCs w:val="21"/>
        </w:rPr>
        <w:t>2mL/100g</w:t>
      </w:r>
      <w:r>
        <w:rPr>
          <w:color w:val="000000" w:themeColor="text1"/>
          <w:szCs w:val="21"/>
        </w:rPr>
        <w:t>。通过调整受试物溶液浓度使各剂量组经口染毒的容量一致。</w:t>
      </w:r>
    </w:p>
    <w:p w:rsidR="003228A0" w:rsidRDefault="00493676">
      <w:pPr>
        <w:widowControl/>
        <w:snapToGrid w:val="0"/>
        <w:spacing w:line="300" w:lineRule="auto"/>
        <w:ind w:firstLineChars="200" w:firstLine="420"/>
        <w:jc w:val="left"/>
        <w:rPr>
          <w:color w:val="000000" w:themeColor="text1"/>
          <w:szCs w:val="21"/>
        </w:rPr>
      </w:pPr>
      <w:r>
        <w:rPr>
          <w:color w:val="000000" w:themeColor="text1"/>
          <w:szCs w:val="21"/>
        </w:rPr>
        <w:t>吸入染毒时，受试物须在空气中保持一定浓度，必要时可加入适当的赋形剂。赋形剂本身应无毒性，不与受试物反应且不影响受试物的吸收。</w:t>
      </w:r>
    </w:p>
    <w:p w:rsidR="003228A0" w:rsidRDefault="00493676">
      <w:pPr>
        <w:widowControl/>
        <w:snapToGrid w:val="0"/>
        <w:spacing w:line="300" w:lineRule="auto"/>
        <w:ind w:firstLineChars="200" w:firstLine="420"/>
        <w:jc w:val="left"/>
        <w:rPr>
          <w:color w:val="000000" w:themeColor="text1"/>
          <w:szCs w:val="21"/>
        </w:rPr>
      </w:pPr>
      <w:r>
        <w:rPr>
          <w:color w:val="000000" w:themeColor="text1"/>
          <w:szCs w:val="21"/>
        </w:rPr>
        <w:t>在体外试验中，需要注意无菌条件，若受试物含有微生物，则需要进行灭菌处理，首选过滤除菌，次选高压灭菌。如进行细菌回复突变试验，若受试物已知和经证实含有组氨酸并可能影响试验结果，必要时先进行预处理（如经</w:t>
      </w:r>
      <w:r>
        <w:rPr>
          <w:color w:val="000000" w:themeColor="text1"/>
          <w:szCs w:val="21"/>
        </w:rPr>
        <w:t>XAD-Ⅱ</w:t>
      </w:r>
      <w:r>
        <w:rPr>
          <w:color w:val="000000" w:themeColor="text1"/>
          <w:szCs w:val="21"/>
        </w:rPr>
        <w:t>树脂柱过滤）。</w:t>
      </w:r>
    </w:p>
    <w:p w:rsidR="003228A0" w:rsidRDefault="00493676">
      <w:pPr>
        <w:widowControl/>
        <w:snapToGrid w:val="0"/>
        <w:spacing w:line="300" w:lineRule="auto"/>
        <w:ind w:firstLineChars="200" w:firstLine="420"/>
        <w:jc w:val="left"/>
        <w:rPr>
          <w:color w:val="000000" w:themeColor="text1"/>
          <w:szCs w:val="21"/>
        </w:rPr>
      </w:pPr>
      <w:r>
        <w:rPr>
          <w:color w:val="000000" w:themeColor="text1"/>
          <w:szCs w:val="21"/>
        </w:rPr>
        <w:t>化妆品原料及其产品的酸碱度不能影响细胞或细菌的正常生长，若化妆品原料及其产品为强酸强碱（</w:t>
      </w:r>
      <w:r>
        <w:rPr>
          <w:color w:val="000000" w:themeColor="text1"/>
          <w:szCs w:val="21"/>
        </w:rPr>
        <w:t>pH</w:t>
      </w:r>
      <w:r w:rsidR="00584D1C">
        <w:rPr>
          <w:rFonts w:hint="eastAsia"/>
          <w:color w:val="000000" w:themeColor="text1"/>
          <w:szCs w:val="21"/>
        </w:rPr>
        <w:t xml:space="preserve"> </w:t>
      </w:r>
      <w:r>
        <w:rPr>
          <w:color w:val="000000" w:themeColor="text1"/>
          <w:szCs w:val="21"/>
        </w:rPr>
        <w:t>≤</w:t>
      </w:r>
      <w:r w:rsidR="00584D1C">
        <w:rPr>
          <w:rFonts w:hint="eastAsia"/>
          <w:color w:val="000000" w:themeColor="text1"/>
          <w:szCs w:val="21"/>
        </w:rPr>
        <w:t xml:space="preserve"> </w:t>
      </w:r>
      <w:r>
        <w:rPr>
          <w:color w:val="000000" w:themeColor="text1"/>
          <w:szCs w:val="21"/>
        </w:rPr>
        <w:t>2</w:t>
      </w:r>
      <w:r>
        <w:rPr>
          <w:color w:val="000000" w:themeColor="text1"/>
          <w:szCs w:val="21"/>
        </w:rPr>
        <w:t>或</w:t>
      </w:r>
      <w:r>
        <w:rPr>
          <w:color w:val="000000" w:themeColor="text1"/>
          <w:szCs w:val="21"/>
        </w:rPr>
        <w:t>pH</w:t>
      </w:r>
      <w:r w:rsidR="00584D1C">
        <w:rPr>
          <w:rFonts w:hint="eastAsia"/>
          <w:color w:val="000000" w:themeColor="text1"/>
          <w:szCs w:val="21"/>
        </w:rPr>
        <w:t xml:space="preserve"> </w:t>
      </w:r>
      <w:r>
        <w:rPr>
          <w:color w:val="000000" w:themeColor="text1"/>
          <w:szCs w:val="21"/>
        </w:rPr>
        <w:t>≥</w:t>
      </w:r>
      <w:r w:rsidR="00584D1C">
        <w:rPr>
          <w:rFonts w:hint="eastAsia"/>
          <w:color w:val="000000" w:themeColor="text1"/>
          <w:szCs w:val="21"/>
        </w:rPr>
        <w:t xml:space="preserve"> </w:t>
      </w:r>
      <w:r>
        <w:rPr>
          <w:color w:val="000000" w:themeColor="text1"/>
          <w:szCs w:val="21"/>
        </w:rPr>
        <w:t>11.5</w:t>
      </w:r>
      <w:r>
        <w:rPr>
          <w:color w:val="000000" w:themeColor="text1"/>
          <w:szCs w:val="21"/>
        </w:rPr>
        <w:t>），可不再做皮肤刺激性</w:t>
      </w:r>
      <w:r>
        <w:rPr>
          <w:color w:val="000000" w:themeColor="text1"/>
          <w:szCs w:val="21"/>
        </w:rPr>
        <w:t>/</w:t>
      </w:r>
      <w:r>
        <w:rPr>
          <w:color w:val="000000" w:themeColor="text1"/>
          <w:szCs w:val="21"/>
        </w:rPr>
        <w:t>腐蚀性试验和急性眼刺激性</w:t>
      </w:r>
      <w:r>
        <w:rPr>
          <w:color w:val="000000" w:themeColor="text1"/>
          <w:szCs w:val="21"/>
        </w:rPr>
        <w:t>/</w:t>
      </w:r>
      <w:r>
        <w:rPr>
          <w:color w:val="000000" w:themeColor="text1"/>
          <w:szCs w:val="21"/>
        </w:rPr>
        <w:t>腐蚀性试验。</w:t>
      </w:r>
    </w:p>
    <w:p w:rsidR="003228A0" w:rsidRDefault="003228A0">
      <w:pPr>
        <w:snapToGrid w:val="0"/>
        <w:spacing w:line="300" w:lineRule="auto"/>
        <w:rPr>
          <w:rFonts w:eastAsia="仿宋_GB2312"/>
          <w:color w:val="000000" w:themeColor="text1"/>
          <w:sz w:val="24"/>
        </w:rPr>
      </w:pPr>
    </w:p>
    <w:p w:rsidR="003228A0" w:rsidRDefault="003228A0">
      <w:pPr>
        <w:snapToGrid w:val="0"/>
        <w:spacing w:line="300" w:lineRule="auto"/>
        <w:ind w:firstLineChars="200" w:firstLine="480"/>
        <w:rPr>
          <w:rFonts w:eastAsia="仿宋_GB2312"/>
          <w:color w:val="000000" w:themeColor="text1"/>
          <w:sz w:val="24"/>
        </w:rPr>
      </w:pPr>
    </w:p>
    <w:p w:rsidR="003228A0" w:rsidRDefault="003228A0">
      <w:pPr>
        <w:snapToGrid w:val="0"/>
        <w:spacing w:line="300" w:lineRule="auto"/>
        <w:ind w:firstLineChars="200" w:firstLine="480"/>
        <w:rPr>
          <w:rFonts w:eastAsia="仿宋_GB2312"/>
          <w:color w:val="000000" w:themeColor="text1"/>
          <w:sz w:val="24"/>
        </w:rPr>
      </w:pPr>
    </w:p>
    <w:p w:rsidR="00EC1B0F" w:rsidRDefault="00EC1B0F">
      <w:pPr>
        <w:snapToGrid w:val="0"/>
        <w:spacing w:line="300" w:lineRule="auto"/>
        <w:ind w:firstLineChars="200" w:firstLine="480"/>
        <w:rPr>
          <w:rFonts w:eastAsia="仿宋_GB2312"/>
          <w:color w:val="000000" w:themeColor="text1"/>
          <w:sz w:val="24"/>
        </w:rPr>
      </w:pPr>
    </w:p>
    <w:p w:rsidR="00EC1B0F" w:rsidRDefault="00EC1B0F">
      <w:pPr>
        <w:widowControl/>
        <w:jc w:val="left"/>
        <w:rPr>
          <w:rFonts w:eastAsia="仿宋_GB2312"/>
          <w:color w:val="000000" w:themeColor="text1"/>
          <w:sz w:val="24"/>
        </w:rPr>
      </w:pPr>
      <w:r>
        <w:rPr>
          <w:rFonts w:eastAsia="仿宋_GB2312"/>
          <w:color w:val="000000" w:themeColor="text1"/>
          <w:sz w:val="24"/>
        </w:rPr>
        <w:br w:type="page"/>
      </w:r>
    </w:p>
    <w:p w:rsidR="00EC1B0F" w:rsidRDefault="002D1D34" w:rsidP="00EC1B0F">
      <w:pPr>
        <w:snapToGrid w:val="0"/>
        <w:spacing w:beforeLines="50" w:before="156" w:afterLines="50" w:after="156" w:line="300" w:lineRule="auto"/>
        <w:jc w:val="center"/>
        <w:rPr>
          <w:rFonts w:ascii="黑体" w:eastAsia="黑体" w:hAnsi="黑体" w:cs="黑体"/>
          <w:bCs/>
          <w:sz w:val="32"/>
          <w:szCs w:val="32"/>
        </w:rPr>
      </w:pPr>
      <w:r w:rsidRPr="002D1D34">
        <w:rPr>
          <w:rFonts w:ascii="黑体" w:eastAsia="黑体" w:hAnsi="黑体" w:cs="黑体" w:hint="eastAsia"/>
          <w:bCs/>
          <w:sz w:val="32"/>
          <w:szCs w:val="32"/>
        </w:rPr>
        <w:lastRenderedPageBreak/>
        <w:t>化妆品原料及其产品毒理学试验样品前处理技术要求</w:t>
      </w:r>
    </w:p>
    <w:p w:rsidR="00EC1B0F" w:rsidRDefault="00EC1B0F" w:rsidP="00EC1B0F">
      <w:pPr>
        <w:snapToGrid w:val="0"/>
        <w:spacing w:beforeLines="50" w:before="156" w:afterLines="50" w:after="156" w:line="300" w:lineRule="auto"/>
        <w:jc w:val="center"/>
        <w:rPr>
          <w:rFonts w:ascii="黑体" w:eastAsia="黑体" w:hAnsi="黑体" w:cs="黑体"/>
          <w:bCs/>
          <w:sz w:val="32"/>
          <w:szCs w:val="32"/>
        </w:rPr>
      </w:pPr>
      <w:r>
        <w:rPr>
          <w:rFonts w:ascii="黑体" w:eastAsia="黑体" w:hAnsi="黑体" w:cs="黑体" w:hint="eastAsia"/>
          <w:bCs/>
          <w:sz w:val="32"/>
          <w:szCs w:val="32"/>
        </w:rPr>
        <w:t>起草说明</w:t>
      </w:r>
    </w:p>
    <w:p w:rsidR="00EC1B0F" w:rsidRDefault="00EC1B0F" w:rsidP="00EC1B0F">
      <w:pPr>
        <w:snapToGrid w:val="0"/>
        <w:spacing w:line="300" w:lineRule="auto"/>
        <w:ind w:firstLineChars="200" w:firstLine="420"/>
        <w:rPr>
          <w:szCs w:val="21"/>
        </w:rPr>
      </w:pPr>
      <w:r>
        <w:rPr>
          <w:szCs w:val="21"/>
        </w:rPr>
        <w:t>为加强化妆品的监督管理，进一步提高化妆品使用安全性，中国食品药品检定研究院组织开展了化妆品原料及其产品前处理通则方法的研究制定工作。现就工作有关情况说明如下：</w:t>
      </w:r>
    </w:p>
    <w:p w:rsidR="00EC1B0F" w:rsidRDefault="00EC1B0F" w:rsidP="00EC1B0F">
      <w:pPr>
        <w:snapToGrid w:val="0"/>
        <w:spacing w:beforeLines="50" w:before="156" w:afterLines="50" w:after="156" w:line="300" w:lineRule="auto"/>
        <w:rPr>
          <w:rFonts w:ascii="黑体" w:eastAsia="黑体" w:hAnsi="黑体" w:cs="黑体"/>
          <w:szCs w:val="21"/>
        </w:rPr>
      </w:pPr>
      <w:r>
        <w:rPr>
          <w:rFonts w:ascii="黑体" w:eastAsia="黑体" w:hAnsi="黑体" w:cs="黑体" w:hint="eastAsia"/>
          <w:szCs w:val="21"/>
        </w:rPr>
        <w:t>一、</w:t>
      </w:r>
      <w:r>
        <w:rPr>
          <w:rFonts w:ascii="黑体" w:eastAsia="黑体" w:hAnsi="黑体" w:cs="黑体"/>
          <w:szCs w:val="21"/>
        </w:rPr>
        <w:t>起草原则</w:t>
      </w:r>
    </w:p>
    <w:p w:rsidR="00EC1B0F" w:rsidRDefault="00EC1B0F" w:rsidP="00EC1B0F">
      <w:pPr>
        <w:snapToGrid w:val="0"/>
        <w:spacing w:line="300" w:lineRule="auto"/>
        <w:ind w:firstLineChars="200" w:firstLine="420"/>
        <w:rPr>
          <w:szCs w:val="21"/>
        </w:rPr>
      </w:pPr>
      <w:r>
        <w:rPr>
          <w:szCs w:val="21"/>
        </w:rPr>
        <w:t>本标准力求包含各种化妆品原料及其产品性状的</w:t>
      </w:r>
      <w:r>
        <w:rPr>
          <w:rFonts w:hint="eastAsia"/>
          <w:szCs w:val="21"/>
        </w:rPr>
        <w:t>毒理学试验</w:t>
      </w:r>
      <w:r>
        <w:rPr>
          <w:szCs w:val="21"/>
        </w:rPr>
        <w:t>前处理方法，但考虑到化妆品产品总是不断更新迭代，以及国内各化妆品检验检测实验室的实际试验条件，本标准在保证方法可行性的同时，兼顾了体内外毒理学实验的科学性和便捷性。</w:t>
      </w:r>
    </w:p>
    <w:p w:rsidR="00EC1B0F" w:rsidRDefault="00EC1B0F" w:rsidP="00EC1B0F">
      <w:pPr>
        <w:snapToGrid w:val="0"/>
        <w:spacing w:beforeLines="50" w:before="156" w:afterLines="50" w:after="156" w:line="300" w:lineRule="auto"/>
        <w:rPr>
          <w:rFonts w:ascii="黑体" w:eastAsia="黑体" w:hAnsi="黑体" w:cs="黑体"/>
          <w:szCs w:val="21"/>
        </w:rPr>
      </w:pPr>
      <w:r>
        <w:rPr>
          <w:rFonts w:ascii="黑体" w:eastAsia="黑体" w:hAnsi="黑体" w:cs="黑体" w:hint="eastAsia"/>
          <w:szCs w:val="21"/>
        </w:rPr>
        <w:t>二、</w:t>
      </w:r>
      <w:r>
        <w:rPr>
          <w:rFonts w:ascii="黑体" w:eastAsia="黑体" w:hAnsi="黑体" w:cs="黑体"/>
          <w:szCs w:val="21"/>
        </w:rPr>
        <w:t>起草过程</w:t>
      </w:r>
    </w:p>
    <w:p w:rsidR="00EC1B0F" w:rsidRDefault="00EC1B0F" w:rsidP="00EC1B0F">
      <w:pPr>
        <w:snapToGrid w:val="0"/>
        <w:spacing w:line="300" w:lineRule="auto"/>
        <w:ind w:firstLineChars="200" w:firstLine="420"/>
        <w:rPr>
          <w:szCs w:val="21"/>
        </w:rPr>
      </w:pPr>
      <w:r>
        <w:rPr>
          <w:szCs w:val="21"/>
        </w:rPr>
        <w:t>以《化妆品安全技术规范》（</w:t>
      </w:r>
      <w:r>
        <w:rPr>
          <w:szCs w:val="21"/>
        </w:rPr>
        <w:t>2015</w:t>
      </w:r>
      <w:r>
        <w:rPr>
          <w:szCs w:val="21"/>
        </w:rPr>
        <w:t>年版）中各项毒理学试验为考虑基础，结合我国化妆品监管政策要求、检测实验室的技术水平以及化妆品原料及其产品的特点，起草了《</w:t>
      </w:r>
      <w:r w:rsidR="002D1D34" w:rsidRPr="002D1D34">
        <w:rPr>
          <w:rFonts w:hint="eastAsia"/>
          <w:szCs w:val="21"/>
        </w:rPr>
        <w:t>化妆品原料及其产品毒理学试验样品前处理技术要求</w:t>
      </w:r>
      <w:r>
        <w:rPr>
          <w:szCs w:val="21"/>
        </w:rPr>
        <w:t>》，内容包括方法适用范围、试验目的、术语定义、试验的基本原则、试验方法。</w:t>
      </w:r>
    </w:p>
    <w:p w:rsidR="00EC1B0F" w:rsidRDefault="00EC1B0F" w:rsidP="00EC1B0F">
      <w:pPr>
        <w:snapToGrid w:val="0"/>
        <w:spacing w:line="300" w:lineRule="auto"/>
        <w:ind w:firstLineChars="200" w:firstLine="420"/>
        <w:rPr>
          <w:szCs w:val="21"/>
        </w:rPr>
      </w:pPr>
      <w:r>
        <w:rPr>
          <w:rFonts w:hint="eastAsia"/>
          <w:szCs w:val="21"/>
        </w:rPr>
        <w:t>2022</w:t>
      </w:r>
      <w:r>
        <w:rPr>
          <w:rFonts w:hint="eastAsia"/>
          <w:szCs w:val="21"/>
        </w:rPr>
        <w:t>年</w:t>
      </w:r>
      <w:r>
        <w:rPr>
          <w:rFonts w:hint="eastAsia"/>
          <w:szCs w:val="21"/>
        </w:rPr>
        <w:t>11</w:t>
      </w:r>
      <w:r>
        <w:rPr>
          <w:rFonts w:hint="eastAsia"/>
          <w:szCs w:val="21"/>
        </w:rPr>
        <w:t>月</w:t>
      </w:r>
      <w:r>
        <w:rPr>
          <w:rFonts w:hint="eastAsia"/>
          <w:szCs w:val="21"/>
        </w:rPr>
        <w:t>10</w:t>
      </w:r>
      <w:r>
        <w:rPr>
          <w:rFonts w:hint="eastAsia"/>
          <w:szCs w:val="21"/>
        </w:rPr>
        <w:t>日，本项目组与上海市医疗器械化妆品审评核查中心、中国食品药品检定研究院共同召开了化妆品原料及其产品前处理通则的专家研讨会，对化妆品原料及化妆品产品两部分的前处理方法进行详细分析讨论。</w:t>
      </w:r>
    </w:p>
    <w:p w:rsidR="00EC1B0F" w:rsidRDefault="00EC1B0F" w:rsidP="00EC1B0F">
      <w:pPr>
        <w:snapToGrid w:val="0"/>
        <w:spacing w:line="300" w:lineRule="auto"/>
        <w:ind w:firstLineChars="200" w:firstLine="420"/>
        <w:rPr>
          <w:szCs w:val="21"/>
        </w:rPr>
      </w:pPr>
      <w:r>
        <w:rPr>
          <w:rFonts w:hint="eastAsia"/>
          <w:szCs w:val="21"/>
        </w:rPr>
        <w:t>2023</w:t>
      </w:r>
      <w:r>
        <w:rPr>
          <w:rFonts w:hint="eastAsia"/>
          <w:szCs w:val="21"/>
        </w:rPr>
        <w:t>年</w:t>
      </w:r>
      <w:r>
        <w:rPr>
          <w:rFonts w:hint="eastAsia"/>
          <w:szCs w:val="21"/>
        </w:rPr>
        <w:t>5</w:t>
      </w:r>
      <w:r>
        <w:rPr>
          <w:rFonts w:hint="eastAsia"/>
          <w:szCs w:val="21"/>
        </w:rPr>
        <w:t>月</w:t>
      </w:r>
      <w:r>
        <w:rPr>
          <w:rFonts w:hint="eastAsia"/>
          <w:szCs w:val="21"/>
        </w:rPr>
        <w:t>11</w:t>
      </w:r>
      <w:r>
        <w:rPr>
          <w:rFonts w:hint="eastAsia"/>
          <w:szCs w:val="21"/>
        </w:rPr>
        <w:t>日，经中检院组织的专家会议，再次修改文本内容，增加了样品取样和储存方法，并修改规范性名词的用法，明确化妆品产品的分类方法，删除浸提液提取的方式，形成本稿。</w:t>
      </w:r>
    </w:p>
    <w:p w:rsidR="00EC1B0F" w:rsidRDefault="00EC1B0F" w:rsidP="00EC1B0F">
      <w:pPr>
        <w:snapToGrid w:val="0"/>
        <w:spacing w:line="300" w:lineRule="auto"/>
        <w:ind w:firstLineChars="200" w:firstLine="420"/>
        <w:rPr>
          <w:szCs w:val="21"/>
        </w:rPr>
      </w:pPr>
      <w:r>
        <w:rPr>
          <w:rFonts w:hint="eastAsia"/>
          <w:szCs w:val="21"/>
        </w:rPr>
        <w:t>2023</w:t>
      </w:r>
      <w:r>
        <w:rPr>
          <w:rFonts w:hint="eastAsia"/>
          <w:szCs w:val="21"/>
        </w:rPr>
        <w:t>年</w:t>
      </w:r>
      <w:r>
        <w:rPr>
          <w:rFonts w:hint="eastAsia"/>
          <w:szCs w:val="21"/>
        </w:rPr>
        <w:t>11</w:t>
      </w:r>
      <w:r>
        <w:rPr>
          <w:rFonts w:hint="eastAsia"/>
          <w:szCs w:val="21"/>
        </w:rPr>
        <w:t>月</w:t>
      </w:r>
      <w:r>
        <w:rPr>
          <w:rFonts w:hint="eastAsia"/>
          <w:szCs w:val="21"/>
        </w:rPr>
        <w:t>8</w:t>
      </w:r>
      <w:r>
        <w:rPr>
          <w:rFonts w:hint="eastAsia"/>
          <w:szCs w:val="21"/>
        </w:rPr>
        <w:t>日，经中检院组织的专家会议，第三次修改本文内容，调整了文本顺序，</w:t>
      </w:r>
      <w:proofErr w:type="gramStart"/>
      <w:r>
        <w:rPr>
          <w:rFonts w:hint="eastAsia"/>
          <w:szCs w:val="21"/>
        </w:rPr>
        <w:t>增加难</w:t>
      </w:r>
      <w:proofErr w:type="gramEnd"/>
      <w:r>
        <w:rPr>
          <w:rFonts w:hint="eastAsia"/>
          <w:szCs w:val="21"/>
        </w:rPr>
        <w:t>溶样品的处理方法，使文本更具参考意义。</w:t>
      </w:r>
    </w:p>
    <w:p w:rsidR="00EC1B0F" w:rsidRDefault="00EC1B0F" w:rsidP="00EC1B0F">
      <w:pPr>
        <w:snapToGrid w:val="0"/>
        <w:spacing w:line="300" w:lineRule="auto"/>
        <w:ind w:firstLineChars="200" w:firstLine="420"/>
        <w:rPr>
          <w:szCs w:val="21"/>
        </w:rPr>
      </w:pPr>
      <w:r>
        <w:rPr>
          <w:szCs w:val="21"/>
        </w:rPr>
        <w:t>根据该标准草案，本实验室通过多年化妆品检测经验，并经过广泛查阅相关资料以及征求其他检测部门的意见及建议，最终拟定本规范。</w:t>
      </w:r>
    </w:p>
    <w:p w:rsidR="00EC1B0F" w:rsidRDefault="00EC1B0F" w:rsidP="00EC1B0F">
      <w:pPr>
        <w:snapToGrid w:val="0"/>
        <w:spacing w:beforeLines="50" w:before="156" w:afterLines="50" w:after="156" w:line="300" w:lineRule="auto"/>
        <w:rPr>
          <w:rFonts w:ascii="黑体" w:eastAsia="黑体" w:hAnsi="黑体" w:cs="黑体"/>
          <w:szCs w:val="21"/>
        </w:rPr>
      </w:pPr>
      <w:r>
        <w:rPr>
          <w:rFonts w:ascii="黑体" w:eastAsia="黑体" w:hAnsi="黑体" w:cs="黑体" w:hint="eastAsia"/>
          <w:szCs w:val="21"/>
        </w:rPr>
        <w:t>三、与我国已有相关标准的关系</w:t>
      </w:r>
    </w:p>
    <w:p w:rsidR="00EC1B0F" w:rsidRDefault="00EC1B0F" w:rsidP="00EC1B0F">
      <w:pPr>
        <w:snapToGrid w:val="0"/>
        <w:spacing w:line="300" w:lineRule="auto"/>
        <w:ind w:firstLineChars="200" w:firstLine="420"/>
        <w:rPr>
          <w:rFonts w:ascii="黑体" w:eastAsia="黑体" w:hAnsi="黑体" w:cs="黑体"/>
          <w:szCs w:val="21"/>
        </w:rPr>
      </w:pPr>
      <w:r>
        <w:rPr>
          <w:szCs w:val="21"/>
        </w:rPr>
        <w:t>化妆品原料及其产品前处理是开展各项毒理学试验必需的准备工作，正确的前处理方法不仅能够使毒理学试验的操作更加便利，而且能促进受试物毒性研究结果的科学性。随着生活质量提高，化妆品原料越来越多样化，化妆品产品的种类也更加纷繁多样。面对越来越多的产品剂型，现行的《化妆品技术规范</w:t>
      </w:r>
      <w:r>
        <w:rPr>
          <w:szCs w:val="21"/>
        </w:rPr>
        <w:t>2015</w:t>
      </w:r>
      <w:r>
        <w:rPr>
          <w:rFonts w:hint="eastAsia"/>
          <w:szCs w:val="21"/>
        </w:rPr>
        <w:t>年版</w:t>
      </w:r>
      <w:r>
        <w:rPr>
          <w:szCs w:val="21"/>
        </w:rPr>
        <w:t>》中，却没有专门的章节描述化妆品原料及其产品</w:t>
      </w:r>
      <w:r>
        <w:rPr>
          <w:rFonts w:hint="eastAsia"/>
          <w:szCs w:val="21"/>
        </w:rPr>
        <w:t>的</w:t>
      </w:r>
      <w:r>
        <w:rPr>
          <w:szCs w:val="21"/>
        </w:rPr>
        <w:t>前处理</w:t>
      </w:r>
      <w:r>
        <w:rPr>
          <w:rFonts w:hint="eastAsia"/>
          <w:szCs w:val="21"/>
        </w:rPr>
        <w:t>方法</w:t>
      </w:r>
      <w:r>
        <w:rPr>
          <w:szCs w:val="21"/>
        </w:rPr>
        <w:t>。</w:t>
      </w:r>
      <w:r>
        <w:rPr>
          <w:rFonts w:hint="eastAsia"/>
          <w:szCs w:val="21"/>
        </w:rPr>
        <w:t>国际上也没有化妆品原料及其产品前处理方法的相关规定。</w:t>
      </w:r>
      <w:r>
        <w:rPr>
          <w:szCs w:val="21"/>
        </w:rPr>
        <w:t>统一规范的前处理方法有利于毒理学试验的顺利开展，一定程度上保证毒理学试验的科学性和可比性。因此，起草编制《</w:t>
      </w:r>
      <w:r w:rsidR="002D1D34" w:rsidRPr="002D1D34">
        <w:rPr>
          <w:rFonts w:hint="eastAsia"/>
          <w:szCs w:val="21"/>
        </w:rPr>
        <w:t>化妆品原料及其产品毒理学试验样品前处理技术要求</w:t>
      </w:r>
      <w:r>
        <w:rPr>
          <w:szCs w:val="21"/>
        </w:rPr>
        <w:t>》势在必行。</w:t>
      </w:r>
    </w:p>
    <w:p w:rsidR="00EC1B0F" w:rsidRDefault="00EC1B0F" w:rsidP="00EC1B0F">
      <w:pPr>
        <w:snapToGrid w:val="0"/>
        <w:spacing w:line="300" w:lineRule="auto"/>
        <w:ind w:firstLineChars="200" w:firstLine="420"/>
        <w:rPr>
          <w:rFonts w:ascii="黑体" w:eastAsia="黑体" w:hAnsi="黑体" w:cs="黑体"/>
          <w:szCs w:val="21"/>
        </w:rPr>
      </w:pPr>
      <w:r>
        <w:rPr>
          <w:rFonts w:hint="eastAsia"/>
          <w:szCs w:val="21"/>
        </w:rPr>
        <w:t>本规范起草依据及参考标准如下：</w:t>
      </w:r>
    </w:p>
    <w:p w:rsidR="00EC1B0F" w:rsidRDefault="00EC1B0F" w:rsidP="00EC1B0F">
      <w:pPr>
        <w:numPr>
          <w:ilvl w:val="0"/>
          <w:numId w:val="2"/>
        </w:numPr>
        <w:snapToGrid w:val="0"/>
        <w:spacing w:line="300" w:lineRule="auto"/>
        <w:ind w:leftChars="200" w:left="420"/>
        <w:rPr>
          <w:szCs w:val="21"/>
        </w:rPr>
      </w:pPr>
      <w:r>
        <w:rPr>
          <w:szCs w:val="21"/>
        </w:rPr>
        <w:t>《化妆品安全技术规范》（</w:t>
      </w:r>
      <w:r>
        <w:rPr>
          <w:szCs w:val="21"/>
        </w:rPr>
        <w:t>2015</w:t>
      </w:r>
      <w:r>
        <w:rPr>
          <w:szCs w:val="21"/>
        </w:rPr>
        <w:t>年版）</w:t>
      </w:r>
    </w:p>
    <w:p w:rsidR="00EC1B0F" w:rsidRDefault="00EC1B0F" w:rsidP="00EC1B0F">
      <w:pPr>
        <w:numPr>
          <w:ilvl w:val="0"/>
          <w:numId w:val="2"/>
        </w:numPr>
        <w:snapToGrid w:val="0"/>
        <w:spacing w:line="300" w:lineRule="auto"/>
        <w:ind w:leftChars="200" w:left="420"/>
        <w:rPr>
          <w:szCs w:val="21"/>
        </w:rPr>
      </w:pPr>
      <w:r>
        <w:rPr>
          <w:szCs w:val="21"/>
        </w:rPr>
        <w:t>《消毒技术规范》卫生部</w:t>
      </w:r>
      <w:r>
        <w:rPr>
          <w:szCs w:val="21"/>
        </w:rPr>
        <w:t>2002</w:t>
      </w:r>
      <w:r>
        <w:rPr>
          <w:szCs w:val="21"/>
        </w:rPr>
        <w:t>年版</w:t>
      </w:r>
    </w:p>
    <w:p w:rsidR="00EC1B0F" w:rsidRDefault="00EC1B0F" w:rsidP="00EC1B0F">
      <w:pPr>
        <w:numPr>
          <w:ilvl w:val="0"/>
          <w:numId w:val="2"/>
        </w:numPr>
        <w:snapToGrid w:val="0"/>
        <w:spacing w:line="300" w:lineRule="auto"/>
        <w:ind w:leftChars="200" w:left="420"/>
        <w:rPr>
          <w:szCs w:val="21"/>
        </w:rPr>
      </w:pPr>
      <w:r>
        <w:rPr>
          <w:szCs w:val="21"/>
        </w:rPr>
        <w:t>《急性毒性试验》</w:t>
      </w:r>
      <w:r>
        <w:rPr>
          <w:szCs w:val="21"/>
        </w:rPr>
        <w:t>GB15193.3-2003</w:t>
      </w:r>
    </w:p>
    <w:p w:rsidR="00EC1B0F" w:rsidRDefault="00EC1B0F" w:rsidP="00EC1B0F">
      <w:pPr>
        <w:numPr>
          <w:ilvl w:val="0"/>
          <w:numId w:val="2"/>
        </w:numPr>
        <w:snapToGrid w:val="0"/>
        <w:spacing w:line="300" w:lineRule="auto"/>
        <w:ind w:leftChars="200" w:left="420"/>
        <w:rPr>
          <w:szCs w:val="21"/>
        </w:rPr>
      </w:pPr>
      <w:r>
        <w:rPr>
          <w:szCs w:val="21"/>
        </w:rPr>
        <w:t>《</w:t>
      </w:r>
      <w:r>
        <w:rPr>
          <w:rFonts w:hint="eastAsia"/>
          <w:szCs w:val="21"/>
        </w:rPr>
        <w:t>食品安全国家标准</w:t>
      </w:r>
      <w:r>
        <w:rPr>
          <w:rFonts w:hint="eastAsia"/>
          <w:szCs w:val="21"/>
        </w:rPr>
        <w:t xml:space="preserve"> </w:t>
      </w:r>
      <w:r>
        <w:rPr>
          <w:szCs w:val="21"/>
        </w:rPr>
        <w:t>受试物试验前处理方法》</w:t>
      </w:r>
      <w:r>
        <w:rPr>
          <w:szCs w:val="21"/>
        </w:rPr>
        <w:t>GB15193.21-2014</w:t>
      </w:r>
    </w:p>
    <w:p w:rsidR="00EC1B0F" w:rsidRDefault="00EC1B0F" w:rsidP="00EC1B0F">
      <w:pPr>
        <w:numPr>
          <w:ilvl w:val="0"/>
          <w:numId w:val="2"/>
        </w:numPr>
        <w:snapToGrid w:val="0"/>
        <w:spacing w:line="300" w:lineRule="auto"/>
        <w:ind w:leftChars="200" w:left="420"/>
        <w:rPr>
          <w:szCs w:val="21"/>
        </w:rPr>
      </w:pPr>
      <w:r>
        <w:rPr>
          <w:szCs w:val="21"/>
        </w:rPr>
        <w:lastRenderedPageBreak/>
        <w:t>《食品安全国家标准</w:t>
      </w:r>
      <w:r>
        <w:rPr>
          <w:szCs w:val="21"/>
        </w:rPr>
        <w:t xml:space="preserve"> </w:t>
      </w:r>
      <w:r>
        <w:rPr>
          <w:szCs w:val="21"/>
        </w:rPr>
        <w:t>细菌回复突变试验》</w:t>
      </w:r>
      <w:r>
        <w:rPr>
          <w:szCs w:val="21"/>
        </w:rPr>
        <w:t>GB15193.4-2014</w:t>
      </w:r>
    </w:p>
    <w:p w:rsidR="00EC1B0F" w:rsidRDefault="00EC1B0F" w:rsidP="00EC1B0F">
      <w:pPr>
        <w:numPr>
          <w:ilvl w:val="0"/>
          <w:numId w:val="2"/>
        </w:numPr>
        <w:snapToGrid w:val="0"/>
        <w:spacing w:line="300" w:lineRule="auto"/>
        <w:ind w:leftChars="200" w:left="420"/>
        <w:rPr>
          <w:rFonts w:ascii="黑体" w:eastAsia="黑体" w:hAnsi="黑体" w:cs="黑体"/>
          <w:szCs w:val="21"/>
        </w:rPr>
      </w:pPr>
      <w:r>
        <w:rPr>
          <w:szCs w:val="21"/>
        </w:rPr>
        <w:t>《医疗器械生物学评价</w:t>
      </w:r>
      <w:r>
        <w:rPr>
          <w:szCs w:val="21"/>
        </w:rPr>
        <w:t xml:space="preserve"> </w:t>
      </w:r>
      <w:r>
        <w:rPr>
          <w:szCs w:val="21"/>
        </w:rPr>
        <w:t>第</w:t>
      </w:r>
      <w:r>
        <w:rPr>
          <w:szCs w:val="21"/>
        </w:rPr>
        <w:t>12</w:t>
      </w:r>
      <w:r>
        <w:rPr>
          <w:szCs w:val="21"/>
        </w:rPr>
        <w:t>部分</w:t>
      </w:r>
      <w:r>
        <w:rPr>
          <w:szCs w:val="21"/>
        </w:rPr>
        <w:t xml:space="preserve"> </w:t>
      </w:r>
      <w:r>
        <w:rPr>
          <w:szCs w:val="21"/>
        </w:rPr>
        <w:t>样品制备与参照材料》</w:t>
      </w:r>
      <w:r>
        <w:rPr>
          <w:szCs w:val="21"/>
        </w:rPr>
        <w:t>GB16886.12-2017</w:t>
      </w:r>
    </w:p>
    <w:p w:rsidR="00EC1B0F" w:rsidRDefault="00EC1B0F" w:rsidP="00EC1B0F">
      <w:pPr>
        <w:snapToGrid w:val="0"/>
        <w:spacing w:beforeLines="50" w:before="156" w:afterLines="50" w:after="156" w:line="300" w:lineRule="auto"/>
        <w:rPr>
          <w:rFonts w:ascii="黑体" w:eastAsia="黑体" w:hAnsi="黑体" w:cs="黑体"/>
          <w:szCs w:val="21"/>
        </w:rPr>
      </w:pPr>
      <w:r>
        <w:rPr>
          <w:rFonts w:ascii="黑体" w:eastAsia="黑体" w:hAnsi="黑体" w:cs="黑体" w:hint="eastAsia"/>
          <w:szCs w:val="21"/>
        </w:rPr>
        <w:t>四、与原有方法对比情况</w:t>
      </w:r>
    </w:p>
    <w:p w:rsidR="00EC1B0F" w:rsidRDefault="00EC1B0F" w:rsidP="00EC1B0F">
      <w:pPr>
        <w:snapToGrid w:val="0"/>
        <w:spacing w:line="300" w:lineRule="auto"/>
        <w:ind w:firstLineChars="200" w:firstLine="420"/>
        <w:rPr>
          <w:rFonts w:ascii="黑体" w:eastAsia="黑体" w:hAnsi="黑体" w:cs="黑体"/>
          <w:szCs w:val="21"/>
        </w:rPr>
      </w:pPr>
      <w:r>
        <w:rPr>
          <w:rFonts w:hint="eastAsia"/>
          <w:szCs w:val="21"/>
        </w:rPr>
        <w:t>无</w:t>
      </w:r>
      <w:r>
        <w:rPr>
          <w:szCs w:val="21"/>
        </w:rPr>
        <w:t>。</w:t>
      </w:r>
    </w:p>
    <w:p w:rsidR="00EC1B0F" w:rsidRDefault="00EC1B0F" w:rsidP="00EC1B0F">
      <w:pPr>
        <w:snapToGrid w:val="0"/>
        <w:spacing w:beforeLines="50" w:before="156" w:afterLines="50" w:after="156" w:line="300" w:lineRule="auto"/>
        <w:rPr>
          <w:rFonts w:ascii="黑体" w:eastAsia="黑体" w:hAnsi="黑体" w:cs="黑体"/>
          <w:szCs w:val="21"/>
        </w:rPr>
      </w:pPr>
      <w:r>
        <w:rPr>
          <w:rFonts w:ascii="黑体" w:eastAsia="黑体" w:hAnsi="黑体" w:cs="黑体" w:hint="eastAsia"/>
          <w:szCs w:val="21"/>
        </w:rPr>
        <w:t>五、国际相关情况</w:t>
      </w:r>
    </w:p>
    <w:p w:rsidR="00EC1B0F" w:rsidRDefault="00EC1B0F" w:rsidP="00EC1B0F">
      <w:pPr>
        <w:snapToGrid w:val="0"/>
        <w:spacing w:line="300" w:lineRule="auto"/>
        <w:ind w:firstLineChars="200" w:firstLine="420"/>
        <w:rPr>
          <w:rFonts w:ascii="黑体" w:eastAsia="黑体" w:hAnsi="黑体" w:cs="黑体"/>
          <w:szCs w:val="21"/>
        </w:rPr>
      </w:pPr>
      <w:r>
        <w:rPr>
          <w:rFonts w:hint="eastAsia"/>
          <w:szCs w:val="21"/>
        </w:rPr>
        <w:t>无</w:t>
      </w:r>
      <w:r>
        <w:rPr>
          <w:szCs w:val="21"/>
        </w:rPr>
        <w:t>。</w:t>
      </w:r>
    </w:p>
    <w:p w:rsidR="00EC1B0F" w:rsidRDefault="00EC1B0F" w:rsidP="00EC1B0F">
      <w:pPr>
        <w:snapToGrid w:val="0"/>
        <w:spacing w:beforeLines="50" w:before="156" w:afterLines="50" w:after="156" w:line="300" w:lineRule="auto"/>
        <w:rPr>
          <w:rFonts w:ascii="黑体" w:eastAsia="黑体" w:hAnsi="黑体" w:cs="黑体"/>
          <w:szCs w:val="21"/>
        </w:rPr>
      </w:pPr>
      <w:r>
        <w:rPr>
          <w:rFonts w:ascii="黑体" w:eastAsia="黑体" w:hAnsi="黑体" w:cs="黑体" w:hint="eastAsia"/>
          <w:szCs w:val="21"/>
        </w:rPr>
        <w:t>六、其他说明的问题</w:t>
      </w:r>
    </w:p>
    <w:p w:rsidR="00EC1B0F" w:rsidRDefault="00EC1B0F" w:rsidP="00EC1B0F">
      <w:pPr>
        <w:snapToGrid w:val="0"/>
        <w:spacing w:line="300" w:lineRule="auto"/>
        <w:ind w:firstLineChars="200" w:firstLine="420"/>
        <w:rPr>
          <w:szCs w:val="21"/>
        </w:rPr>
      </w:pPr>
      <w:r>
        <w:rPr>
          <w:szCs w:val="21"/>
        </w:rPr>
        <w:t>上海市疾病预防控制中心针对化妆品原料及其产品的前处理方法进行研究，并根据试验和文献资料，编制起草了《</w:t>
      </w:r>
      <w:r w:rsidR="002D1D34" w:rsidRPr="002D1D34">
        <w:rPr>
          <w:rFonts w:hint="eastAsia"/>
          <w:szCs w:val="21"/>
        </w:rPr>
        <w:t>化妆品原料及其产品</w:t>
      </w:r>
      <w:bookmarkStart w:id="0" w:name="_GoBack"/>
      <w:bookmarkEnd w:id="0"/>
      <w:r w:rsidR="002D1D34" w:rsidRPr="002D1D34">
        <w:rPr>
          <w:rFonts w:hint="eastAsia"/>
          <w:szCs w:val="21"/>
        </w:rPr>
        <w:t>毒理学试验样品前处理技术要求</w:t>
      </w:r>
      <w:r>
        <w:rPr>
          <w:szCs w:val="21"/>
        </w:rPr>
        <w:t>》。</w:t>
      </w:r>
    </w:p>
    <w:p w:rsidR="00EC1B0F" w:rsidRDefault="00EC1B0F" w:rsidP="00EC1B0F">
      <w:pPr>
        <w:numPr>
          <w:ilvl w:val="0"/>
          <w:numId w:val="3"/>
        </w:numPr>
        <w:snapToGrid w:val="0"/>
        <w:spacing w:line="300" w:lineRule="auto"/>
        <w:ind w:firstLineChars="200" w:firstLine="420"/>
        <w:rPr>
          <w:rFonts w:ascii="宋体" w:hAnsi="宋体" w:cs="宋体"/>
          <w:szCs w:val="21"/>
        </w:rPr>
      </w:pPr>
      <w:r>
        <w:rPr>
          <w:rFonts w:ascii="宋体" w:hAnsi="宋体" w:cs="宋体" w:hint="eastAsia"/>
          <w:szCs w:val="21"/>
        </w:rPr>
        <w:t>关于体例</w:t>
      </w:r>
    </w:p>
    <w:p w:rsidR="00EC1B0F" w:rsidRDefault="00EC1B0F" w:rsidP="00EC1B0F">
      <w:pPr>
        <w:snapToGrid w:val="0"/>
        <w:spacing w:line="300" w:lineRule="auto"/>
        <w:ind w:firstLineChars="200" w:firstLine="420"/>
        <w:rPr>
          <w:szCs w:val="21"/>
        </w:rPr>
      </w:pPr>
      <w:r>
        <w:rPr>
          <w:szCs w:val="21"/>
        </w:rPr>
        <w:t>本通则的体例主要参照现行《化妆品安全技术规范》（</w:t>
      </w:r>
      <w:r>
        <w:rPr>
          <w:szCs w:val="21"/>
        </w:rPr>
        <w:t>2015</w:t>
      </w:r>
      <w:r>
        <w:rPr>
          <w:szCs w:val="21"/>
        </w:rPr>
        <w:t>年版）中各项体内外毒理学试验方法的体例，便于化妆品检验领域相关检验人员的阅读和实际操作。</w:t>
      </w:r>
    </w:p>
    <w:p w:rsidR="00EC1B0F" w:rsidRDefault="00EC1B0F" w:rsidP="00EC1B0F">
      <w:pPr>
        <w:numPr>
          <w:ilvl w:val="0"/>
          <w:numId w:val="3"/>
        </w:numPr>
        <w:snapToGrid w:val="0"/>
        <w:spacing w:line="300" w:lineRule="auto"/>
        <w:ind w:firstLineChars="200" w:firstLine="420"/>
        <w:rPr>
          <w:rFonts w:ascii="宋体" w:hAnsi="宋体" w:cs="宋体"/>
          <w:szCs w:val="21"/>
        </w:rPr>
      </w:pPr>
      <w:r>
        <w:rPr>
          <w:rFonts w:ascii="宋体" w:hAnsi="宋体" w:cs="宋体" w:hint="eastAsia"/>
          <w:szCs w:val="21"/>
        </w:rPr>
        <w:t>关于方法的适用性</w:t>
      </w:r>
    </w:p>
    <w:p w:rsidR="00EC1B0F" w:rsidRDefault="00EC1B0F" w:rsidP="00EC1B0F">
      <w:pPr>
        <w:snapToGrid w:val="0"/>
        <w:spacing w:line="300" w:lineRule="auto"/>
        <w:ind w:firstLineChars="200" w:firstLine="420"/>
        <w:rPr>
          <w:szCs w:val="21"/>
        </w:rPr>
      </w:pPr>
      <w:r>
        <w:rPr>
          <w:szCs w:val="21"/>
        </w:rPr>
        <w:t>不断研发出新的化妆品原料及其产品是化妆品</w:t>
      </w:r>
      <w:r>
        <w:rPr>
          <w:rFonts w:hint="eastAsia"/>
          <w:szCs w:val="21"/>
        </w:rPr>
        <w:t>行业</w:t>
      </w:r>
      <w:r>
        <w:rPr>
          <w:szCs w:val="21"/>
        </w:rPr>
        <w:t>的特点之一，</w:t>
      </w:r>
      <w:r>
        <w:rPr>
          <w:rFonts w:hint="eastAsia"/>
          <w:szCs w:val="21"/>
        </w:rPr>
        <w:t>因此产生的化妆品原料及其产品新剂型的问题是</w:t>
      </w:r>
      <w:r>
        <w:rPr>
          <w:szCs w:val="21"/>
        </w:rPr>
        <w:t>前处理</w:t>
      </w:r>
      <w:r>
        <w:rPr>
          <w:rFonts w:hint="eastAsia"/>
          <w:szCs w:val="21"/>
        </w:rPr>
        <w:t>工作</w:t>
      </w:r>
      <w:r>
        <w:rPr>
          <w:szCs w:val="21"/>
        </w:rPr>
        <w:t>不可避免的</w:t>
      </w:r>
      <w:r>
        <w:rPr>
          <w:rFonts w:hint="eastAsia"/>
          <w:szCs w:val="21"/>
        </w:rPr>
        <w:t>挑战</w:t>
      </w:r>
      <w:r>
        <w:rPr>
          <w:szCs w:val="21"/>
        </w:rPr>
        <w:t>。本规范考虑通用性和兼容性，尽量还原化妆品原料及其产品的本质，归纳出通用法则。</w:t>
      </w:r>
    </w:p>
    <w:p w:rsidR="00EC1B0F" w:rsidRDefault="00EC1B0F" w:rsidP="00EC1B0F">
      <w:pPr>
        <w:snapToGrid w:val="0"/>
        <w:spacing w:line="300" w:lineRule="auto"/>
        <w:ind w:firstLineChars="200" w:firstLine="420"/>
        <w:rPr>
          <w:szCs w:val="21"/>
        </w:rPr>
      </w:pPr>
    </w:p>
    <w:p w:rsidR="003228A0" w:rsidRPr="00EC1B0F" w:rsidRDefault="003228A0">
      <w:pPr>
        <w:snapToGrid w:val="0"/>
        <w:spacing w:line="300" w:lineRule="auto"/>
        <w:ind w:firstLineChars="200" w:firstLine="480"/>
        <w:rPr>
          <w:rFonts w:eastAsia="仿宋_GB2312"/>
          <w:color w:val="000000" w:themeColor="text1"/>
          <w:sz w:val="24"/>
        </w:rPr>
      </w:pPr>
    </w:p>
    <w:sectPr w:rsidR="003228A0" w:rsidRPr="00EC1B0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B95" w:rsidRDefault="002D4B95">
      <w:r>
        <w:separator/>
      </w:r>
    </w:p>
  </w:endnote>
  <w:endnote w:type="continuationSeparator" w:id="0">
    <w:p w:rsidR="002D4B95" w:rsidRDefault="002D4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18903"/>
    </w:sdtPr>
    <w:sdtEndPr/>
    <w:sdtContent>
      <w:p w:rsidR="003228A0" w:rsidRDefault="00493676">
        <w:pPr>
          <w:pStyle w:val="a6"/>
          <w:jc w:val="center"/>
        </w:pPr>
        <w:r>
          <w:fldChar w:fldCharType="begin"/>
        </w:r>
        <w:r>
          <w:instrText>PAGE   \* MERGEFORMAT</w:instrText>
        </w:r>
        <w:r>
          <w:fldChar w:fldCharType="separate"/>
        </w:r>
        <w:r w:rsidR="002D1D34" w:rsidRPr="002D1D34">
          <w:rPr>
            <w:noProof/>
            <w:lang w:val="zh-CN"/>
          </w:rPr>
          <w:t>1</w:t>
        </w:r>
        <w:r>
          <w:fldChar w:fldCharType="end"/>
        </w:r>
      </w:p>
    </w:sdtContent>
  </w:sdt>
  <w:p w:rsidR="003228A0" w:rsidRDefault="003228A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B95" w:rsidRDefault="002D4B95">
      <w:r>
        <w:separator/>
      </w:r>
    </w:p>
  </w:footnote>
  <w:footnote w:type="continuationSeparator" w:id="0">
    <w:p w:rsidR="002D4B95" w:rsidRDefault="002D4B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4B1EAF"/>
    <w:multiLevelType w:val="singleLevel"/>
    <w:tmpl w:val="934B1EAF"/>
    <w:lvl w:ilvl="0">
      <w:start w:val="1"/>
      <w:numFmt w:val="chineseCounting"/>
      <w:suff w:val="nothing"/>
      <w:lvlText w:val="%1、"/>
      <w:lvlJc w:val="left"/>
      <w:rPr>
        <w:rFonts w:hint="eastAsia"/>
      </w:rPr>
    </w:lvl>
  </w:abstractNum>
  <w:abstractNum w:abstractNumId="1">
    <w:nsid w:val="365AB2FC"/>
    <w:multiLevelType w:val="singleLevel"/>
    <w:tmpl w:val="365AB2FC"/>
    <w:lvl w:ilvl="0">
      <w:start w:val="1"/>
      <w:numFmt w:val="chineseCounting"/>
      <w:suff w:val="nothing"/>
      <w:lvlText w:val="（%1）"/>
      <w:lvlJc w:val="left"/>
      <w:rPr>
        <w:rFonts w:hint="eastAsia"/>
      </w:rPr>
    </w:lvl>
  </w:abstractNum>
  <w:abstractNum w:abstractNumId="2">
    <w:nsid w:val="4ED74286"/>
    <w:multiLevelType w:val="singleLevel"/>
    <w:tmpl w:val="4ED74286"/>
    <w:lvl w:ilvl="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3YzZjOTA0MTA3NmUyZjBhOTgzNTE2Y2VhYzFkYjMifQ=="/>
  </w:docVars>
  <w:rsids>
    <w:rsidRoot w:val="3A0048C0"/>
    <w:rsid w:val="000046D9"/>
    <w:rsid w:val="00006AC9"/>
    <w:rsid w:val="00013E15"/>
    <w:rsid w:val="00013F34"/>
    <w:rsid w:val="00024E11"/>
    <w:rsid w:val="0003788F"/>
    <w:rsid w:val="00037B6E"/>
    <w:rsid w:val="00044659"/>
    <w:rsid w:val="000449F0"/>
    <w:rsid w:val="00047C22"/>
    <w:rsid w:val="000550C3"/>
    <w:rsid w:val="00057C79"/>
    <w:rsid w:val="00061D0D"/>
    <w:rsid w:val="0006767F"/>
    <w:rsid w:val="00067E73"/>
    <w:rsid w:val="00070324"/>
    <w:rsid w:val="00080D91"/>
    <w:rsid w:val="00081073"/>
    <w:rsid w:val="00085D97"/>
    <w:rsid w:val="000A1334"/>
    <w:rsid w:val="000A5667"/>
    <w:rsid w:val="000A6B81"/>
    <w:rsid w:val="000B6B0C"/>
    <w:rsid w:val="000D6D79"/>
    <w:rsid w:val="000D7E53"/>
    <w:rsid w:val="000E1FFB"/>
    <w:rsid w:val="000E66DC"/>
    <w:rsid w:val="000F20CB"/>
    <w:rsid w:val="000F6A9C"/>
    <w:rsid w:val="000F789F"/>
    <w:rsid w:val="00105801"/>
    <w:rsid w:val="00113E84"/>
    <w:rsid w:val="00115C0E"/>
    <w:rsid w:val="001236A9"/>
    <w:rsid w:val="00125259"/>
    <w:rsid w:val="00130CE0"/>
    <w:rsid w:val="00145F0C"/>
    <w:rsid w:val="001517F6"/>
    <w:rsid w:val="00152DD6"/>
    <w:rsid w:val="00161984"/>
    <w:rsid w:val="00163928"/>
    <w:rsid w:val="00164751"/>
    <w:rsid w:val="001663F8"/>
    <w:rsid w:val="0017601C"/>
    <w:rsid w:val="0018336B"/>
    <w:rsid w:val="0019112B"/>
    <w:rsid w:val="00194214"/>
    <w:rsid w:val="001978FB"/>
    <w:rsid w:val="001A109F"/>
    <w:rsid w:val="001A5358"/>
    <w:rsid w:val="001A72E0"/>
    <w:rsid w:val="001B2FE9"/>
    <w:rsid w:val="001C1B10"/>
    <w:rsid w:val="001C2F00"/>
    <w:rsid w:val="001C7C3E"/>
    <w:rsid w:val="001D19AB"/>
    <w:rsid w:val="001D6AB1"/>
    <w:rsid w:val="001E3F3F"/>
    <w:rsid w:val="001E5C4D"/>
    <w:rsid w:val="001E7624"/>
    <w:rsid w:val="001E79AB"/>
    <w:rsid w:val="002116ED"/>
    <w:rsid w:val="0021678B"/>
    <w:rsid w:val="002200C3"/>
    <w:rsid w:val="00222085"/>
    <w:rsid w:val="00225FDC"/>
    <w:rsid w:val="002328A8"/>
    <w:rsid w:val="002354AD"/>
    <w:rsid w:val="00235E1E"/>
    <w:rsid w:val="00242023"/>
    <w:rsid w:val="002425B1"/>
    <w:rsid w:val="002474AF"/>
    <w:rsid w:val="00253E46"/>
    <w:rsid w:val="00265AAD"/>
    <w:rsid w:val="0027124B"/>
    <w:rsid w:val="00272B3E"/>
    <w:rsid w:val="002752F3"/>
    <w:rsid w:val="00275A4E"/>
    <w:rsid w:val="002770D7"/>
    <w:rsid w:val="00283F46"/>
    <w:rsid w:val="00284F6F"/>
    <w:rsid w:val="00295E6B"/>
    <w:rsid w:val="002A4648"/>
    <w:rsid w:val="002B1344"/>
    <w:rsid w:val="002B7BAC"/>
    <w:rsid w:val="002B7D40"/>
    <w:rsid w:val="002D1D34"/>
    <w:rsid w:val="002D4B95"/>
    <w:rsid w:val="002D521F"/>
    <w:rsid w:val="002E398B"/>
    <w:rsid w:val="002E4054"/>
    <w:rsid w:val="002E710A"/>
    <w:rsid w:val="002F0FCC"/>
    <w:rsid w:val="002F17A6"/>
    <w:rsid w:val="002F1B0B"/>
    <w:rsid w:val="002F2A47"/>
    <w:rsid w:val="00312A0C"/>
    <w:rsid w:val="00314CB5"/>
    <w:rsid w:val="003158B5"/>
    <w:rsid w:val="003168C8"/>
    <w:rsid w:val="00321E57"/>
    <w:rsid w:val="003228A0"/>
    <w:rsid w:val="00323967"/>
    <w:rsid w:val="00331D8E"/>
    <w:rsid w:val="00335518"/>
    <w:rsid w:val="00346B70"/>
    <w:rsid w:val="0036027B"/>
    <w:rsid w:val="003650FF"/>
    <w:rsid w:val="00382176"/>
    <w:rsid w:val="00382F3C"/>
    <w:rsid w:val="00385B32"/>
    <w:rsid w:val="003874BD"/>
    <w:rsid w:val="003975BD"/>
    <w:rsid w:val="003A2221"/>
    <w:rsid w:val="003A31CE"/>
    <w:rsid w:val="003A517E"/>
    <w:rsid w:val="003C07DB"/>
    <w:rsid w:val="003C21DF"/>
    <w:rsid w:val="003C22F6"/>
    <w:rsid w:val="003D5027"/>
    <w:rsid w:val="003D5893"/>
    <w:rsid w:val="003E1475"/>
    <w:rsid w:val="003E17BE"/>
    <w:rsid w:val="003E612F"/>
    <w:rsid w:val="003F1481"/>
    <w:rsid w:val="003F5222"/>
    <w:rsid w:val="003F59ED"/>
    <w:rsid w:val="003F6314"/>
    <w:rsid w:val="003F6EC5"/>
    <w:rsid w:val="004008F0"/>
    <w:rsid w:val="004041E1"/>
    <w:rsid w:val="0040430E"/>
    <w:rsid w:val="00420585"/>
    <w:rsid w:val="0042445A"/>
    <w:rsid w:val="00430F61"/>
    <w:rsid w:val="00432261"/>
    <w:rsid w:val="00434A57"/>
    <w:rsid w:val="00441CC8"/>
    <w:rsid w:val="00443BE6"/>
    <w:rsid w:val="00445F3F"/>
    <w:rsid w:val="00452717"/>
    <w:rsid w:val="00452EA8"/>
    <w:rsid w:val="00461583"/>
    <w:rsid w:val="004640AC"/>
    <w:rsid w:val="0047310B"/>
    <w:rsid w:val="00477EC1"/>
    <w:rsid w:val="00484E59"/>
    <w:rsid w:val="00485E88"/>
    <w:rsid w:val="00490B1D"/>
    <w:rsid w:val="00493676"/>
    <w:rsid w:val="004A052D"/>
    <w:rsid w:val="004A6DAD"/>
    <w:rsid w:val="004B14D0"/>
    <w:rsid w:val="004B1E85"/>
    <w:rsid w:val="004B2F5C"/>
    <w:rsid w:val="004B7361"/>
    <w:rsid w:val="004B7367"/>
    <w:rsid w:val="004C2FF1"/>
    <w:rsid w:val="004C747A"/>
    <w:rsid w:val="004D17D1"/>
    <w:rsid w:val="004D47F9"/>
    <w:rsid w:val="004E1DFE"/>
    <w:rsid w:val="004E1EC6"/>
    <w:rsid w:val="004E2DDA"/>
    <w:rsid w:val="004E3537"/>
    <w:rsid w:val="004E4193"/>
    <w:rsid w:val="004F2145"/>
    <w:rsid w:val="005053E0"/>
    <w:rsid w:val="005105E1"/>
    <w:rsid w:val="005119CB"/>
    <w:rsid w:val="00514693"/>
    <w:rsid w:val="00514F65"/>
    <w:rsid w:val="00523802"/>
    <w:rsid w:val="00527F13"/>
    <w:rsid w:val="0053039B"/>
    <w:rsid w:val="00532304"/>
    <w:rsid w:val="00533D6C"/>
    <w:rsid w:val="00534057"/>
    <w:rsid w:val="00540013"/>
    <w:rsid w:val="00540B72"/>
    <w:rsid w:val="005453CF"/>
    <w:rsid w:val="00545C5B"/>
    <w:rsid w:val="00546B13"/>
    <w:rsid w:val="00555DE7"/>
    <w:rsid w:val="0055704A"/>
    <w:rsid w:val="00561C5A"/>
    <w:rsid w:val="00562CF4"/>
    <w:rsid w:val="00564822"/>
    <w:rsid w:val="00576720"/>
    <w:rsid w:val="00577142"/>
    <w:rsid w:val="00584D1C"/>
    <w:rsid w:val="005878D9"/>
    <w:rsid w:val="005A2DC3"/>
    <w:rsid w:val="005A3F48"/>
    <w:rsid w:val="005B2483"/>
    <w:rsid w:val="005D605A"/>
    <w:rsid w:val="005E4E9C"/>
    <w:rsid w:val="005F029B"/>
    <w:rsid w:val="005F55D1"/>
    <w:rsid w:val="006061AF"/>
    <w:rsid w:val="006061DE"/>
    <w:rsid w:val="00607861"/>
    <w:rsid w:val="006128EE"/>
    <w:rsid w:val="006154D0"/>
    <w:rsid w:val="006156EA"/>
    <w:rsid w:val="00624B63"/>
    <w:rsid w:val="00632AF6"/>
    <w:rsid w:val="00637261"/>
    <w:rsid w:val="00643DEC"/>
    <w:rsid w:val="006548EA"/>
    <w:rsid w:val="0066064C"/>
    <w:rsid w:val="0066188D"/>
    <w:rsid w:val="00665BB3"/>
    <w:rsid w:val="0067298C"/>
    <w:rsid w:val="0067608B"/>
    <w:rsid w:val="0068040B"/>
    <w:rsid w:val="006808F8"/>
    <w:rsid w:val="006822CC"/>
    <w:rsid w:val="006858C1"/>
    <w:rsid w:val="0069073E"/>
    <w:rsid w:val="00691906"/>
    <w:rsid w:val="006A29A2"/>
    <w:rsid w:val="006A41D9"/>
    <w:rsid w:val="006A4D21"/>
    <w:rsid w:val="006A5708"/>
    <w:rsid w:val="006B6E2D"/>
    <w:rsid w:val="006C2D8D"/>
    <w:rsid w:val="006C38CE"/>
    <w:rsid w:val="006C44B9"/>
    <w:rsid w:val="006D0C79"/>
    <w:rsid w:val="006D2338"/>
    <w:rsid w:val="006D6419"/>
    <w:rsid w:val="006D6588"/>
    <w:rsid w:val="006E1E65"/>
    <w:rsid w:val="006E745E"/>
    <w:rsid w:val="006F56D0"/>
    <w:rsid w:val="006F76F5"/>
    <w:rsid w:val="00711BCB"/>
    <w:rsid w:val="00721A74"/>
    <w:rsid w:val="00726BD7"/>
    <w:rsid w:val="0073560B"/>
    <w:rsid w:val="0073674E"/>
    <w:rsid w:val="0074020E"/>
    <w:rsid w:val="00743BB3"/>
    <w:rsid w:val="00747609"/>
    <w:rsid w:val="007524A6"/>
    <w:rsid w:val="0075384A"/>
    <w:rsid w:val="007602F1"/>
    <w:rsid w:val="0076033F"/>
    <w:rsid w:val="007675A3"/>
    <w:rsid w:val="0077243C"/>
    <w:rsid w:val="00775DA1"/>
    <w:rsid w:val="007858DC"/>
    <w:rsid w:val="00790141"/>
    <w:rsid w:val="00790374"/>
    <w:rsid w:val="00792187"/>
    <w:rsid w:val="00792421"/>
    <w:rsid w:val="007A0CED"/>
    <w:rsid w:val="007A140C"/>
    <w:rsid w:val="007A3D2D"/>
    <w:rsid w:val="007B7E3F"/>
    <w:rsid w:val="007C41A6"/>
    <w:rsid w:val="007D0543"/>
    <w:rsid w:val="007D3ADA"/>
    <w:rsid w:val="007D4402"/>
    <w:rsid w:val="007E553A"/>
    <w:rsid w:val="007F38A3"/>
    <w:rsid w:val="007F530D"/>
    <w:rsid w:val="00805AA6"/>
    <w:rsid w:val="00805AD2"/>
    <w:rsid w:val="008070E5"/>
    <w:rsid w:val="0081018F"/>
    <w:rsid w:val="0081509E"/>
    <w:rsid w:val="00815564"/>
    <w:rsid w:val="008266B2"/>
    <w:rsid w:val="0083115D"/>
    <w:rsid w:val="0083433E"/>
    <w:rsid w:val="0083633F"/>
    <w:rsid w:val="008417C0"/>
    <w:rsid w:val="00850970"/>
    <w:rsid w:val="0085233A"/>
    <w:rsid w:val="0085470A"/>
    <w:rsid w:val="00856136"/>
    <w:rsid w:val="008610C0"/>
    <w:rsid w:val="008811B7"/>
    <w:rsid w:val="00886E47"/>
    <w:rsid w:val="008A06CA"/>
    <w:rsid w:val="008B2043"/>
    <w:rsid w:val="008D4C77"/>
    <w:rsid w:val="008E0627"/>
    <w:rsid w:val="008E1ACF"/>
    <w:rsid w:val="008E20A5"/>
    <w:rsid w:val="008E698E"/>
    <w:rsid w:val="008F21EE"/>
    <w:rsid w:val="008F4085"/>
    <w:rsid w:val="00902F46"/>
    <w:rsid w:val="00905E4B"/>
    <w:rsid w:val="009078BC"/>
    <w:rsid w:val="00913FA7"/>
    <w:rsid w:val="00917198"/>
    <w:rsid w:val="009174F4"/>
    <w:rsid w:val="0091780B"/>
    <w:rsid w:val="009241F5"/>
    <w:rsid w:val="0093050D"/>
    <w:rsid w:val="009427D6"/>
    <w:rsid w:val="00946A93"/>
    <w:rsid w:val="009512AD"/>
    <w:rsid w:val="00981A78"/>
    <w:rsid w:val="00987D67"/>
    <w:rsid w:val="00991C2F"/>
    <w:rsid w:val="00992330"/>
    <w:rsid w:val="009937C4"/>
    <w:rsid w:val="009945E1"/>
    <w:rsid w:val="009946AC"/>
    <w:rsid w:val="009B1973"/>
    <w:rsid w:val="009B3C37"/>
    <w:rsid w:val="009B4AB9"/>
    <w:rsid w:val="009B558A"/>
    <w:rsid w:val="009B5856"/>
    <w:rsid w:val="009B6B5F"/>
    <w:rsid w:val="009C0062"/>
    <w:rsid w:val="009C31C2"/>
    <w:rsid w:val="009C65F1"/>
    <w:rsid w:val="009D1035"/>
    <w:rsid w:val="009D191F"/>
    <w:rsid w:val="009D2FBD"/>
    <w:rsid w:val="009D3B08"/>
    <w:rsid w:val="009E5789"/>
    <w:rsid w:val="009F76C5"/>
    <w:rsid w:val="00A02FD4"/>
    <w:rsid w:val="00A05635"/>
    <w:rsid w:val="00A1066C"/>
    <w:rsid w:val="00A11664"/>
    <w:rsid w:val="00A257B2"/>
    <w:rsid w:val="00A2592E"/>
    <w:rsid w:val="00A375E6"/>
    <w:rsid w:val="00A37AD3"/>
    <w:rsid w:val="00A51B16"/>
    <w:rsid w:val="00A57728"/>
    <w:rsid w:val="00A61227"/>
    <w:rsid w:val="00A62284"/>
    <w:rsid w:val="00A63CFC"/>
    <w:rsid w:val="00A649BE"/>
    <w:rsid w:val="00A65F93"/>
    <w:rsid w:val="00A6742D"/>
    <w:rsid w:val="00A70273"/>
    <w:rsid w:val="00A71C97"/>
    <w:rsid w:val="00A7243B"/>
    <w:rsid w:val="00A735ED"/>
    <w:rsid w:val="00A76936"/>
    <w:rsid w:val="00A76FC1"/>
    <w:rsid w:val="00A771CA"/>
    <w:rsid w:val="00A8261F"/>
    <w:rsid w:val="00A92066"/>
    <w:rsid w:val="00AA3FD4"/>
    <w:rsid w:val="00AB33CC"/>
    <w:rsid w:val="00AB41D1"/>
    <w:rsid w:val="00AC5388"/>
    <w:rsid w:val="00AC727C"/>
    <w:rsid w:val="00AD098F"/>
    <w:rsid w:val="00AD13DA"/>
    <w:rsid w:val="00AD3CF6"/>
    <w:rsid w:val="00AD3D36"/>
    <w:rsid w:val="00AD3EDD"/>
    <w:rsid w:val="00AD6362"/>
    <w:rsid w:val="00AE6680"/>
    <w:rsid w:val="00AF05E2"/>
    <w:rsid w:val="00AF3A66"/>
    <w:rsid w:val="00B04F37"/>
    <w:rsid w:val="00B077B4"/>
    <w:rsid w:val="00B107AC"/>
    <w:rsid w:val="00B130C7"/>
    <w:rsid w:val="00B17634"/>
    <w:rsid w:val="00B21764"/>
    <w:rsid w:val="00B2476A"/>
    <w:rsid w:val="00B278F3"/>
    <w:rsid w:val="00B30969"/>
    <w:rsid w:val="00B43D6B"/>
    <w:rsid w:val="00B44C75"/>
    <w:rsid w:val="00B545BA"/>
    <w:rsid w:val="00B57E04"/>
    <w:rsid w:val="00B63DD9"/>
    <w:rsid w:val="00B671AE"/>
    <w:rsid w:val="00B81BA8"/>
    <w:rsid w:val="00B836AB"/>
    <w:rsid w:val="00B875B5"/>
    <w:rsid w:val="00B87D44"/>
    <w:rsid w:val="00B93476"/>
    <w:rsid w:val="00B96EFD"/>
    <w:rsid w:val="00BA139C"/>
    <w:rsid w:val="00BC3B16"/>
    <w:rsid w:val="00BD410E"/>
    <w:rsid w:val="00BD784F"/>
    <w:rsid w:val="00BE0428"/>
    <w:rsid w:val="00BE0784"/>
    <w:rsid w:val="00BE1E74"/>
    <w:rsid w:val="00BE69B3"/>
    <w:rsid w:val="00BE77BB"/>
    <w:rsid w:val="00BF517F"/>
    <w:rsid w:val="00BF5EB4"/>
    <w:rsid w:val="00C00376"/>
    <w:rsid w:val="00C268BA"/>
    <w:rsid w:val="00C26AD9"/>
    <w:rsid w:val="00C32EA8"/>
    <w:rsid w:val="00C617FE"/>
    <w:rsid w:val="00C675FA"/>
    <w:rsid w:val="00C70499"/>
    <w:rsid w:val="00C747A9"/>
    <w:rsid w:val="00C76F23"/>
    <w:rsid w:val="00C77BCA"/>
    <w:rsid w:val="00C852C8"/>
    <w:rsid w:val="00C86801"/>
    <w:rsid w:val="00C87185"/>
    <w:rsid w:val="00C91E17"/>
    <w:rsid w:val="00C942FD"/>
    <w:rsid w:val="00C95AD5"/>
    <w:rsid w:val="00C96583"/>
    <w:rsid w:val="00CA1948"/>
    <w:rsid w:val="00CA4535"/>
    <w:rsid w:val="00CC0506"/>
    <w:rsid w:val="00CC1D98"/>
    <w:rsid w:val="00CC463E"/>
    <w:rsid w:val="00CD0470"/>
    <w:rsid w:val="00CD0774"/>
    <w:rsid w:val="00CD26C1"/>
    <w:rsid w:val="00CD652E"/>
    <w:rsid w:val="00CE17E7"/>
    <w:rsid w:val="00CE29CE"/>
    <w:rsid w:val="00CE2FE0"/>
    <w:rsid w:val="00CE4A0B"/>
    <w:rsid w:val="00CF43B7"/>
    <w:rsid w:val="00D06695"/>
    <w:rsid w:val="00D07B04"/>
    <w:rsid w:val="00D14ADA"/>
    <w:rsid w:val="00D1658E"/>
    <w:rsid w:val="00D20CFC"/>
    <w:rsid w:val="00D231B8"/>
    <w:rsid w:val="00D270F4"/>
    <w:rsid w:val="00D27F08"/>
    <w:rsid w:val="00D33505"/>
    <w:rsid w:val="00D35B05"/>
    <w:rsid w:val="00D45FA1"/>
    <w:rsid w:val="00D47EA0"/>
    <w:rsid w:val="00D604E5"/>
    <w:rsid w:val="00D66C39"/>
    <w:rsid w:val="00D66C65"/>
    <w:rsid w:val="00D720A6"/>
    <w:rsid w:val="00D73035"/>
    <w:rsid w:val="00D74878"/>
    <w:rsid w:val="00D847EE"/>
    <w:rsid w:val="00D85890"/>
    <w:rsid w:val="00D8602D"/>
    <w:rsid w:val="00D86352"/>
    <w:rsid w:val="00DB2AB6"/>
    <w:rsid w:val="00DB35C8"/>
    <w:rsid w:val="00DB6731"/>
    <w:rsid w:val="00DC08F0"/>
    <w:rsid w:val="00DC5271"/>
    <w:rsid w:val="00DC5740"/>
    <w:rsid w:val="00DC71D0"/>
    <w:rsid w:val="00DE0DD6"/>
    <w:rsid w:val="00DE544E"/>
    <w:rsid w:val="00DE57AC"/>
    <w:rsid w:val="00DE5DC6"/>
    <w:rsid w:val="00DE6506"/>
    <w:rsid w:val="00E05C4B"/>
    <w:rsid w:val="00E10931"/>
    <w:rsid w:val="00E21CF5"/>
    <w:rsid w:val="00E2715D"/>
    <w:rsid w:val="00E32AF6"/>
    <w:rsid w:val="00E35BA4"/>
    <w:rsid w:val="00E371CC"/>
    <w:rsid w:val="00E44AA3"/>
    <w:rsid w:val="00E50474"/>
    <w:rsid w:val="00E506FB"/>
    <w:rsid w:val="00E528F8"/>
    <w:rsid w:val="00E54403"/>
    <w:rsid w:val="00E566A1"/>
    <w:rsid w:val="00E6184C"/>
    <w:rsid w:val="00E65FFB"/>
    <w:rsid w:val="00E66796"/>
    <w:rsid w:val="00E70AB6"/>
    <w:rsid w:val="00E727F3"/>
    <w:rsid w:val="00E809B0"/>
    <w:rsid w:val="00E827C5"/>
    <w:rsid w:val="00E8593F"/>
    <w:rsid w:val="00E91252"/>
    <w:rsid w:val="00E9222D"/>
    <w:rsid w:val="00E96792"/>
    <w:rsid w:val="00E97FBD"/>
    <w:rsid w:val="00EA09ED"/>
    <w:rsid w:val="00EA35D3"/>
    <w:rsid w:val="00EB238B"/>
    <w:rsid w:val="00EC115D"/>
    <w:rsid w:val="00EC1B0F"/>
    <w:rsid w:val="00EC71E8"/>
    <w:rsid w:val="00ED5189"/>
    <w:rsid w:val="00ED7ED7"/>
    <w:rsid w:val="00EE04AB"/>
    <w:rsid w:val="00EE359F"/>
    <w:rsid w:val="00EE3C36"/>
    <w:rsid w:val="00EE4D22"/>
    <w:rsid w:val="00EE4F8B"/>
    <w:rsid w:val="00EF0F25"/>
    <w:rsid w:val="00EF20C0"/>
    <w:rsid w:val="00EF4711"/>
    <w:rsid w:val="00EF79B8"/>
    <w:rsid w:val="00F010B7"/>
    <w:rsid w:val="00F026DD"/>
    <w:rsid w:val="00F078E0"/>
    <w:rsid w:val="00F118B0"/>
    <w:rsid w:val="00F135BB"/>
    <w:rsid w:val="00F2481E"/>
    <w:rsid w:val="00F2640E"/>
    <w:rsid w:val="00F41ACE"/>
    <w:rsid w:val="00F43871"/>
    <w:rsid w:val="00F455FA"/>
    <w:rsid w:val="00F50CAB"/>
    <w:rsid w:val="00F53D69"/>
    <w:rsid w:val="00F66912"/>
    <w:rsid w:val="00F8705F"/>
    <w:rsid w:val="00F947B5"/>
    <w:rsid w:val="00F94A29"/>
    <w:rsid w:val="00F96EB5"/>
    <w:rsid w:val="00FA29A5"/>
    <w:rsid w:val="00FA5856"/>
    <w:rsid w:val="00FB17F0"/>
    <w:rsid w:val="00FB5546"/>
    <w:rsid w:val="00FC53AF"/>
    <w:rsid w:val="00FC5605"/>
    <w:rsid w:val="00FD24C3"/>
    <w:rsid w:val="00FD3A56"/>
    <w:rsid w:val="00FD46D5"/>
    <w:rsid w:val="00FD5356"/>
    <w:rsid w:val="00FD5F21"/>
    <w:rsid w:val="00FF41C4"/>
    <w:rsid w:val="00FF549D"/>
    <w:rsid w:val="00FF6D0A"/>
    <w:rsid w:val="00FF7154"/>
    <w:rsid w:val="011A56CB"/>
    <w:rsid w:val="020D6725"/>
    <w:rsid w:val="046E1CDA"/>
    <w:rsid w:val="0503791F"/>
    <w:rsid w:val="06974590"/>
    <w:rsid w:val="06BC02D5"/>
    <w:rsid w:val="06C325CB"/>
    <w:rsid w:val="079D546F"/>
    <w:rsid w:val="0A0419B9"/>
    <w:rsid w:val="0AB44ED8"/>
    <w:rsid w:val="0B5D0928"/>
    <w:rsid w:val="0D655E9E"/>
    <w:rsid w:val="0DA45340"/>
    <w:rsid w:val="0EBE1E46"/>
    <w:rsid w:val="10116E61"/>
    <w:rsid w:val="102552C1"/>
    <w:rsid w:val="114A2380"/>
    <w:rsid w:val="12114AE5"/>
    <w:rsid w:val="14423DE3"/>
    <w:rsid w:val="14CD0536"/>
    <w:rsid w:val="179A2AB8"/>
    <w:rsid w:val="1C09085A"/>
    <w:rsid w:val="1C0F1353"/>
    <w:rsid w:val="1CCA1B25"/>
    <w:rsid w:val="1D847C1B"/>
    <w:rsid w:val="1F8E4AE7"/>
    <w:rsid w:val="21993DCC"/>
    <w:rsid w:val="224305A8"/>
    <w:rsid w:val="230768D7"/>
    <w:rsid w:val="232D48D9"/>
    <w:rsid w:val="257F1690"/>
    <w:rsid w:val="2A55572E"/>
    <w:rsid w:val="2B47277C"/>
    <w:rsid w:val="2C7E4388"/>
    <w:rsid w:val="2F4C7BA8"/>
    <w:rsid w:val="304A0C03"/>
    <w:rsid w:val="30A655D3"/>
    <w:rsid w:val="3158004F"/>
    <w:rsid w:val="324A179D"/>
    <w:rsid w:val="33A1422B"/>
    <w:rsid w:val="37012E14"/>
    <w:rsid w:val="38F62A80"/>
    <w:rsid w:val="394C4C39"/>
    <w:rsid w:val="3A0048C0"/>
    <w:rsid w:val="3BC81B4D"/>
    <w:rsid w:val="401A18D7"/>
    <w:rsid w:val="40383E31"/>
    <w:rsid w:val="410A1661"/>
    <w:rsid w:val="42C817D4"/>
    <w:rsid w:val="47D83F6D"/>
    <w:rsid w:val="48E43A83"/>
    <w:rsid w:val="49F82928"/>
    <w:rsid w:val="4C6E125C"/>
    <w:rsid w:val="4EB63B20"/>
    <w:rsid w:val="4F020397"/>
    <w:rsid w:val="4F5541C8"/>
    <w:rsid w:val="50185DB3"/>
    <w:rsid w:val="52BA5356"/>
    <w:rsid w:val="55BD684B"/>
    <w:rsid w:val="581F5A39"/>
    <w:rsid w:val="5983359E"/>
    <w:rsid w:val="5A6F6B25"/>
    <w:rsid w:val="5DB71D0D"/>
    <w:rsid w:val="61E6539B"/>
    <w:rsid w:val="628C7CB6"/>
    <w:rsid w:val="63233695"/>
    <w:rsid w:val="634941E6"/>
    <w:rsid w:val="690506C3"/>
    <w:rsid w:val="69070FEC"/>
    <w:rsid w:val="6C0055D1"/>
    <w:rsid w:val="6DB76CFA"/>
    <w:rsid w:val="6DEE5CE3"/>
    <w:rsid w:val="6E912205"/>
    <w:rsid w:val="6F8C594D"/>
    <w:rsid w:val="6F945F4E"/>
    <w:rsid w:val="71FC3200"/>
    <w:rsid w:val="7316093F"/>
    <w:rsid w:val="74F473AF"/>
    <w:rsid w:val="78FC5922"/>
    <w:rsid w:val="79172326"/>
    <w:rsid w:val="79BA2A1E"/>
    <w:rsid w:val="7C871F7E"/>
    <w:rsid w:val="7DA861B5"/>
    <w:rsid w:val="7E927FC5"/>
    <w:rsid w:val="7F752D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Indent"/>
    <w:basedOn w:val="a"/>
    <w:unhideWhenUsed/>
    <w:qFormat/>
    <w:pPr>
      <w:topLinePunct/>
      <w:ind w:firstLineChars="200" w:firstLine="560"/>
    </w:pPr>
    <w:rPr>
      <w:rFonts w:eastAsia="仿宋_GB2312"/>
      <w:sz w:val="28"/>
      <w:szCs w:val="20"/>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qFormat/>
    <w:rPr>
      <w:sz w:val="21"/>
      <w:szCs w:val="21"/>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table" w:customStyle="1" w:styleId="2">
    <w:name w:val="网格型2"/>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kern w:val="2"/>
      <w:sz w:val="18"/>
      <w:szCs w:val="18"/>
    </w:rPr>
  </w:style>
  <w:style w:type="paragraph" w:customStyle="1" w:styleId="1">
    <w:name w:val="修订1"/>
    <w:hidden/>
    <w:uiPriority w:val="99"/>
    <w:semiHidden/>
    <w:qFormat/>
    <w:rPr>
      <w:kern w:val="2"/>
      <w:sz w:val="21"/>
      <w:szCs w:val="24"/>
    </w:rPr>
  </w:style>
  <w:style w:type="character" w:customStyle="1" w:styleId="Char">
    <w:name w:val="批注文字 Char"/>
    <w:basedOn w:val="a0"/>
    <w:link w:val="a3"/>
    <w:uiPriority w:val="99"/>
    <w:semiHidden/>
    <w:qFormat/>
    <w:rPr>
      <w:kern w:val="2"/>
      <w:sz w:val="21"/>
      <w:szCs w:val="24"/>
    </w:rPr>
  </w:style>
  <w:style w:type="character" w:customStyle="1" w:styleId="Char3">
    <w:name w:val="批注主题 Char"/>
    <w:basedOn w:val="Char"/>
    <w:link w:val="a8"/>
    <w:uiPriority w:val="99"/>
    <w:semiHidden/>
    <w:qFormat/>
    <w:rPr>
      <w:b/>
      <w:bCs/>
      <w:kern w:val="2"/>
      <w:sz w:val="21"/>
      <w:szCs w:val="24"/>
    </w:rPr>
  </w:style>
  <w:style w:type="paragraph" w:customStyle="1" w:styleId="20">
    <w:name w:val="修订2"/>
    <w:hidden/>
    <w:uiPriority w:val="99"/>
    <w:semiHidden/>
    <w:qFormat/>
    <w:rPr>
      <w:kern w:val="2"/>
      <w:sz w:val="21"/>
      <w:szCs w:val="24"/>
    </w:rPr>
  </w:style>
  <w:style w:type="paragraph" w:customStyle="1" w:styleId="3">
    <w:name w:val="修订3"/>
    <w:hidden/>
    <w:uiPriority w:val="99"/>
    <w:semiHidden/>
    <w:qFormat/>
    <w:rPr>
      <w:kern w:val="2"/>
      <w:sz w:val="21"/>
      <w:szCs w:val="24"/>
    </w:rPr>
  </w:style>
  <w:style w:type="paragraph" w:customStyle="1" w:styleId="4">
    <w:name w:val="修订4"/>
    <w:hidden/>
    <w:uiPriority w:val="99"/>
    <w:unhideWhenUsed/>
    <w:qFormat/>
    <w:rPr>
      <w:kern w:val="2"/>
      <w:sz w:val="21"/>
      <w:szCs w:val="24"/>
    </w:rPr>
  </w:style>
  <w:style w:type="paragraph" w:customStyle="1" w:styleId="5">
    <w:name w:val="修订5"/>
    <w:hidden/>
    <w:uiPriority w:val="99"/>
    <w:unhideWhenUsed/>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Indent"/>
    <w:basedOn w:val="a"/>
    <w:unhideWhenUsed/>
    <w:qFormat/>
    <w:pPr>
      <w:topLinePunct/>
      <w:ind w:firstLineChars="200" w:firstLine="560"/>
    </w:pPr>
    <w:rPr>
      <w:rFonts w:eastAsia="仿宋_GB2312"/>
      <w:sz w:val="28"/>
      <w:szCs w:val="20"/>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qFormat/>
    <w:rPr>
      <w:sz w:val="21"/>
      <w:szCs w:val="21"/>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table" w:customStyle="1" w:styleId="2">
    <w:name w:val="网格型2"/>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kern w:val="2"/>
      <w:sz w:val="18"/>
      <w:szCs w:val="18"/>
    </w:rPr>
  </w:style>
  <w:style w:type="paragraph" w:customStyle="1" w:styleId="1">
    <w:name w:val="修订1"/>
    <w:hidden/>
    <w:uiPriority w:val="99"/>
    <w:semiHidden/>
    <w:qFormat/>
    <w:rPr>
      <w:kern w:val="2"/>
      <w:sz w:val="21"/>
      <w:szCs w:val="24"/>
    </w:rPr>
  </w:style>
  <w:style w:type="character" w:customStyle="1" w:styleId="Char">
    <w:name w:val="批注文字 Char"/>
    <w:basedOn w:val="a0"/>
    <w:link w:val="a3"/>
    <w:uiPriority w:val="99"/>
    <w:semiHidden/>
    <w:qFormat/>
    <w:rPr>
      <w:kern w:val="2"/>
      <w:sz w:val="21"/>
      <w:szCs w:val="24"/>
    </w:rPr>
  </w:style>
  <w:style w:type="character" w:customStyle="1" w:styleId="Char3">
    <w:name w:val="批注主题 Char"/>
    <w:basedOn w:val="Char"/>
    <w:link w:val="a8"/>
    <w:uiPriority w:val="99"/>
    <w:semiHidden/>
    <w:qFormat/>
    <w:rPr>
      <w:b/>
      <w:bCs/>
      <w:kern w:val="2"/>
      <w:sz w:val="21"/>
      <w:szCs w:val="24"/>
    </w:rPr>
  </w:style>
  <w:style w:type="paragraph" w:customStyle="1" w:styleId="20">
    <w:name w:val="修订2"/>
    <w:hidden/>
    <w:uiPriority w:val="99"/>
    <w:semiHidden/>
    <w:qFormat/>
    <w:rPr>
      <w:kern w:val="2"/>
      <w:sz w:val="21"/>
      <w:szCs w:val="24"/>
    </w:rPr>
  </w:style>
  <w:style w:type="paragraph" w:customStyle="1" w:styleId="3">
    <w:name w:val="修订3"/>
    <w:hidden/>
    <w:uiPriority w:val="99"/>
    <w:semiHidden/>
    <w:qFormat/>
    <w:rPr>
      <w:kern w:val="2"/>
      <w:sz w:val="21"/>
      <w:szCs w:val="24"/>
    </w:rPr>
  </w:style>
  <w:style w:type="paragraph" w:customStyle="1" w:styleId="4">
    <w:name w:val="修订4"/>
    <w:hidden/>
    <w:uiPriority w:val="99"/>
    <w:unhideWhenUsed/>
    <w:qFormat/>
    <w:rPr>
      <w:kern w:val="2"/>
      <w:sz w:val="21"/>
      <w:szCs w:val="24"/>
    </w:rPr>
  </w:style>
  <w:style w:type="paragraph" w:customStyle="1" w:styleId="5">
    <w:name w:val="修订5"/>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1270;&#22918;&#21697;&#21407;&#26009;&#21450;&#20854;&#20135;&#21697;&#21069;&#22788;&#29702;&#36890;&#21017;\&#21270;&#22918;&#21697;&#21407;&#26009;&#21450;&#20854;&#20135;&#21697;&#21069;&#22788;&#29702;&#36890;&#21017;&#20219;&#21153;&#20070;-&#32456;&#29256;2022.1.1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742F2-9DC9-461E-8A19-AFDF3B378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化妆品原料及其产品前处理通则任务书-终版2022.1.10.docx</Template>
  <TotalTime>65</TotalTime>
  <Pages>6</Pages>
  <Words>767</Words>
  <Characters>4377</Characters>
  <Application>Microsoft Office Word</Application>
  <DocSecurity>0</DocSecurity>
  <Lines>36</Lines>
  <Paragraphs>10</Paragraphs>
  <ScaleCrop>false</ScaleCrop>
  <Company>Microsoft</Company>
  <LinksUpToDate>false</LinksUpToDate>
  <CharactersWithSpaces>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yika</dc:creator>
  <cp:lastModifiedBy>沈立</cp:lastModifiedBy>
  <cp:revision>10</cp:revision>
  <dcterms:created xsi:type="dcterms:W3CDTF">2023-10-30T07:54:00Z</dcterms:created>
  <dcterms:modified xsi:type="dcterms:W3CDTF">2023-11-24T00:45:00Z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1987652ADC79422F81F9447DD44516EA_13</vt:lpwstr>
  </property>
</Properties>
</file>