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8"/>
        <w:keepNext w:val="0"/>
        <w:keepLines w:val="0"/>
        <w:widowControl w:val="0"/>
      </w:pPr>
      <w:r>
        <w:rPr>
          <w:rFonts w:hint="eastAsia"/>
          <w:sz w:val="36"/>
          <w:szCs w:val="36"/>
          <w:lang w:val="en-US" w:eastAsia="zh-CN"/>
        </w:rPr>
        <w:t>2023年第三批</w:t>
      </w:r>
      <w:r>
        <w:rPr>
          <w:rFonts w:hint="eastAsia"/>
          <w:sz w:val="36"/>
          <w:szCs w:val="36"/>
        </w:rPr>
        <w:t>地方标准</w:t>
      </w:r>
      <w:r>
        <w:rPr>
          <w:rFonts w:hint="eastAsia"/>
          <w:sz w:val="36"/>
          <w:szCs w:val="36"/>
          <w:lang w:val="en-US" w:eastAsia="zh-CN"/>
        </w:rPr>
        <w:t>计划</w:t>
      </w:r>
      <w:r>
        <w:rPr>
          <w:rFonts w:hint="eastAsia"/>
          <w:sz w:val="36"/>
          <w:szCs w:val="36"/>
        </w:rPr>
        <w:t>项目表</w:t>
      </w:r>
      <w:r>
        <w:rPr>
          <w:rFonts w:hint="eastAsia"/>
        </w:rPr>
        <w:t xml:space="preserve"> </w:t>
      </w:r>
    </w:p>
    <w:tbl>
      <w:tblPr>
        <w:tblStyle w:val="6"/>
        <w:tblW w:w="129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678"/>
        <w:gridCol w:w="1417"/>
        <w:gridCol w:w="3360"/>
        <w:gridCol w:w="3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标准名称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制定/修订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提出部门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主要承担单位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居民基本养老保险办理服务规范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山东省人力资源和社会保障厅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山东省社会保险事业中心，国家税务总局山东省税务局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法律援助服务规范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修订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山东省司法厅</w:t>
            </w:r>
          </w:p>
        </w:tc>
        <w:tc>
          <w:tcPr>
            <w:tcW w:w="3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山东省司法厅公共法律服务管理处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水利工程运行管理标牌设置指南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山东省水利厅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水发规划设计有限公司、山东省水利厅运行管理处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山东省重点工业产品用水定额 第 3 部分：非金属矿物制品业重点工业产品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修订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山东省水利厅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山东省水利科学研究院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山东省重点工业产品用水定额 第 4 部分：化学原料和化学制品制造业重点工业产品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修订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山东省水利厅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山东省水利科学研究院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山东省重点工业产品用水定额 第 5 部分：石油、煤炭及其他燃料加工业重点工业产品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修订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山东省水利厅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山东省水利科学研究院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山东省重点工业产品用水定额 第 6 部分：医药制造业重点工业产品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修订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山东省水利厅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山东省水利科学研究院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为老志愿服务规范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山东省民政厅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山东商业职业技术学院、山东省民政厅养老服务处、山东省养老服务指导中心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居家老人探访关爱服务规范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山东省民政厅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山东商业职业技术学院、山东省民政厅养老服务处、山东省养老服务指导中心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氧气瓶充装自动化控制系统通用技术要求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山东省市场监督管理局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山东特检鲁安工程技术服务有限公司等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知识产权维权援助服务指南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山东省市场监督管理局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山东省国家知识产权保护中心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数据知识产权确权服务指南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山东省市场监督管理局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山东省国家知识产权保护中心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高价值专利培育指南 第1部分 ：通则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山东省市场监督管理局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山东省国家知识产权保护中心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高价值专利培育指南 第2部分：规划与研发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山东省市场监督管理局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山东省国家知识产权保护中心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企业全生命周期集成服务工作指南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山东省市场监督管理局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泰安市行政审批服务局、聊城市行政审批服务局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药械化企业日常检查管理规范 第1部分 总则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山东省药品监督管理局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山东省药品监督管理局区域检查第一分局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药械化企业日常检查管理规范 第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4"/>
              </w:rPr>
              <w:t>部分 术语与定义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山东省药品监督管理局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山东省药品监督管理局区域检查第一分局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药械化企业日常检查管理规范 第3部分 日常检查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山东省药品监督管理局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山东省药品监督管理局区域检查第一分局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药械化企业日常检查管理规范 第4部分 抽样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山东省药品监督管理局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山东省药品监督管理局区域检查第一分局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药械化企业日常检查管理规范 第5部分 数据管理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山东省药品监督管理局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山东省药品监督管理局区域检查第一分局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生物多样性保护优先区域评估技术规范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山东省生态环境厅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山东省生态环境厅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土壤污染重点监管单位污染调查、风险评估与风险管控技术指南  第1部分：总纲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山东省生态环境厅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山东省生态环境厅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土壤污染重点监管单位隐患排查技术指南  第1部分：焦化行业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山东省生态环境厅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480" w:firstLineChars="20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山东省生态环境厅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土壤污染重点监管单位隐患排查技术指南 第2部分 肥料制造业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山东省生态环境厅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480" w:firstLineChars="20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山东省生态环境厅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土壤污染重点监管单位隐患排查技术指南  第3部分：农药制造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山东省生态环境厅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480" w:firstLineChars="20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山东省生态环境厅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土壤污染重点监管单位隐患排查技术指南  第4部分：医药制造业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山东省生态环境厅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480" w:firstLineChars="20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山东省生态环境厅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近海产卵场生境适宜性评价技术指南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山东省海洋局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山东省海洋资源与环境研究院(山东省海洋环境监测中心、山东省水产品质量检验中心)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海水入侵灾害预警技术规程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山东省海洋局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山东省海洋资源与环境研究院(山东省海洋环境监测中心、山东省水产品质量检验中心)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海湾富营养化评价技术规范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山东省海洋局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海岸带保护修复工程增汇评估技术规范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山东省海洋局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山东省海洋资源与环境研究院(山东省海洋环境监测中心、山东省水产品质量检验中心)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筏式养殖区高分辨率遥感监测技术规范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山东省海洋局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山东省国土空间数据和遥感技术研究院（山东省海域动态监视监测中心）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废弃矿井抽水蓄能电站建设指南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山东省能源局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33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电力市场交易数据技术要求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山东省能源局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山东电力交易中心有限公司、积成电子股份有限公司、山东省标准化研究院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34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left"/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  <w14:ligatures w14:val="none"/>
              </w:rPr>
              <w:t>“无证明之省” 电子证照应用管理要求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“无证明之省”建设 总体框架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“无证明之省”场景应用指南 第1部分：政务服务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公共视频监控 AI服务要求 第1部分：服务接入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公共视频监控 AI服务要求 第2部分：服务应用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公共视频监控资源编码规则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“智慧医保”定点医药机构建设评估规范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山东省医疗保障局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41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基于区块链技术的医保数据共享服务规范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山东省医疗保障局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42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公共数据 数据治理规范 第6部分：异议数据处理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  <w:r>
              <w:rPr>
                <w:rFonts w:hint="eastAsia"/>
                <w:sz w:val="24"/>
              </w:rPr>
              <w:t>、山东省大数据中心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43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公共数据 数据应用指南 第1部分：数据精准授权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  <w:r>
              <w:rPr>
                <w:rFonts w:hint="eastAsia"/>
                <w:sz w:val="24"/>
              </w:rPr>
              <w:t>、山东省大数据中心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44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公共视频监控 点位治理指南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公共视频监控 运维管理规范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公共视频监控  视频协同工作仓接入规范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“爱山东”政务服务平台移动端服务应用建设指标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山东省大数据局，</w:t>
            </w:r>
            <w:r>
              <w:rPr>
                <w:rFonts w:hint="eastAsia"/>
                <w:sz w:val="24"/>
              </w:rPr>
              <w:t>山东省计算中心（国家超级计算济南中心）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政务信息化项目管理指南 第2部分：立项管理指南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山东省大数据局、山东省大数据中心、山东山科数字经济研究院有限公司、山东省计算中心（国家超级计算济南中心）、山东省经济和信息化发展研究院、齐鲁工业大学（山东省科学院）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居民码平台建设要求 第1部分：总体架构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山东省大数据局、山东大数据中心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居民码编码规则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山东省大数据局、山东大数据中心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51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居民码平台建设要求 第2部分：平台对接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山东省大数据局、山东大数据中心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52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居民码平台场景应用要求</w:t>
            </w:r>
            <w:r>
              <w:rPr>
                <w:color w:val="000000"/>
                <w:sz w:val="24"/>
              </w:rPr>
              <w:t xml:space="preserve"> 第1部分：总体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山东省大数据局、山东大数据中心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53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居民码平台建设要求</w:t>
            </w:r>
            <w:r>
              <w:rPr>
                <w:color w:val="000000"/>
                <w:sz w:val="24"/>
              </w:rPr>
              <w:t xml:space="preserve"> 第3部分：界面设计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山东省大数据局、山东大数据中心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“山东通”协同办公平台</w:t>
            </w:r>
            <w:r>
              <w:rPr>
                <w:color w:val="000000"/>
                <w:sz w:val="24"/>
              </w:rPr>
              <w:t xml:space="preserve"> 统一用户接入要求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  <w:r>
              <w:rPr>
                <w:rFonts w:hint="eastAsia"/>
                <w:sz w:val="24"/>
              </w:rPr>
              <w:t>、山东省大数据中心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政务信息化项目管理指南 第1部分：总则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山东省大数据局、山东省大数据中心、山东山科数字经济研究院有限公司、山东省计算中心（国家超级计算济南中心）、山东省经济和信息化发展研究院、齐鲁工业大学（山东省科学院）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“爱山东”政务服务平台 事项服务中心对接要求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“山东通”协同办公平台</w:t>
            </w:r>
            <w:r>
              <w:rPr>
                <w:color w:val="000000"/>
                <w:sz w:val="24"/>
              </w:rPr>
              <w:t xml:space="preserve"> 应用系统接口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  <w:r>
              <w:rPr>
                <w:rFonts w:hint="eastAsia"/>
                <w:sz w:val="24"/>
              </w:rPr>
              <w:t>、山东省大数据中心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政务信息资源 数据元 第17部分：公共资源交易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山东省大数据局</w:t>
            </w:r>
            <w:r>
              <w:rPr>
                <w:rFonts w:hint="eastAsia"/>
                <w:sz w:val="24"/>
              </w:rPr>
              <w:t>、山东省大数据中心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产业大脑数据仓建设指南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山东省工业和信息化厅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山东省工业和信息化厅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60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“产业大脑”建设指标体系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山东省工业和信息化厅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山东省工业和信息化厅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61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数据资产入表指南 第1部分：框架模型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山东省工业和信息化厅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山东省工业和信息化厅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62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特种作业实际操作能力评价技术规范  第2部分：焊接与热切割作业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山东省应急管理厅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山东省安全生产技术服务中心、山东省应急管理与安全生产协会、济宁市应急管理局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ind w:firstLine="0" w:firstLineChars="0"/>
              <w:jc w:val="center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特种作业实际操作能力评价技术规范  第1部分：电工作业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山东省应急管理厅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山东省安全生产技术服务中心、山东省应急管理与安全生产协会、济宁市应急管理局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ind w:firstLine="0" w:firstLineChars="0"/>
              <w:jc w:val="center"/>
              <w:rPr>
                <w:rFonts w:hint="default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64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社会保险基金绩效评价工作指南 第1部分 企业职工基本养老保险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山东省财政厅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山东省财政厅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eastAsia="仿宋_GB2312" w:hAnsiTheme="minorHAnsi" w:cstheme="minorBidi"/>
                <w:b w:val="0"/>
                <w:bCs w:val="0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社会保险基金绩效评价工作指南 第2部分 职工基本医疗保险基金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山东省财政厅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山东省财政厅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ind w:firstLine="0" w:firstLineChars="0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b w:val="0"/>
                <w:bCs w:val="0"/>
                <w:color w:val="000000"/>
                <w:sz w:val="24"/>
              </w:rPr>
              <w:t>6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社会保险基金绩效评价工作指南 第3部分 失业保险基金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山东省财政厅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山东省财政厅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ind w:firstLine="0" w:firstLineChars="0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b w:val="0"/>
                <w:bCs w:val="0"/>
                <w:color w:val="000000"/>
                <w:sz w:val="24"/>
              </w:rPr>
              <w:t>6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社会保险基金绩效评价工作指南 第4部分 工伤保险基金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山东省财政厅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山东省财政厅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ind w:firstLine="0" w:firstLineChars="0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b w:val="0"/>
                <w:bCs w:val="0"/>
                <w:color w:val="000000"/>
                <w:sz w:val="24"/>
              </w:rPr>
              <w:t>6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社会保险基金绩效评价工作指南 第5部分 居民基本医疗保险基金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山东省财政厅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山东省财政厅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ind w:firstLine="0" w:firstLineChars="0"/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b w:val="0"/>
                <w:bCs w:val="0"/>
                <w:color w:val="000000"/>
                <w:sz w:val="24"/>
              </w:rPr>
              <w:t>6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社会保险基金绩效评价工作指南 第6部分 机关事业单位基本养老保险基金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山东省财政厅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山东省财政厅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ind w:firstLine="0" w:firstLineChars="0"/>
              <w:jc w:val="center"/>
              <w:rPr>
                <w:rFonts w:hint="default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70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社会保险基金绩效评价工作指南 第7部分 居民基本养老保险基金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制定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山东省财政厅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山东省财政厅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ind w:firstLine="0" w:firstLineChars="0"/>
              <w:jc w:val="center"/>
              <w:rPr>
                <w:rFonts w:hint="default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71</w:t>
            </w:r>
          </w:p>
        </w:tc>
        <w:tc>
          <w:tcPr>
            <w:tcW w:w="3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就业帮扶车间建设与运营规范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修订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山东省农业厅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省乡村振兴局 省标准化研究院</w:t>
            </w:r>
          </w:p>
        </w:tc>
      </w:tr>
    </w:tbl>
    <w:p>
      <w:pPr>
        <w:spacing w:line="20" w:lineRule="exact"/>
        <w:ind w:firstLine="0" w:firstLineChars="0"/>
      </w:pPr>
    </w:p>
    <w:p>
      <w:bookmarkStart w:id="0" w:name="_GoBack"/>
      <w:bookmarkEnd w:id="0"/>
    </w:p>
    <w:sectPr>
      <w:footerReference r:id="rId5" w:type="default"/>
      <w:pgSz w:w="16838" w:h="11906" w:orient="landscape"/>
      <w:pgMar w:top="1474" w:right="1985" w:bottom="1588" w:left="2098" w:header="851" w:footer="992" w:gutter="0"/>
      <w:pgNumType w:fmt="numberInDash" w:start="1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0601464"/>
      <w:docPartObj>
        <w:docPartGallery w:val="autotext"/>
      </w:docPartObj>
    </w:sdtPr>
    <w:sdtContent>
      <w:p>
        <w:pPr>
          <w:pStyle w:val="4"/>
          <w:ind w:firstLine="640"/>
          <w:jc w:val="center"/>
        </w:pPr>
        <w:r>
          <w:rPr>
            <w:rFonts w:hint="eastAsia" w:ascii="仿宋_GB2312" w:hAnsi="Times New Roman" w:eastAsia="仿宋_GB2312" w:cs="Times New Roman"/>
            <w:sz w:val="28"/>
            <w:szCs w:val="28"/>
          </w:rPr>
          <w:fldChar w:fldCharType="begin"/>
        </w:r>
        <w:r>
          <w:rPr>
            <w:rFonts w:hint="eastAsia" w:ascii="仿宋_GB2312" w:hAnsi="Times New Roman" w:eastAsia="仿宋_GB2312" w:cs="Times New Roman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hAnsi="Times New Roman" w:eastAsia="仿宋_GB2312" w:cs="Times New Roman"/>
            <w:sz w:val="28"/>
            <w:szCs w:val="28"/>
          </w:rPr>
          <w:fldChar w:fldCharType="separate"/>
        </w:r>
        <w:r>
          <w:rPr>
            <w:rFonts w:hint="eastAsia" w:ascii="仿宋_GB2312" w:hAnsi="Times New Roman" w:eastAsia="仿宋_GB2312" w:cs="Times New Roman"/>
            <w:sz w:val="28"/>
            <w:szCs w:val="28"/>
            <w:lang w:val="zh-CN"/>
          </w:rPr>
          <w:t>2</w:t>
        </w:r>
        <w:r>
          <w:rPr>
            <w:rFonts w:hint="eastAsia" w:ascii="仿宋_GB2312" w:hAnsi="Times New Roman" w:eastAsia="仿宋_GB2312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9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24"/>
      <w:lang w:val="en-US" w:eastAsia="zh-CN" w:bidi="ar-SA"/>
      <w14:ligatures w14:val="none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楷体_GB2312" w:eastAsia="楷体_GB2312" w:hAnsiTheme="majorHAnsi" w:cstheme="majorBidi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eastAsiaTheme="minorEastAsia"/>
      <w:sz w:val="18"/>
      <w:szCs w:val="18"/>
      <w14:ligatures w14:val="standardContextual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eastAsiaTheme="minorEastAsia"/>
      <w:sz w:val="18"/>
      <w:szCs w:val="18"/>
      <w14:ligatures w14:val="standardContextual"/>
    </w:rPr>
  </w:style>
  <w:style w:type="paragraph" w:customStyle="1" w:styleId="8">
    <w:name w:val="章节标题"/>
    <w:basedOn w:val="3"/>
    <w:qFormat/>
    <w:uiPriority w:val="0"/>
    <w:pPr>
      <w:widowControl/>
      <w:suppressAutoHyphens/>
      <w:adjustRightInd w:val="0"/>
      <w:snapToGrid w:val="0"/>
      <w:spacing w:before="0" w:after="0" w:line="560" w:lineRule="exact"/>
      <w:ind w:firstLine="0" w:firstLineChars="0"/>
      <w:jc w:val="center"/>
    </w:pPr>
    <w:rPr>
      <w:rFonts w:ascii="方正小标宋简体" w:hAnsi="仿宋_GB2312" w:eastAsia="方正小标宋简体" w:cs="Times New Roman"/>
      <w:b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2023-11-21T02:51:47Z</dcterms:created>
  <dc:creator>lenovo</dc:creator>
  <cp:lastModifiedBy>lenovo</cp:lastModifiedBy>
  <dcterms:modified xsi:type="dcterms:W3CDTF">2023-11-21T02:52:23Z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B96CB0F2F4304781B2E15501FD328C7A</vt:lpwstr>
  </property>
</Properties>
</file>