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2C0" w:rsidRDefault="007467FA">
      <w:pPr>
        <w:spacing w:line="500" w:lineRule="exact"/>
        <w:rPr>
          <w:rFonts w:ascii="黑体" w:eastAsia="黑体" w:hAnsi="黑体" w:cs="黑体"/>
          <w:sz w:val="32"/>
          <w:szCs w:val="32"/>
          <w:lang w:val="en"/>
        </w:rPr>
      </w:pPr>
      <w:r>
        <w:rPr>
          <w:rFonts w:ascii="黑体" w:eastAsia="黑体" w:hAnsi="黑体" w:cs="黑体" w:hint="eastAsia"/>
          <w:sz w:val="32"/>
          <w:szCs w:val="32"/>
          <w:lang w:val="en"/>
        </w:rPr>
        <w:t>附件1</w:t>
      </w:r>
    </w:p>
    <w:p w:rsidR="006A12C0" w:rsidRDefault="006A12C0">
      <w:pPr>
        <w:spacing w:line="500" w:lineRule="exact"/>
        <w:jc w:val="center"/>
        <w:rPr>
          <w:rFonts w:ascii="黑体" w:eastAsia="黑体" w:hAnsi="黑体" w:cs="黑体"/>
          <w:sz w:val="32"/>
          <w:szCs w:val="32"/>
          <w:lang w:val="en"/>
        </w:rPr>
      </w:pPr>
    </w:p>
    <w:p w:rsidR="006A12C0" w:rsidRDefault="007467FA">
      <w:pPr>
        <w:spacing w:line="500" w:lineRule="exact"/>
        <w:jc w:val="center"/>
        <w:rPr>
          <w:rFonts w:eastAsia="方正小标宋简体"/>
          <w:sz w:val="44"/>
          <w:szCs w:val="44"/>
        </w:rPr>
      </w:pPr>
      <w:r>
        <w:rPr>
          <w:rFonts w:eastAsia="方正小标宋简体"/>
          <w:sz w:val="44"/>
          <w:szCs w:val="44"/>
        </w:rPr>
        <w:t>医疗器械行业标准信息表</w:t>
      </w:r>
    </w:p>
    <w:p w:rsidR="006A12C0" w:rsidRDefault="006A12C0">
      <w:pPr>
        <w:spacing w:line="500" w:lineRule="exact"/>
        <w:jc w:val="center"/>
        <w:rPr>
          <w:rFonts w:eastAsia="方正小标宋简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926"/>
        <w:gridCol w:w="1880"/>
        <w:gridCol w:w="955"/>
        <w:gridCol w:w="1738"/>
        <w:gridCol w:w="5195"/>
        <w:gridCol w:w="2108"/>
      </w:tblGrid>
      <w:tr w:rsidR="006A12C0">
        <w:trPr>
          <w:cantSplit/>
          <w:trHeight w:val="583"/>
          <w:tblHeader/>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ind w:right="120"/>
              <w:jc w:val="center"/>
              <w:rPr>
                <w:rFonts w:eastAsia="黑体"/>
                <w:bCs/>
                <w:sz w:val="24"/>
              </w:rPr>
            </w:pPr>
            <w:r>
              <w:rPr>
                <w:rFonts w:eastAsia="黑体"/>
                <w:bCs/>
                <w:sz w:val="24"/>
              </w:rPr>
              <w:t>序号</w:t>
            </w:r>
          </w:p>
        </w:tc>
        <w:tc>
          <w:tcPr>
            <w:tcW w:w="1926" w:type="dxa"/>
            <w:tcMar>
              <w:top w:w="28" w:type="dxa"/>
              <w:left w:w="28" w:type="dxa"/>
              <w:bottom w:w="28" w:type="dxa"/>
              <w:right w:w="28" w:type="dxa"/>
            </w:tcMar>
            <w:vAlign w:val="center"/>
          </w:tcPr>
          <w:p w:rsidR="006A12C0" w:rsidRDefault="007467FA">
            <w:pPr>
              <w:adjustRightInd w:val="0"/>
              <w:snapToGrid w:val="0"/>
              <w:spacing w:line="260" w:lineRule="exact"/>
              <w:ind w:right="120"/>
              <w:jc w:val="center"/>
              <w:rPr>
                <w:rFonts w:eastAsia="黑体"/>
                <w:bCs/>
                <w:sz w:val="24"/>
              </w:rPr>
            </w:pPr>
            <w:r>
              <w:rPr>
                <w:rFonts w:eastAsia="黑体"/>
                <w:bCs/>
                <w:sz w:val="24"/>
              </w:rPr>
              <w:t>标准编号</w:t>
            </w:r>
          </w:p>
        </w:tc>
        <w:tc>
          <w:tcPr>
            <w:tcW w:w="1880" w:type="dxa"/>
            <w:tcMar>
              <w:top w:w="28" w:type="dxa"/>
              <w:left w:w="28" w:type="dxa"/>
              <w:bottom w:w="28" w:type="dxa"/>
              <w:right w:w="28" w:type="dxa"/>
            </w:tcMar>
            <w:vAlign w:val="center"/>
          </w:tcPr>
          <w:p w:rsidR="006A12C0" w:rsidRDefault="007467FA">
            <w:pPr>
              <w:adjustRightInd w:val="0"/>
              <w:snapToGrid w:val="0"/>
              <w:spacing w:line="260" w:lineRule="exact"/>
              <w:ind w:right="120"/>
              <w:jc w:val="center"/>
              <w:rPr>
                <w:rFonts w:eastAsia="黑体"/>
                <w:bCs/>
                <w:sz w:val="24"/>
              </w:rPr>
            </w:pPr>
            <w:r>
              <w:rPr>
                <w:rFonts w:eastAsia="黑体"/>
                <w:bCs/>
                <w:sz w:val="24"/>
              </w:rPr>
              <w:t>标准名称</w:t>
            </w:r>
          </w:p>
        </w:tc>
        <w:tc>
          <w:tcPr>
            <w:tcW w:w="955" w:type="dxa"/>
            <w:tcMar>
              <w:top w:w="28" w:type="dxa"/>
              <w:left w:w="28" w:type="dxa"/>
              <w:bottom w:w="28" w:type="dxa"/>
              <w:right w:w="28" w:type="dxa"/>
            </w:tcMar>
            <w:vAlign w:val="center"/>
          </w:tcPr>
          <w:p w:rsidR="006A12C0" w:rsidRDefault="007467FA">
            <w:pPr>
              <w:adjustRightInd w:val="0"/>
              <w:snapToGrid w:val="0"/>
              <w:spacing w:line="260" w:lineRule="exact"/>
              <w:ind w:right="120"/>
              <w:jc w:val="center"/>
              <w:rPr>
                <w:rFonts w:eastAsia="黑体"/>
                <w:bCs/>
                <w:sz w:val="24"/>
              </w:rPr>
            </w:pPr>
            <w:r>
              <w:rPr>
                <w:rFonts w:eastAsia="黑体"/>
                <w:bCs/>
                <w:sz w:val="24"/>
              </w:rPr>
              <w:t>制修订</w:t>
            </w:r>
          </w:p>
        </w:tc>
        <w:tc>
          <w:tcPr>
            <w:tcW w:w="1738" w:type="dxa"/>
            <w:tcMar>
              <w:top w:w="28" w:type="dxa"/>
              <w:left w:w="28" w:type="dxa"/>
              <w:bottom w:w="28" w:type="dxa"/>
              <w:right w:w="28" w:type="dxa"/>
            </w:tcMar>
            <w:vAlign w:val="center"/>
          </w:tcPr>
          <w:p w:rsidR="006A12C0" w:rsidRDefault="007467FA">
            <w:pPr>
              <w:adjustRightInd w:val="0"/>
              <w:snapToGrid w:val="0"/>
              <w:spacing w:line="260" w:lineRule="exact"/>
              <w:ind w:right="120"/>
              <w:jc w:val="center"/>
              <w:rPr>
                <w:rFonts w:eastAsia="黑体"/>
                <w:bCs/>
                <w:sz w:val="24"/>
              </w:rPr>
            </w:pPr>
            <w:r>
              <w:rPr>
                <w:rFonts w:eastAsia="黑体"/>
                <w:bCs/>
                <w:sz w:val="24"/>
              </w:rPr>
              <w:t>替代标准</w:t>
            </w:r>
          </w:p>
        </w:tc>
        <w:tc>
          <w:tcPr>
            <w:tcW w:w="5195" w:type="dxa"/>
            <w:tcMar>
              <w:top w:w="28" w:type="dxa"/>
              <w:left w:w="28" w:type="dxa"/>
              <w:bottom w:w="28" w:type="dxa"/>
              <w:right w:w="28" w:type="dxa"/>
            </w:tcMar>
            <w:vAlign w:val="center"/>
          </w:tcPr>
          <w:p w:rsidR="006A12C0" w:rsidRDefault="007467FA">
            <w:pPr>
              <w:adjustRightInd w:val="0"/>
              <w:snapToGrid w:val="0"/>
              <w:spacing w:line="260" w:lineRule="exact"/>
              <w:ind w:right="120"/>
              <w:jc w:val="center"/>
              <w:rPr>
                <w:rFonts w:eastAsia="黑体"/>
                <w:bCs/>
                <w:sz w:val="24"/>
              </w:rPr>
            </w:pPr>
            <w:r>
              <w:rPr>
                <w:rFonts w:eastAsia="黑体"/>
                <w:bCs/>
                <w:sz w:val="24"/>
              </w:rPr>
              <w:t>适用范围</w:t>
            </w:r>
          </w:p>
        </w:tc>
        <w:tc>
          <w:tcPr>
            <w:tcW w:w="2108" w:type="dxa"/>
            <w:tcMar>
              <w:top w:w="28" w:type="dxa"/>
              <w:left w:w="28" w:type="dxa"/>
              <w:bottom w:w="28" w:type="dxa"/>
              <w:right w:w="28" w:type="dxa"/>
            </w:tcMar>
            <w:vAlign w:val="center"/>
          </w:tcPr>
          <w:p w:rsidR="006A12C0" w:rsidRDefault="007467FA">
            <w:pPr>
              <w:adjustRightInd w:val="0"/>
              <w:snapToGrid w:val="0"/>
              <w:spacing w:line="260" w:lineRule="exact"/>
              <w:ind w:right="120"/>
              <w:jc w:val="center"/>
              <w:rPr>
                <w:rFonts w:eastAsia="黑体"/>
                <w:bCs/>
                <w:sz w:val="24"/>
              </w:rPr>
            </w:pPr>
            <w:r>
              <w:rPr>
                <w:rFonts w:eastAsia="黑体"/>
                <w:bCs/>
                <w:sz w:val="24"/>
              </w:rPr>
              <w:t>实施日期</w:t>
            </w:r>
          </w:p>
        </w:tc>
      </w:tr>
      <w:tr w:rsidR="006A12C0">
        <w:trPr>
          <w:cantSplit/>
          <w:trHeight w:val="3522"/>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t>1</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 0315</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钛及钛合金牙种植体</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 0315</w:t>
            </w:r>
            <w:r>
              <w:rPr>
                <w:rFonts w:eastAsia="仿宋_GB2312" w:hint="eastAsia"/>
                <w:color w:val="000000"/>
                <w:sz w:val="24"/>
              </w:rPr>
              <w:t>—</w:t>
            </w:r>
            <w:r>
              <w:rPr>
                <w:rFonts w:eastAsia="仿宋_GB2312"/>
                <w:color w:val="000000"/>
                <w:sz w:val="24"/>
              </w:rPr>
              <w:t>2016</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本文件规定了以锻制钛及钛合金材料制成的不带表面涂层的牙种植体的性能要求、包装、标识和使用说明书，并描述了相应的试验方法。本文件适用于由化学成分符合</w:t>
            </w:r>
            <w:r>
              <w:rPr>
                <w:rFonts w:eastAsia="仿宋_GB2312"/>
                <w:color w:val="000000"/>
                <w:sz w:val="24"/>
              </w:rPr>
              <w:t>GB/T 13810</w:t>
            </w:r>
            <w:r>
              <w:rPr>
                <w:rFonts w:eastAsia="仿宋_GB2312"/>
                <w:color w:val="000000"/>
                <w:sz w:val="24"/>
              </w:rPr>
              <w:t>或</w:t>
            </w:r>
            <w:r>
              <w:rPr>
                <w:rFonts w:eastAsia="仿宋_GB2312"/>
                <w:color w:val="000000"/>
                <w:sz w:val="24"/>
              </w:rPr>
              <w:t>ISO 5832-2</w:t>
            </w:r>
            <w:r>
              <w:rPr>
                <w:rFonts w:eastAsia="仿宋_GB2312"/>
                <w:color w:val="000000"/>
                <w:sz w:val="24"/>
              </w:rPr>
              <w:t>、</w:t>
            </w:r>
            <w:r>
              <w:rPr>
                <w:rFonts w:eastAsia="仿宋_GB2312"/>
                <w:color w:val="000000"/>
                <w:sz w:val="24"/>
              </w:rPr>
              <w:t>ISO 5832-3</w:t>
            </w:r>
            <w:r>
              <w:rPr>
                <w:rFonts w:eastAsia="仿宋_GB2312"/>
                <w:color w:val="000000"/>
                <w:sz w:val="24"/>
              </w:rPr>
              <w:t>、</w:t>
            </w:r>
            <w:r>
              <w:rPr>
                <w:rFonts w:eastAsia="仿宋_GB2312"/>
                <w:color w:val="000000"/>
                <w:sz w:val="24"/>
              </w:rPr>
              <w:t>ISO 5832-11</w:t>
            </w:r>
            <w:r>
              <w:rPr>
                <w:rFonts w:eastAsia="仿宋_GB2312"/>
                <w:color w:val="000000"/>
                <w:sz w:val="24"/>
              </w:rPr>
              <w:t>或</w:t>
            </w:r>
            <w:r>
              <w:rPr>
                <w:rFonts w:eastAsia="仿宋_GB2312"/>
                <w:color w:val="000000"/>
                <w:sz w:val="24"/>
              </w:rPr>
              <w:t>ASTM F67</w:t>
            </w:r>
            <w:r>
              <w:rPr>
                <w:rFonts w:eastAsia="仿宋_GB2312"/>
                <w:color w:val="000000"/>
                <w:sz w:val="24"/>
              </w:rPr>
              <w:t>、</w:t>
            </w:r>
            <w:r>
              <w:rPr>
                <w:rFonts w:eastAsia="仿宋_GB2312"/>
                <w:color w:val="000000"/>
                <w:sz w:val="24"/>
              </w:rPr>
              <w:t>ASTM F136</w:t>
            </w:r>
            <w:r>
              <w:rPr>
                <w:rFonts w:eastAsia="仿宋_GB2312"/>
                <w:color w:val="000000"/>
                <w:sz w:val="24"/>
              </w:rPr>
              <w:t>、</w:t>
            </w:r>
            <w:r>
              <w:rPr>
                <w:rFonts w:eastAsia="仿宋_GB2312"/>
                <w:color w:val="000000"/>
                <w:sz w:val="24"/>
              </w:rPr>
              <w:t>ASTM F1295</w:t>
            </w:r>
            <w:r>
              <w:rPr>
                <w:rFonts w:eastAsia="仿宋_GB2312"/>
                <w:color w:val="000000"/>
                <w:sz w:val="24"/>
              </w:rPr>
              <w:t>、</w:t>
            </w:r>
            <w:r>
              <w:rPr>
                <w:rFonts w:eastAsia="仿宋_GB2312"/>
                <w:color w:val="000000"/>
                <w:sz w:val="24"/>
              </w:rPr>
              <w:t>ASTM F1472</w:t>
            </w:r>
            <w:r>
              <w:rPr>
                <w:rFonts w:eastAsia="仿宋_GB2312"/>
                <w:color w:val="000000"/>
                <w:sz w:val="24"/>
              </w:rPr>
              <w:t>中外科植入物用钛及钛合金材料制成的牙种植体。本文件不适用于牙种植体附件和增材制造钛及钛合金牙种植体。</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2026</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rsidTr="003529B8">
        <w:trPr>
          <w:cantSplit/>
          <w:trHeight w:val="2147"/>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t>2</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 0469</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医用外科口罩</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 0469</w:t>
            </w:r>
            <w:r>
              <w:rPr>
                <w:rFonts w:eastAsia="仿宋_GB2312" w:hint="eastAsia"/>
                <w:color w:val="000000"/>
                <w:sz w:val="24"/>
              </w:rPr>
              <w:t>—</w:t>
            </w:r>
            <w:r>
              <w:rPr>
                <w:rFonts w:eastAsia="仿宋_GB2312"/>
                <w:color w:val="000000"/>
                <w:sz w:val="24"/>
              </w:rPr>
              <w:t>2011</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规定了医用外科口罩的技术要求、试验方法、标志、包装、运输和贮存。本文件适用于医护人员在含有潜在血液、体液、分泌物污染风险的医疗环境及有创操作环境佩戴的一次性医用口罩。本文件不适用于医用及其它工作环境下的防护口罩。</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2026</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rsidTr="003529B8">
        <w:trPr>
          <w:cantSplit/>
          <w:trHeight w:val="2289"/>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lastRenderedPageBreak/>
              <w:t>3</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 0793.2</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血液透析和相关治疗用液体的制备和质量管理</w:t>
            </w:r>
            <w:r>
              <w:rPr>
                <w:rFonts w:eastAsia="仿宋_GB2312"/>
                <w:color w:val="000000"/>
                <w:sz w:val="24"/>
              </w:rPr>
              <w:t xml:space="preserve"> </w:t>
            </w:r>
            <w:r>
              <w:rPr>
                <w:rFonts w:eastAsia="仿宋_GB2312"/>
                <w:color w:val="000000"/>
                <w:sz w:val="24"/>
              </w:rPr>
              <w:t>第</w:t>
            </w:r>
            <w:r>
              <w:rPr>
                <w:rFonts w:eastAsia="仿宋_GB2312"/>
                <w:color w:val="000000"/>
                <w:sz w:val="24"/>
              </w:rPr>
              <w:t>2</w:t>
            </w:r>
            <w:r>
              <w:rPr>
                <w:rFonts w:eastAsia="仿宋_GB2312"/>
                <w:color w:val="000000"/>
                <w:sz w:val="24"/>
              </w:rPr>
              <w:t>部分：血液透析和相关治疗用水</w:t>
            </w:r>
            <w:r>
              <w:rPr>
                <w:rFonts w:eastAsia="仿宋_GB2312"/>
                <w:color w:val="000000"/>
                <w:sz w:val="24"/>
              </w:rPr>
              <w:t xml:space="preserve"> </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 0572</w:t>
            </w:r>
            <w:r>
              <w:rPr>
                <w:rFonts w:eastAsia="仿宋_GB2312" w:hint="eastAsia"/>
                <w:color w:val="000000"/>
                <w:sz w:val="24"/>
              </w:rPr>
              <w:t>—</w:t>
            </w:r>
            <w:r>
              <w:rPr>
                <w:rFonts w:eastAsia="仿宋_GB2312"/>
                <w:color w:val="000000"/>
                <w:sz w:val="24"/>
              </w:rPr>
              <w:t>2015</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规定了制备透析浓缩液、透析用液体（用于血液透析、血液透析滤过或血液滤过）所用水的最低要求。本文件适用于制备透析浓缩液、透析用液体（用于血液透析、血液透析滤过或血液滤过）所用水。本文件不涉及水处理设备的使用，及水经处理后与浓缩物混合制成最终透析液的操作。这些操作由透析专业人员负责。本文件不适用于透析液再生系统。</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2026</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4108"/>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t>4</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 1042</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牙科学</w:t>
            </w:r>
            <w:r>
              <w:rPr>
                <w:rFonts w:eastAsia="仿宋_GB2312"/>
                <w:color w:val="000000"/>
                <w:sz w:val="24"/>
              </w:rPr>
              <w:t xml:space="preserve"> </w:t>
            </w:r>
            <w:r>
              <w:rPr>
                <w:rFonts w:eastAsia="仿宋_GB2312"/>
                <w:color w:val="000000"/>
                <w:sz w:val="24"/>
              </w:rPr>
              <w:t>聚合物基修复材料</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 1042</w:t>
            </w:r>
            <w:r>
              <w:rPr>
                <w:rFonts w:eastAsia="仿宋_GB2312" w:hint="eastAsia"/>
                <w:color w:val="000000"/>
                <w:sz w:val="24"/>
              </w:rPr>
              <w:t>—</w:t>
            </w:r>
            <w:r>
              <w:rPr>
                <w:rFonts w:eastAsia="仿宋_GB2312"/>
                <w:color w:val="000000"/>
                <w:sz w:val="24"/>
              </w:rPr>
              <w:t>2011</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规定了牙科聚合物基修复材料的要求。该类材料是以适合于经机械混合、手工调和、或在口腔内和口腔外采用外部能量激活的形式提供的，主要用于牙齿的直接或间接修复和粘固。本文件所涵盖的聚合物基粘固材料是指用于修复体和修复装置，如嵌体、高嵌体、贴面、冠和桥的粘固或固位的材料。本文件不涵盖材料中含有粘接性成分的聚合物基粘固材料（见</w:t>
            </w:r>
            <w:r>
              <w:rPr>
                <w:rFonts w:eastAsia="仿宋_GB2312"/>
                <w:color w:val="000000"/>
                <w:sz w:val="24"/>
              </w:rPr>
              <w:t>ISO/TS 16506</w:t>
            </w:r>
            <w:r>
              <w:rPr>
                <w:rFonts w:eastAsia="仿宋_GB2312"/>
                <w:color w:val="000000"/>
                <w:sz w:val="24"/>
              </w:rPr>
              <w:t>）。本文件不涵盖用于预防龋齿的牙科聚合物基材料（见</w:t>
            </w:r>
            <w:r>
              <w:rPr>
                <w:rFonts w:eastAsia="仿宋_GB2312"/>
                <w:color w:val="000000"/>
                <w:sz w:val="24"/>
              </w:rPr>
              <w:t>YY 0622</w:t>
            </w:r>
            <w:r>
              <w:rPr>
                <w:rFonts w:eastAsia="仿宋_GB2312"/>
                <w:color w:val="000000"/>
                <w:sz w:val="24"/>
              </w:rPr>
              <w:t>）、桩核材料或用于金属基底上的贴面材料（见</w:t>
            </w:r>
            <w:r>
              <w:rPr>
                <w:rFonts w:eastAsia="仿宋_GB2312"/>
                <w:color w:val="000000"/>
                <w:sz w:val="24"/>
              </w:rPr>
              <w:t>YY 0710</w:t>
            </w:r>
            <w:r>
              <w:rPr>
                <w:rFonts w:eastAsia="仿宋_GB2312"/>
                <w:color w:val="000000"/>
                <w:sz w:val="24"/>
              </w:rPr>
              <w:t>）。</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2026</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2028"/>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lastRenderedPageBreak/>
              <w:t>5</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0003</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手动病床</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0003</w:t>
            </w:r>
            <w:r>
              <w:rPr>
                <w:rFonts w:eastAsia="仿宋_GB2312" w:hint="eastAsia"/>
                <w:color w:val="000000"/>
                <w:sz w:val="24"/>
              </w:rPr>
              <w:t>—</w:t>
            </w:r>
            <w:r>
              <w:rPr>
                <w:rFonts w:eastAsia="仿宋_GB2312"/>
                <w:color w:val="000000"/>
                <w:sz w:val="24"/>
              </w:rPr>
              <w:t>1990</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本文件规定了手动病床的要求、试验方法和说明书。本文件适用于手动病床。该产品预期用于身高等于或大于</w:t>
            </w:r>
            <w:r>
              <w:rPr>
                <w:rFonts w:eastAsia="仿宋_GB2312"/>
                <w:color w:val="000000"/>
                <w:sz w:val="24"/>
              </w:rPr>
              <w:t>146cm</w:t>
            </w:r>
            <w:r>
              <w:rPr>
                <w:rFonts w:eastAsia="仿宋_GB2312"/>
                <w:color w:val="000000"/>
                <w:sz w:val="24"/>
              </w:rPr>
              <w:t>，质量等于或大于</w:t>
            </w:r>
            <w:r>
              <w:rPr>
                <w:rFonts w:eastAsia="仿宋_GB2312"/>
                <w:color w:val="000000"/>
                <w:sz w:val="24"/>
              </w:rPr>
              <w:t>40kg</w:t>
            </w:r>
            <w:r>
              <w:rPr>
                <w:rFonts w:eastAsia="仿宋_GB2312"/>
                <w:color w:val="000000"/>
                <w:sz w:val="24"/>
              </w:rPr>
              <w:t>，体重指数（</w:t>
            </w:r>
            <w:r>
              <w:rPr>
                <w:rFonts w:eastAsia="仿宋_GB2312"/>
                <w:color w:val="000000"/>
                <w:sz w:val="24"/>
              </w:rPr>
              <w:t>BMI</w:t>
            </w:r>
            <w:r>
              <w:rPr>
                <w:rFonts w:eastAsia="仿宋_GB2312"/>
                <w:color w:val="000000"/>
                <w:sz w:val="24"/>
              </w:rPr>
              <w:t>）等于或大于</w:t>
            </w:r>
            <w:r>
              <w:rPr>
                <w:rFonts w:eastAsia="仿宋_GB2312"/>
                <w:color w:val="000000"/>
                <w:sz w:val="24"/>
              </w:rPr>
              <w:t>17</w:t>
            </w:r>
            <w:r>
              <w:rPr>
                <w:rFonts w:eastAsia="仿宋_GB2312"/>
                <w:color w:val="000000"/>
                <w:sz w:val="24"/>
              </w:rPr>
              <w:t>的患者。</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5</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1835"/>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t>6</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0127.4</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口腔医疗器械生物学评价</w:t>
            </w:r>
            <w:r>
              <w:rPr>
                <w:rFonts w:eastAsia="仿宋_GB2312"/>
                <w:color w:val="000000"/>
                <w:sz w:val="24"/>
              </w:rPr>
              <w:t xml:space="preserve"> </w:t>
            </w:r>
            <w:r>
              <w:rPr>
                <w:rFonts w:eastAsia="仿宋_GB2312"/>
                <w:color w:val="000000"/>
                <w:sz w:val="24"/>
              </w:rPr>
              <w:t>第</w:t>
            </w:r>
            <w:r>
              <w:rPr>
                <w:rFonts w:eastAsia="仿宋_GB2312"/>
                <w:color w:val="000000"/>
                <w:sz w:val="24"/>
              </w:rPr>
              <w:t>4</w:t>
            </w:r>
            <w:r>
              <w:rPr>
                <w:rFonts w:eastAsia="仿宋_GB2312"/>
                <w:color w:val="000000"/>
                <w:sz w:val="24"/>
              </w:rPr>
              <w:t>部分：骨植入试验</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0127.4</w:t>
            </w:r>
            <w:r>
              <w:rPr>
                <w:rFonts w:eastAsia="仿宋_GB2312" w:hint="eastAsia"/>
                <w:color w:val="000000"/>
                <w:sz w:val="24"/>
              </w:rPr>
              <w:t>—</w:t>
            </w:r>
            <w:r>
              <w:rPr>
                <w:rFonts w:eastAsia="仿宋_GB2312"/>
                <w:color w:val="000000"/>
                <w:sz w:val="24"/>
              </w:rPr>
              <w:t>2009</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本文件描述了口腔医疗器械的骨植入试验方法。本文件适用于评价组织对拟长期或持久与口腔骨组织接触的口腔医疗器械的生物学反应。</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4</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2827"/>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t>7</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0127.19</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口腔医疗器械生物学评价</w:t>
            </w:r>
            <w:r>
              <w:rPr>
                <w:rFonts w:eastAsia="仿宋_GB2312"/>
                <w:color w:val="000000"/>
                <w:sz w:val="24"/>
              </w:rPr>
              <w:t xml:space="preserve"> </w:t>
            </w:r>
            <w:r>
              <w:rPr>
                <w:rFonts w:eastAsia="仿宋_GB2312"/>
                <w:color w:val="000000"/>
                <w:sz w:val="24"/>
              </w:rPr>
              <w:t>第</w:t>
            </w:r>
            <w:r>
              <w:rPr>
                <w:rFonts w:eastAsia="仿宋_GB2312"/>
                <w:color w:val="000000"/>
                <w:sz w:val="24"/>
              </w:rPr>
              <w:t>19</w:t>
            </w:r>
            <w:r>
              <w:rPr>
                <w:rFonts w:eastAsia="仿宋_GB2312"/>
                <w:color w:val="000000"/>
                <w:sz w:val="24"/>
              </w:rPr>
              <w:t>部分：亚急性和亚慢性全身毒性试验：植入途径</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本文件描述了口腔医疗器械亚急性和亚慢性植入途径的全身毒性试验方法。本文件适用于评价口腔医疗器械植入途径的亚急性和亚慢性全身毒性试验。</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4</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4076"/>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lastRenderedPageBreak/>
              <w:t>8</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0489</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一次性使用无菌引流导管及辅助器械</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0489</w:t>
            </w:r>
            <w:r>
              <w:rPr>
                <w:rFonts w:eastAsia="仿宋_GB2312" w:hint="eastAsia"/>
                <w:color w:val="000000"/>
                <w:sz w:val="24"/>
              </w:rPr>
              <w:t>—</w:t>
            </w:r>
            <w:r>
              <w:rPr>
                <w:rFonts w:eastAsia="仿宋_GB2312"/>
                <w:color w:val="000000"/>
                <w:sz w:val="24"/>
              </w:rPr>
              <w:t>2004</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规定了一次性使用无菌的引流导管、伤口和积液引流系统、手术引流导管和有关组件的要求，其中导管以手术或经皮方式放置于体腔或伤口中，用于将液体或空气引流到体外。引流导管留作自然引流或连接至吸引源（以加快组织肉芽形成）。本文件不适用于：抽吸导管；气管导管；导尿管；输尿管支架、胆道支架和其他支架；采用胃造口术经皮置入消化道的引流管；用于去除脑脊液的轴索导管；用于从胃肠道中去除溶液或物质的肠导管；涂层。</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4</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2909"/>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t>9</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0929.3</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输液用药液过滤器</w:t>
            </w:r>
            <w:r>
              <w:rPr>
                <w:rFonts w:eastAsia="仿宋_GB2312"/>
                <w:color w:val="000000"/>
                <w:sz w:val="24"/>
              </w:rPr>
              <w:t xml:space="preserve"> </w:t>
            </w:r>
            <w:r>
              <w:rPr>
                <w:rFonts w:eastAsia="仿宋_GB2312"/>
                <w:color w:val="000000"/>
                <w:sz w:val="24"/>
              </w:rPr>
              <w:t>第</w:t>
            </w:r>
            <w:r>
              <w:rPr>
                <w:rFonts w:eastAsia="仿宋_GB2312"/>
                <w:color w:val="000000"/>
                <w:sz w:val="24"/>
              </w:rPr>
              <w:t>3</w:t>
            </w:r>
            <w:r>
              <w:rPr>
                <w:rFonts w:eastAsia="仿宋_GB2312"/>
                <w:color w:val="000000"/>
                <w:sz w:val="24"/>
              </w:rPr>
              <w:t>部分：标称孔径</w:t>
            </w:r>
            <w:r>
              <w:rPr>
                <w:rFonts w:eastAsia="仿宋_GB2312"/>
                <w:color w:val="000000"/>
                <w:sz w:val="24"/>
              </w:rPr>
              <w:t>0.22μm</w:t>
            </w:r>
            <w:r>
              <w:rPr>
                <w:rFonts w:eastAsia="仿宋_GB2312"/>
                <w:color w:val="000000"/>
                <w:sz w:val="24"/>
              </w:rPr>
              <w:t>药液过滤器液体细菌截留试验方法</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0918</w:t>
            </w:r>
            <w:r>
              <w:rPr>
                <w:rFonts w:eastAsia="仿宋_GB2312" w:hint="eastAsia"/>
                <w:color w:val="000000"/>
                <w:sz w:val="24"/>
              </w:rPr>
              <w:t>—</w:t>
            </w:r>
            <w:r>
              <w:rPr>
                <w:rFonts w:eastAsia="仿宋_GB2312"/>
                <w:color w:val="000000"/>
                <w:sz w:val="24"/>
              </w:rPr>
              <w:t>2014</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本文件描述了评价标称孔径</w:t>
            </w:r>
            <w:r>
              <w:rPr>
                <w:rFonts w:eastAsia="仿宋_GB2312"/>
                <w:color w:val="000000"/>
                <w:sz w:val="24"/>
              </w:rPr>
              <w:t>0.22 μm</w:t>
            </w:r>
            <w:r>
              <w:rPr>
                <w:rFonts w:eastAsia="仿宋_GB2312"/>
                <w:color w:val="000000"/>
                <w:sz w:val="24"/>
              </w:rPr>
              <w:t>输液用药液过滤器液体细菌截留能力的试验方法。本文件适用于标称孔径</w:t>
            </w:r>
            <w:r>
              <w:rPr>
                <w:rFonts w:eastAsia="仿宋_GB2312"/>
                <w:color w:val="000000"/>
                <w:sz w:val="24"/>
              </w:rPr>
              <w:t>0.22 μm</w:t>
            </w:r>
            <w:r>
              <w:rPr>
                <w:rFonts w:eastAsia="仿宋_GB2312"/>
                <w:color w:val="000000"/>
                <w:sz w:val="24"/>
              </w:rPr>
              <w:t>输液用药液过滤器液体细菌截留能力的评价，输液用药液过滤膜材液体细菌截留能力的评价可参考本文件。本文件不适用于</w:t>
            </w:r>
            <w:r>
              <w:rPr>
                <w:rFonts w:eastAsia="仿宋_GB2312"/>
                <w:color w:val="000000"/>
                <w:sz w:val="24"/>
              </w:rPr>
              <w:t>0.22 μm</w:t>
            </w:r>
            <w:r>
              <w:rPr>
                <w:rFonts w:eastAsia="仿宋_GB2312"/>
                <w:color w:val="000000"/>
                <w:sz w:val="24"/>
              </w:rPr>
              <w:t>输液用药液过滤器对特定种类药品细菌截留能力的验证。该验证宜采用特定药液或替代溶液在模拟实际临床输液条件下进行。</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4</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2477"/>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lastRenderedPageBreak/>
              <w:t>10</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0969</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一次性使用医用口罩</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0969</w:t>
            </w:r>
            <w:r>
              <w:rPr>
                <w:rFonts w:eastAsia="仿宋_GB2312" w:hint="eastAsia"/>
                <w:color w:val="000000"/>
                <w:sz w:val="24"/>
              </w:rPr>
              <w:t>—</w:t>
            </w:r>
            <w:r>
              <w:rPr>
                <w:rFonts w:eastAsia="仿宋_GB2312"/>
                <w:color w:val="000000"/>
                <w:sz w:val="24"/>
              </w:rPr>
              <w:t>2013</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规定了一次性使用医用口罩的技术要求、试验方法、标志、包装、运输和贮存。本文件适用于覆盖使用者口、鼻及下颌，用于普通医疗环境中佩戴、阻隔口腔和鼻腔呼出或喷出污染物的一次性使用口罩。本文件不适用于医用防护口罩、医用外科口罩。</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5</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3276"/>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t>11</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1842.3</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医疗器械</w:t>
            </w:r>
            <w:r>
              <w:rPr>
                <w:rFonts w:eastAsia="仿宋_GB2312"/>
                <w:color w:val="000000"/>
                <w:sz w:val="24"/>
              </w:rPr>
              <w:t xml:space="preserve"> </w:t>
            </w:r>
            <w:r>
              <w:rPr>
                <w:rFonts w:eastAsia="仿宋_GB2312"/>
                <w:color w:val="000000"/>
                <w:sz w:val="24"/>
              </w:rPr>
              <w:t>医用贮液容器输送系统用连接件</w:t>
            </w:r>
            <w:r>
              <w:rPr>
                <w:rFonts w:eastAsia="仿宋_GB2312"/>
                <w:color w:val="000000"/>
                <w:sz w:val="24"/>
              </w:rPr>
              <w:t xml:space="preserve"> </w:t>
            </w:r>
            <w:r>
              <w:rPr>
                <w:rFonts w:eastAsia="仿宋_GB2312"/>
                <w:color w:val="000000"/>
                <w:sz w:val="24"/>
              </w:rPr>
              <w:t>第</w:t>
            </w:r>
            <w:r>
              <w:rPr>
                <w:rFonts w:eastAsia="仿宋_GB2312"/>
                <w:color w:val="000000"/>
                <w:sz w:val="24"/>
              </w:rPr>
              <w:t>3</w:t>
            </w:r>
            <w:r>
              <w:rPr>
                <w:rFonts w:eastAsia="仿宋_GB2312"/>
                <w:color w:val="000000"/>
                <w:sz w:val="24"/>
              </w:rPr>
              <w:t>部分：胃肠道应用</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w:t>
            </w:r>
            <w:bookmarkStart w:id="0" w:name="_GoBack"/>
            <w:bookmarkEnd w:id="0"/>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规定了预期用于胃肠道贮液容器连接件的尺寸及设计与功能特性的要求。本文件未规定使用这些连接件的医疗器械或附件的尺寸或性能要求。这些要求在专用的医疗器械或附件的标准中给出。本文件不适用于螺纹盖、皇冠盖以及螺口，因为它们不是医疗器械专用的连接件。尽管胃肠道给养器经常需要与其连接，但他们更适用于食品和饮料包装的领域。</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4</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3309"/>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lastRenderedPageBreak/>
              <w:t>12</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1904</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医用防护眼</w:t>
            </w:r>
          </w:p>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（面）罩</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规定了医用防护眼罩和医用防护面罩的要求、试验方法、标志、包装、运输和贮存。本文件适用于在医疗工作环境下佩戴，防止患者血液、体液、分泌物等直接溅入眼、面部引起感染的一次性使用的医用防护眼罩、医用隔离眼罩（以下简称眼罩）和医用防护面罩、医用隔离面罩（以下简称面罩）。本文件不适用于非医用及其他医疗用途的眼罩和面罩。</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5</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r w:rsidR="006A12C0">
        <w:trPr>
          <w:cantSplit/>
          <w:trHeight w:val="3187"/>
          <w:jc w:val="center"/>
        </w:trPr>
        <w:tc>
          <w:tcPr>
            <w:tcW w:w="584" w:type="dxa"/>
            <w:tcMar>
              <w:top w:w="28" w:type="dxa"/>
              <w:left w:w="28" w:type="dxa"/>
              <w:bottom w:w="28" w:type="dxa"/>
              <w:right w:w="28" w:type="dxa"/>
            </w:tcMar>
            <w:vAlign w:val="center"/>
          </w:tcPr>
          <w:p w:rsidR="006A12C0" w:rsidRDefault="007467FA">
            <w:pPr>
              <w:adjustRightInd w:val="0"/>
              <w:snapToGrid w:val="0"/>
              <w:spacing w:line="260" w:lineRule="exact"/>
              <w:jc w:val="center"/>
              <w:rPr>
                <w:rFonts w:eastAsia="仿宋_GB2312"/>
                <w:bCs/>
                <w:sz w:val="24"/>
                <w:lang w:val="en"/>
              </w:rPr>
            </w:pPr>
            <w:r>
              <w:rPr>
                <w:rFonts w:eastAsia="仿宋_GB2312"/>
                <w:bCs/>
                <w:sz w:val="24"/>
                <w:lang w:val="en"/>
              </w:rPr>
              <w:t>13</w:t>
            </w:r>
          </w:p>
        </w:tc>
        <w:tc>
          <w:tcPr>
            <w:tcW w:w="1926"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YY/T 192</w:t>
            </w:r>
            <w:r>
              <w:rPr>
                <w:rFonts w:eastAsia="仿宋_GB2312" w:hint="eastAsia"/>
                <w:color w:val="000000"/>
                <w:sz w:val="24"/>
              </w:rPr>
              <w:t>8</w:t>
            </w:r>
            <w:r>
              <w:rPr>
                <w:rFonts w:eastAsia="仿宋_GB2312" w:hint="eastAsia"/>
                <w:color w:val="000000"/>
                <w:sz w:val="24"/>
              </w:rPr>
              <w:t>—</w:t>
            </w:r>
            <w:r>
              <w:rPr>
                <w:rFonts w:eastAsia="仿宋_GB2312"/>
                <w:color w:val="000000"/>
                <w:sz w:val="24"/>
              </w:rPr>
              <w:t>2023</w:t>
            </w:r>
          </w:p>
        </w:tc>
        <w:tc>
          <w:tcPr>
            <w:tcW w:w="1880"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预期用于磁共振环境的医用电气设备的术语和</w:t>
            </w:r>
          </w:p>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分类</w:t>
            </w:r>
          </w:p>
        </w:tc>
        <w:tc>
          <w:tcPr>
            <w:tcW w:w="955"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制定</w:t>
            </w:r>
          </w:p>
        </w:tc>
        <w:tc>
          <w:tcPr>
            <w:tcW w:w="1738" w:type="dxa"/>
            <w:tcMar>
              <w:top w:w="28" w:type="dxa"/>
              <w:left w:w="28" w:type="dxa"/>
              <w:bottom w:w="28" w:type="dxa"/>
              <w:right w:w="28" w:type="dxa"/>
            </w:tcMar>
            <w:vAlign w:val="center"/>
          </w:tcPr>
          <w:p w:rsidR="006A12C0" w:rsidRDefault="007467FA">
            <w:pPr>
              <w:adjustRightInd w:val="0"/>
              <w:snapToGrid w:val="0"/>
              <w:spacing w:line="320" w:lineRule="exact"/>
              <w:jc w:val="center"/>
              <w:rPr>
                <w:rFonts w:eastAsia="仿宋_GB2312"/>
                <w:color w:val="000000"/>
                <w:sz w:val="24"/>
              </w:rPr>
            </w:pPr>
            <w:r>
              <w:rPr>
                <w:rFonts w:eastAsia="仿宋_GB2312"/>
                <w:color w:val="000000"/>
                <w:sz w:val="24"/>
              </w:rPr>
              <w:t>/</w:t>
            </w:r>
          </w:p>
        </w:tc>
        <w:tc>
          <w:tcPr>
            <w:tcW w:w="5195"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rPr>
              <w:t>本文件界定了预期用于磁共振环境的医用电气设备的术语</w:t>
            </w:r>
            <w:r>
              <w:rPr>
                <w:rFonts w:eastAsia="仿宋_GB2312" w:hint="eastAsia"/>
                <w:color w:val="000000"/>
                <w:sz w:val="24"/>
              </w:rPr>
              <w:t>，</w:t>
            </w:r>
            <w:r>
              <w:rPr>
                <w:rFonts w:eastAsia="仿宋_GB2312"/>
                <w:color w:val="000000"/>
                <w:sz w:val="24"/>
              </w:rPr>
              <w:t>规定了预期用于磁共振环境的医用电器设备的分类。本文件适用于在磁共振环境中使用的医用电气设备。</w:t>
            </w:r>
          </w:p>
        </w:tc>
        <w:tc>
          <w:tcPr>
            <w:tcW w:w="2108" w:type="dxa"/>
            <w:tcMar>
              <w:top w:w="28" w:type="dxa"/>
              <w:left w:w="28" w:type="dxa"/>
              <w:bottom w:w="28" w:type="dxa"/>
              <w:right w:w="28" w:type="dxa"/>
            </w:tcMar>
            <w:vAlign w:val="center"/>
          </w:tcPr>
          <w:p w:rsidR="006A12C0" w:rsidRDefault="007467FA">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4</w:t>
            </w:r>
            <w:r>
              <w:rPr>
                <w:rFonts w:eastAsia="仿宋_GB2312"/>
                <w:color w:val="000000"/>
                <w:sz w:val="24"/>
                <w:lang w:val="en"/>
              </w:rPr>
              <w:t>年</w:t>
            </w:r>
            <w:r>
              <w:rPr>
                <w:rFonts w:eastAsia="仿宋_GB2312"/>
                <w:color w:val="000000"/>
                <w:sz w:val="24"/>
              </w:rPr>
              <w:t>12</w:t>
            </w:r>
            <w:r>
              <w:rPr>
                <w:rFonts w:eastAsia="仿宋_GB2312"/>
                <w:color w:val="000000"/>
                <w:sz w:val="24"/>
              </w:rPr>
              <w:t>月</w:t>
            </w:r>
            <w:r>
              <w:rPr>
                <w:rFonts w:eastAsia="仿宋_GB2312"/>
                <w:color w:val="000000"/>
                <w:sz w:val="24"/>
              </w:rPr>
              <w:t>1</w:t>
            </w:r>
            <w:r>
              <w:rPr>
                <w:rFonts w:eastAsia="仿宋_GB2312"/>
                <w:color w:val="000000"/>
                <w:sz w:val="24"/>
              </w:rPr>
              <w:t>日</w:t>
            </w:r>
          </w:p>
        </w:tc>
      </w:tr>
    </w:tbl>
    <w:p w:rsidR="007467FA" w:rsidRDefault="007467FA" w:rsidP="003529B8">
      <w:pPr>
        <w:spacing w:line="580" w:lineRule="exact"/>
        <w:rPr>
          <w:rFonts w:eastAsia="仿宋_GB2312" w:hint="eastAsia"/>
          <w:sz w:val="28"/>
          <w:szCs w:val="28"/>
        </w:rPr>
      </w:pPr>
    </w:p>
    <w:sectPr w:rsidR="007467FA" w:rsidSect="003529B8">
      <w:footerReference w:type="default" r:id="rId7"/>
      <w:pgSz w:w="16838" w:h="11906" w:orient="landscape"/>
      <w:pgMar w:top="1531" w:right="1928" w:bottom="1531" w:left="1701" w:header="851" w:footer="124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BB" w:rsidRDefault="003642BB">
      <w:r>
        <w:separator/>
      </w:r>
    </w:p>
  </w:endnote>
  <w:endnote w:type="continuationSeparator" w:id="0">
    <w:p w:rsidR="003642BB" w:rsidRDefault="0036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C0" w:rsidRDefault="009E1131">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254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12C0" w:rsidRDefault="007467FA">
                          <w:pPr>
                            <w:pStyle w:val="a7"/>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529B8">
                            <w:rPr>
                              <w:noProof/>
                              <w:sz w:val="28"/>
                              <w:szCs w:val="28"/>
                            </w:rPr>
                            <w:t>5</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fvgIAALM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" filled="f" stroked="f">
              <v:textbox style="mso-fit-shape-to-text:t" inset="0,0,0,0">
                <w:txbxContent>
                  <w:p w:rsidR="006A12C0" w:rsidRDefault="007467FA">
                    <w:pPr>
                      <w:pStyle w:val="a7"/>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529B8">
                      <w:rPr>
                        <w:noProof/>
                        <w:sz w:val="28"/>
                        <w:szCs w:val="28"/>
                      </w:rPr>
                      <w:t>5</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BB" w:rsidRDefault="003642BB">
      <w:r>
        <w:separator/>
      </w:r>
    </w:p>
  </w:footnote>
  <w:footnote w:type="continuationSeparator" w:id="0">
    <w:p w:rsidR="003642BB" w:rsidRDefault="0036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40CA07"/>
    <w:multiLevelType w:val="singleLevel"/>
    <w:tmpl w:val="8540CA07"/>
    <w:lvl w:ilvl="0">
      <w:start w:val="1"/>
      <w:numFmt w:val="chineseCounting"/>
      <w:suff w:val="nothing"/>
      <w:lvlText w:val="%1、"/>
      <w:lvlJc w:val="left"/>
      <w:rPr>
        <w:rFonts w:ascii="黑体" w:eastAsia="黑体" w:hAnsi="黑体" w:cs="黑体" w:hint="eastAsia"/>
        <w:sz w:val="32"/>
        <w:szCs w:val="32"/>
      </w:rPr>
    </w:lvl>
  </w:abstractNum>
  <w:abstractNum w:abstractNumId="1" w15:restartNumberingAfterBreak="0">
    <w:nsid w:val="E7D81D0E"/>
    <w:multiLevelType w:val="singleLevel"/>
    <w:tmpl w:val="E7D81D0E"/>
    <w:lvl w:ilvl="0">
      <w:start w:val="5"/>
      <w:numFmt w:val="chineseCounting"/>
      <w:suff w:val="nothing"/>
      <w:lvlText w:val="%1、"/>
      <w:lvlJc w:val="left"/>
      <w:rPr>
        <w:rFonts w:hint="eastAsia"/>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7"/>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6DBF04F4"/>
    <w:multiLevelType w:val="multilevel"/>
    <w:tmpl w:val="6DBF04F4"/>
    <w:lvl w:ilvl="0">
      <w:start w:val="1"/>
      <w:numFmt w:val="none"/>
      <w:pStyle w:val="a0"/>
      <w:suff w:val="nothing"/>
      <w:lvlText w:val="%1注："/>
      <w:lvlJc w:val="left"/>
      <w:pPr>
        <w:ind w:left="788" w:hanging="363"/>
      </w:pPr>
      <w:rPr>
        <w:rFonts w:ascii="黑体" w:eastAsia="黑体" w:hAnsi="Times New Roman" w:hint="eastAsia"/>
        <w:b w:val="0"/>
        <w:i w:val="0"/>
        <w:sz w:val="18"/>
      </w:rPr>
    </w:lvl>
    <w:lvl w:ilvl="1">
      <w:start w:val="1"/>
      <w:numFmt w:val="lowerLetter"/>
      <w:lvlText w:val="%2)"/>
      <w:lvlJc w:val="left"/>
      <w:pPr>
        <w:tabs>
          <w:tab w:val="num" w:pos="1202"/>
        </w:tabs>
        <w:ind w:left="788" w:hanging="363"/>
      </w:pPr>
      <w:rPr>
        <w:rFonts w:hint="eastAsia"/>
        <w:lang w:val="en-US"/>
      </w:rPr>
    </w:lvl>
    <w:lvl w:ilvl="2">
      <w:start w:val="1"/>
      <w:numFmt w:val="lowerRoman"/>
      <w:lvlText w:val="%3."/>
      <w:lvlJc w:val="right"/>
      <w:pPr>
        <w:tabs>
          <w:tab w:val="num" w:pos="1202"/>
        </w:tabs>
        <w:ind w:left="788" w:hanging="363"/>
      </w:pPr>
      <w:rPr>
        <w:rFonts w:hint="eastAsia"/>
      </w:rPr>
    </w:lvl>
    <w:lvl w:ilvl="3">
      <w:start w:val="1"/>
      <w:numFmt w:val="decimal"/>
      <w:lvlText w:val="%4."/>
      <w:lvlJc w:val="left"/>
      <w:pPr>
        <w:tabs>
          <w:tab w:val="num" w:pos="1202"/>
        </w:tabs>
        <w:ind w:left="788" w:hanging="363"/>
      </w:pPr>
      <w:rPr>
        <w:rFonts w:hint="eastAsia"/>
      </w:rPr>
    </w:lvl>
    <w:lvl w:ilvl="4">
      <w:start w:val="1"/>
      <w:numFmt w:val="lowerLetter"/>
      <w:lvlText w:val="%5)"/>
      <w:lvlJc w:val="left"/>
      <w:pPr>
        <w:tabs>
          <w:tab w:val="num" w:pos="1202"/>
        </w:tabs>
        <w:ind w:left="788" w:hanging="363"/>
      </w:pPr>
      <w:rPr>
        <w:rFonts w:hint="eastAsia"/>
      </w:rPr>
    </w:lvl>
    <w:lvl w:ilvl="5">
      <w:start w:val="1"/>
      <w:numFmt w:val="lowerRoman"/>
      <w:lvlText w:val="%6."/>
      <w:lvlJc w:val="right"/>
      <w:pPr>
        <w:tabs>
          <w:tab w:val="num" w:pos="1202"/>
        </w:tabs>
        <w:ind w:left="788" w:hanging="363"/>
      </w:pPr>
      <w:rPr>
        <w:rFonts w:hint="eastAsia"/>
      </w:rPr>
    </w:lvl>
    <w:lvl w:ilvl="6">
      <w:start w:val="1"/>
      <w:numFmt w:val="decimal"/>
      <w:lvlText w:val="%7."/>
      <w:lvlJc w:val="left"/>
      <w:pPr>
        <w:tabs>
          <w:tab w:val="num" w:pos="1202"/>
        </w:tabs>
        <w:ind w:left="788" w:hanging="363"/>
      </w:pPr>
      <w:rPr>
        <w:rFonts w:hint="eastAsia"/>
      </w:rPr>
    </w:lvl>
    <w:lvl w:ilvl="7">
      <w:start w:val="1"/>
      <w:numFmt w:val="lowerLetter"/>
      <w:lvlText w:val="%8)"/>
      <w:lvlJc w:val="left"/>
      <w:pPr>
        <w:tabs>
          <w:tab w:val="num" w:pos="1202"/>
        </w:tabs>
        <w:ind w:left="788" w:hanging="363"/>
      </w:pPr>
      <w:rPr>
        <w:rFonts w:hint="eastAsia"/>
      </w:rPr>
    </w:lvl>
    <w:lvl w:ilvl="8">
      <w:start w:val="1"/>
      <w:numFmt w:val="lowerRoman"/>
      <w:lvlText w:val="%9."/>
      <w:lvlJc w:val="right"/>
      <w:pPr>
        <w:tabs>
          <w:tab w:val="num" w:pos="1202"/>
        </w:tabs>
        <w:ind w:left="788" w:hanging="363"/>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8C980C0B"/>
    <w:rsid w:val="9E5FF5E8"/>
    <w:rsid w:val="9F1DCA67"/>
    <w:rsid w:val="9F363F60"/>
    <w:rsid w:val="9F7EB7B4"/>
    <w:rsid w:val="9F9F3A1B"/>
    <w:rsid w:val="9FB970C8"/>
    <w:rsid w:val="9FFBAF51"/>
    <w:rsid w:val="A6FF3429"/>
    <w:rsid w:val="AB1F3A23"/>
    <w:rsid w:val="ABDAB27E"/>
    <w:rsid w:val="ABF20D79"/>
    <w:rsid w:val="ABFF77E8"/>
    <w:rsid w:val="B7870943"/>
    <w:rsid w:val="B7FFBCA5"/>
    <w:rsid w:val="BAB95A84"/>
    <w:rsid w:val="BAFF6F51"/>
    <w:rsid w:val="BBB9F369"/>
    <w:rsid w:val="BBDD153A"/>
    <w:rsid w:val="BD166960"/>
    <w:rsid w:val="BDFFBC61"/>
    <w:rsid w:val="BE6F627F"/>
    <w:rsid w:val="BEFB0230"/>
    <w:rsid w:val="BF551105"/>
    <w:rsid w:val="BF67F8B6"/>
    <w:rsid w:val="BF73A83F"/>
    <w:rsid w:val="BFD3D606"/>
    <w:rsid w:val="BFDF5118"/>
    <w:rsid w:val="C5FF7349"/>
    <w:rsid w:val="C8B9F53D"/>
    <w:rsid w:val="CDD7952E"/>
    <w:rsid w:val="CFBFE20F"/>
    <w:rsid w:val="CFFF7D54"/>
    <w:rsid w:val="CFFFB584"/>
    <w:rsid w:val="D1EB94EA"/>
    <w:rsid w:val="D3DCFE1C"/>
    <w:rsid w:val="D69597F6"/>
    <w:rsid w:val="D72D1B34"/>
    <w:rsid w:val="D93F9887"/>
    <w:rsid w:val="DA3EDFD8"/>
    <w:rsid w:val="DB5DB487"/>
    <w:rsid w:val="DD3F802C"/>
    <w:rsid w:val="DDFFFB85"/>
    <w:rsid w:val="DEAF767F"/>
    <w:rsid w:val="DF5FC5D8"/>
    <w:rsid w:val="DF744A54"/>
    <w:rsid w:val="DFAFD1E4"/>
    <w:rsid w:val="DFC46519"/>
    <w:rsid w:val="DFC74F77"/>
    <w:rsid w:val="DFE76AAA"/>
    <w:rsid w:val="DFFAD2FC"/>
    <w:rsid w:val="DFFF5058"/>
    <w:rsid w:val="DFFFE76B"/>
    <w:rsid w:val="E5C3528A"/>
    <w:rsid w:val="E5FC26BE"/>
    <w:rsid w:val="E5FFCDA7"/>
    <w:rsid w:val="E6FBFE2A"/>
    <w:rsid w:val="E73BAF34"/>
    <w:rsid w:val="EBBF09B7"/>
    <w:rsid w:val="EBCEF341"/>
    <w:rsid w:val="EE7B7438"/>
    <w:rsid w:val="EF92AD42"/>
    <w:rsid w:val="EFBBAB9D"/>
    <w:rsid w:val="EFBF3807"/>
    <w:rsid w:val="EFBFFD22"/>
    <w:rsid w:val="EFDD46C7"/>
    <w:rsid w:val="EFDDA2D8"/>
    <w:rsid w:val="EFFECA47"/>
    <w:rsid w:val="EFFF6998"/>
    <w:rsid w:val="F1CEE66B"/>
    <w:rsid w:val="F4F7B3CA"/>
    <w:rsid w:val="F4F7C97B"/>
    <w:rsid w:val="F5FFD82D"/>
    <w:rsid w:val="F7255B95"/>
    <w:rsid w:val="F77FCD8C"/>
    <w:rsid w:val="F7B938F5"/>
    <w:rsid w:val="F7BFF594"/>
    <w:rsid w:val="F7EDD3C7"/>
    <w:rsid w:val="F7F3C623"/>
    <w:rsid w:val="F8BF22A6"/>
    <w:rsid w:val="F9FD7385"/>
    <w:rsid w:val="FAE196F2"/>
    <w:rsid w:val="FAFF34F2"/>
    <w:rsid w:val="FB39C51F"/>
    <w:rsid w:val="FB56DAE2"/>
    <w:rsid w:val="FB6E7AD4"/>
    <w:rsid w:val="FB7731E7"/>
    <w:rsid w:val="FBFE0ABA"/>
    <w:rsid w:val="FBFEB5A9"/>
    <w:rsid w:val="FC3739E5"/>
    <w:rsid w:val="FC9F1606"/>
    <w:rsid w:val="FD1A91CA"/>
    <w:rsid w:val="FD6A4C9B"/>
    <w:rsid w:val="FD7F5F44"/>
    <w:rsid w:val="FDBFD066"/>
    <w:rsid w:val="FDC77B59"/>
    <w:rsid w:val="FDFB6846"/>
    <w:rsid w:val="FDFEF8C2"/>
    <w:rsid w:val="FDFFDE3F"/>
    <w:rsid w:val="FE3E7A25"/>
    <w:rsid w:val="FEAFC81A"/>
    <w:rsid w:val="FEBB2E35"/>
    <w:rsid w:val="FED52EA5"/>
    <w:rsid w:val="FEF5A3FD"/>
    <w:rsid w:val="FEF74AB1"/>
    <w:rsid w:val="FEFD5C2B"/>
    <w:rsid w:val="FEFF4E9E"/>
    <w:rsid w:val="FEFF65FC"/>
    <w:rsid w:val="FEFF79D9"/>
    <w:rsid w:val="FF2F4ABE"/>
    <w:rsid w:val="FF3C9F58"/>
    <w:rsid w:val="FF3DE74B"/>
    <w:rsid w:val="FF4A77F1"/>
    <w:rsid w:val="FF57831F"/>
    <w:rsid w:val="FF6B5CE6"/>
    <w:rsid w:val="FF7E8F37"/>
    <w:rsid w:val="FF8F0715"/>
    <w:rsid w:val="FFB5C555"/>
    <w:rsid w:val="FFBACE75"/>
    <w:rsid w:val="FFCFB226"/>
    <w:rsid w:val="FFD4DE76"/>
    <w:rsid w:val="FFDFF673"/>
    <w:rsid w:val="FFF334FB"/>
    <w:rsid w:val="FFF7B1F0"/>
    <w:rsid w:val="FFF7FDB1"/>
    <w:rsid w:val="FFFC8026"/>
    <w:rsid w:val="FFFFBF2E"/>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9B8"/>
    <w:rsid w:val="00352FFE"/>
    <w:rsid w:val="0036326B"/>
    <w:rsid w:val="003642B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A12C0"/>
    <w:rsid w:val="006D3D5E"/>
    <w:rsid w:val="006E0E17"/>
    <w:rsid w:val="00727597"/>
    <w:rsid w:val="00735046"/>
    <w:rsid w:val="007467FA"/>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8C7CE5"/>
    <w:rsid w:val="00926229"/>
    <w:rsid w:val="00944679"/>
    <w:rsid w:val="0094647A"/>
    <w:rsid w:val="0097437D"/>
    <w:rsid w:val="009869EE"/>
    <w:rsid w:val="00991BF3"/>
    <w:rsid w:val="009A1829"/>
    <w:rsid w:val="009A2DB4"/>
    <w:rsid w:val="009D7C65"/>
    <w:rsid w:val="009E1131"/>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4EDCF16"/>
    <w:rsid w:val="09DFFE5F"/>
    <w:rsid w:val="0B182CF1"/>
    <w:rsid w:val="0BCF05B9"/>
    <w:rsid w:val="0BEC7EA0"/>
    <w:rsid w:val="0DFF2E91"/>
    <w:rsid w:val="0F9E0E77"/>
    <w:rsid w:val="0FBFA4A7"/>
    <w:rsid w:val="1069F992"/>
    <w:rsid w:val="13F5CCB7"/>
    <w:rsid w:val="13FFE1F5"/>
    <w:rsid w:val="174EE97C"/>
    <w:rsid w:val="1976331D"/>
    <w:rsid w:val="1A06DD94"/>
    <w:rsid w:val="1CD9F083"/>
    <w:rsid w:val="1DF97A3C"/>
    <w:rsid w:val="1F79C15A"/>
    <w:rsid w:val="286D3979"/>
    <w:rsid w:val="2A8D465A"/>
    <w:rsid w:val="2AF76C55"/>
    <w:rsid w:val="2CDFBB8F"/>
    <w:rsid w:val="2FDB2C3C"/>
    <w:rsid w:val="37F7377E"/>
    <w:rsid w:val="39EB7163"/>
    <w:rsid w:val="3A630078"/>
    <w:rsid w:val="3ABF2CE3"/>
    <w:rsid w:val="3ADF748B"/>
    <w:rsid w:val="3B9E5634"/>
    <w:rsid w:val="3BDDD566"/>
    <w:rsid w:val="3BF17F8D"/>
    <w:rsid w:val="3DFAEF09"/>
    <w:rsid w:val="3E15A3E3"/>
    <w:rsid w:val="3EAF9B9C"/>
    <w:rsid w:val="3EFE0C1D"/>
    <w:rsid w:val="3FC7A23A"/>
    <w:rsid w:val="3FE5A5C3"/>
    <w:rsid w:val="3FEF4D86"/>
    <w:rsid w:val="3FFF42C5"/>
    <w:rsid w:val="3FFFD066"/>
    <w:rsid w:val="43E2636A"/>
    <w:rsid w:val="46EF17AB"/>
    <w:rsid w:val="4C1A048F"/>
    <w:rsid w:val="4CEFCA4D"/>
    <w:rsid w:val="55DE4CE5"/>
    <w:rsid w:val="5772979D"/>
    <w:rsid w:val="578DD520"/>
    <w:rsid w:val="57BFF186"/>
    <w:rsid w:val="57CFC640"/>
    <w:rsid w:val="591D3208"/>
    <w:rsid w:val="59DBB5B2"/>
    <w:rsid w:val="5B78C133"/>
    <w:rsid w:val="5B9F0630"/>
    <w:rsid w:val="5BAE7BD2"/>
    <w:rsid w:val="5BFE56B7"/>
    <w:rsid w:val="5D8F40E6"/>
    <w:rsid w:val="5DEDD254"/>
    <w:rsid w:val="5E6684DB"/>
    <w:rsid w:val="5F297A5F"/>
    <w:rsid w:val="5F981978"/>
    <w:rsid w:val="5FAB9DE0"/>
    <w:rsid w:val="5FBBB501"/>
    <w:rsid w:val="5FCC98C8"/>
    <w:rsid w:val="5FE79E9B"/>
    <w:rsid w:val="5FF68EF3"/>
    <w:rsid w:val="5FFB4780"/>
    <w:rsid w:val="62DFE336"/>
    <w:rsid w:val="63E446CD"/>
    <w:rsid w:val="65F75F2E"/>
    <w:rsid w:val="66BDBC0C"/>
    <w:rsid w:val="679F1A80"/>
    <w:rsid w:val="67F8EB6F"/>
    <w:rsid w:val="6BB33785"/>
    <w:rsid w:val="6BEC5FFE"/>
    <w:rsid w:val="6BFD1100"/>
    <w:rsid w:val="6EDD1EB7"/>
    <w:rsid w:val="6EFF072E"/>
    <w:rsid w:val="6F8D699A"/>
    <w:rsid w:val="6FC7E760"/>
    <w:rsid w:val="6FEF9F97"/>
    <w:rsid w:val="6FF92DB5"/>
    <w:rsid w:val="6FFF1B20"/>
    <w:rsid w:val="6FFF40FD"/>
    <w:rsid w:val="71E7963A"/>
    <w:rsid w:val="729B7195"/>
    <w:rsid w:val="731E9D8B"/>
    <w:rsid w:val="7373461E"/>
    <w:rsid w:val="73DBFEA8"/>
    <w:rsid w:val="742E66F2"/>
    <w:rsid w:val="746FDB4A"/>
    <w:rsid w:val="74FF90CE"/>
    <w:rsid w:val="75963A8A"/>
    <w:rsid w:val="764F1775"/>
    <w:rsid w:val="76F3E4F4"/>
    <w:rsid w:val="77556D3F"/>
    <w:rsid w:val="77EF8F14"/>
    <w:rsid w:val="77FE482A"/>
    <w:rsid w:val="77FF90E6"/>
    <w:rsid w:val="77FFE8F2"/>
    <w:rsid w:val="797E7CC4"/>
    <w:rsid w:val="79B6CF9B"/>
    <w:rsid w:val="79FF1E38"/>
    <w:rsid w:val="7A6D128D"/>
    <w:rsid w:val="7A7A7E8C"/>
    <w:rsid w:val="7A9B235C"/>
    <w:rsid w:val="7AE77EF5"/>
    <w:rsid w:val="7B5EE258"/>
    <w:rsid w:val="7B6994C6"/>
    <w:rsid w:val="7BADB4C4"/>
    <w:rsid w:val="7BB7F0A3"/>
    <w:rsid w:val="7BCDB9A9"/>
    <w:rsid w:val="7BD6DAE1"/>
    <w:rsid w:val="7BEBA68F"/>
    <w:rsid w:val="7D7C4B2F"/>
    <w:rsid w:val="7DBFF381"/>
    <w:rsid w:val="7DFD4290"/>
    <w:rsid w:val="7E638158"/>
    <w:rsid w:val="7E76AFBB"/>
    <w:rsid w:val="7EAD6917"/>
    <w:rsid w:val="7EB9F312"/>
    <w:rsid w:val="7ED62E8A"/>
    <w:rsid w:val="7F0F2AE0"/>
    <w:rsid w:val="7F5B6BD1"/>
    <w:rsid w:val="7F7F1D18"/>
    <w:rsid w:val="7FBF4700"/>
    <w:rsid w:val="7FBFFC17"/>
    <w:rsid w:val="7FD3E017"/>
    <w:rsid w:val="7FD714F7"/>
    <w:rsid w:val="7FDB2453"/>
    <w:rsid w:val="7FDF265A"/>
    <w:rsid w:val="7FDFF8C7"/>
    <w:rsid w:val="7FEF7085"/>
    <w:rsid w:val="7FEFB678"/>
    <w:rsid w:val="7FFD05FF"/>
    <w:rsid w:val="7FFE2FD4"/>
    <w:rsid w:val="7FFF35C9"/>
    <w:rsid w:val="7FFFB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47C68D-36A4-4142-A73F-F43C0255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pPr>
      <w:shd w:val="clear" w:color="auto" w:fill="000080"/>
    </w:pPr>
  </w:style>
  <w:style w:type="paragraph" w:styleId="a6">
    <w:name w:val="Balloon Text"/>
    <w:basedOn w:val="a1"/>
    <w:semiHidden/>
    <w:rPr>
      <w:sz w:val="18"/>
      <w:szCs w:val="18"/>
    </w:rPr>
  </w:style>
  <w:style w:type="paragraph" w:styleId="a7">
    <w:name w:val="footer"/>
    <w:basedOn w:val="a1"/>
    <w:link w:val="Char"/>
    <w:uiPriority w:val="99"/>
    <w:pPr>
      <w:tabs>
        <w:tab w:val="center" w:pos="4153"/>
        <w:tab w:val="right" w:pos="8306"/>
      </w:tabs>
      <w:snapToGrid w:val="0"/>
      <w:jc w:val="left"/>
    </w:pPr>
    <w:rPr>
      <w:sz w:val="18"/>
      <w:szCs w:val="18"/>
    </w:rPr>
  </w:style>
  <w:style w:type="character" w:customStyle="1" w:styleId="Char">
    <w:name w:val="页脚 Char"/>
    <w:link w:val="a7"/>
    <w:uiPriority w:val="99"/>
    <w:rPr>
      <w:kern w:val="2"/>
      <w:sz w:val="18"/>
      <w:szCs w:val="18"/>
    </w:rPr>
  </w:style>
  <w:style w:type="paragraph" w:styleId="a8">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uiPriority w:val="99"/>
    <w:rPr>
      <w:kern w:val="2"/>
      <w:sz w:val="18"/>
      <w:szCs w:val="18"/>
    </w:rPr>
  </w:style>
  <w:style w:type="character" w:styleId="a9">
    <w:name w:val="page number"/>
    <w:basedOn w:val="a2"/>
  </w:style>
  <w:style w:type="paragraph" w:customStyle="1" w:styleId="a0">
    <w:name w:val="注："/>
    <w:next w:val="a1"/>
    <w:qFormat/>
    <w:pPr>
      <w:widowControl w:val="0"/>
      <w:numPr>
        <w:numId w:val="1"/>
      </w:numPr>
      <w:autoSpaceDE w:val="0"/>
      <w:autoSpaceDN w:val="0"/>
      <w:jc w:val="both"/>
    </w:pPr>
    <w:rPr>
      <w:rFonts w:ascii="宋体"/>
      <w:sz w:val="18"/>
      <w:szCs w:val="18"/>
    </w:rPr>
  </w:style>
  <w:style w:type="paragraph" w:customStyle="1" w:styleId="a">
    <w:name w:val="一级条标题"/>
    <w:next w:val="aa"/>
    <w:qFormat/>
    <w:pPr>
      <w:numPr>
        <w:ilvl w:val="1"/>
        <w:numId w:val="2"/>
      </w:numPr>
      <w:spacing w:beforeLines="50" w:afterLines="50"/>
      <w:outlineLvl w:val="2"/>
    </w:pPr>
    <w:rPr>
      <w:rFonts w:ascii="黑体" w:eastAsia="黑体"/>
      <w:sz w:val="21"/>
      <w:szCs w:val="21"/>
    </w:rPr>
  </w:style>
  <w:style w:type="paragraph" w:customStyle="1" w:styleId="aa">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
    <w:name w:val="列出段落1"/>
    <w:basedOn w:val="a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401</Words>
  <Characters>2288</Characters>
  <Application>Microsoft Office Word</Application>
  <DocSecurity>0</DocSecurity>
  <Lines>19</Lines>
  <Paragraphs>5</Paragraphs>
  <ScaleCrop>false</ScaleCrop>
  <Company>Xtzj.Com</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4</cp:revision>
  <cp:lastPrinted>2023-11-23T16:38:00Z</cp:lastPrinted>
  <dcterms:created xsi:type="dcterms:W3CDTF">2023-11-24T02:29:00Z</dcterms:created>
  <dcterms:modified xsi:type="dcterms:W3CDTF">2023-11-24T02:46:00Z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6E67B052A1F386CB7E085F656DA3D0B2</vt:lpwstr>
  </property>
</Properties>
</file>