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cs="宋体"/>
          <w:b/>
          <w:sz w:val="52"/>
          <w:szCs w:val="52"/>
        </w:rPr>
      </w:pPr>
      <w:r>
        <w:rPr>
          <w:rFonts w:hint="eastAsia" w:cs="宋体"/>
          <w:b/>
          <w:sz w:val="52"/>
          <w:szCs w:val="52"/>
        </w:rPr>
        <w:t>安徽省</w:t>
      </w:r>
      <w:r>
        <w:rPr>
          <w:rFonts w:cs="宋体"/>
          <w:b/>
          <w:sz w:val="52"/>
          <w:szCs w:val="52"/>
        </w:rPr>
        <w:t>202</w:t>
      </w:r>
      <w:r>
        <w:rPr>
          <w:rFonts w:hint="eastAsia" w:cs="宋体"/>
          <w:b/>
          <w:sz w:val="52"/>
          <w:szCs w:val="52"/>
          <w:lang w:val="en-US" w:eastAsia="zh-CN"/>
        </w:rPr>
        <w:t>3</w:t>
      </w:r>
      <w:r>
        <w:rPr>
          <w:rFonts w:cs="宋体"/>
          <w:b/>
          <w:sz w:val="52"/>
          <w:szCs w:val="52"/>
        </w:rPr>
        <w:t>年度部分化学药品及生物制剂集采系统申报</w:t>
      </w:r>
    </w:p>
    <w:p>
      <w:pPr>
        <w:spacing w:after="624" w:afterLines="200" w:line="480" w:lineRule="auto"/>
        <w:ind w:firstLine="0" w:firstLineChars="0"/>
        <w:jc w:val="center"/>
        <w:rPr>
          <w:rFonts w:cs="宋体"/>
          <w:b/>
          <w:sz w:val="48"/>
        </w:rPr>
      </w:pPr>
      <w:r>
        <w:rPr>
          <w:rFonts w:hint="eastAsia" w:cs="宋体"/>
          <w:b/>
          <w:sz w:val="48"/>
        </w:rPr>
        <w:t>用户使用手册</w:t>
      </w:r>
    </w:p>
    <w:p>
      <w:pPr>
        <w:spacing w:after="624" w:afterLines="200"/>
        <w:ind w:firstLine="0" w:firstLineChars="0"/>
        <w:jc w:val="center"/>
        <w:rPr>
          <w:rFonts w:cs="宋体"/>
          <w:b/>
          <w:sz w:val="32"/>
          <w:szCs w:val="16"/>
        </w:rPr>
      </w:pPr>
      <w:r>
        <w:rPr>
          <w:rFonts w:hint="eastAsia" w:cs="宋体"/>
          <w:b/>
          <w:sz w:val="32"/>
          <w:szCs w:val="16"/>
        </w:rPr>
        <w:t>（V1.0）</w:t>
      </w: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cs="宋体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 TOC \o "1-3" \h \z \u </w:instrText>
      </w:r>
      <w:r>
        <w:rPr>
          <w:rFonts w:hint="eastAsia" w:cs="宋体"/>
        </w:rPr>
        <w:fldChar w:fldCharType="separate"/>
      </w:r>
      <w:r>
        <w:fldChar w:fldCharType="begin"/>
      </w:r>
      <w:r>
        <w:instrText xml:space="preserve"> HYPERLINK \l "_Toc16393" </w:instrText>
      </w:r>
      <w:r>
        <w:fldChar w:fldCharType="separate"/>
      </w:r>
      <w:r>
        <w:rPr>
          <w:rFonts w:hint="eastAsia" w:cs="宋体"/>
        </w:rPr>
        <w:t>1. 引言</w:t>
      </w:r>
      <w:r>
        <w:tab/>
      </w:r>
      <w:r>
        <w:fldChar w:fldCharType="begin"/>
      </w:r>
      <w:r>
        <w:instrText xml:space="preserve"> PAGEREF _Toc16393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"_Toc29897" </w:instrText>
      </w:r>
      <w:r>
        <w:fldChar w:fldCharType="separate"/>
      </w:r>
      <w:r>
        <w:rPr>
          <w:rFonts w:cs="宋体"/>
          <w:szCs w:val="32"/>
        </w:rPr>
        <w:t xml:space="preserve">1.1 </w:t>
      </w:r>
      <w:r>
        <w:rPr>
          <w:rFonts w:hint="eastAsia" w:cs="宋体"/>
        </w:rPr>
        <w:t>目的</w:t>
      </w:r>
      <w:r>
        <w:tab/>
      </w:r>
      <w:r>
        <w:fldChar w:fldCharType="begin"/>
      </w:r>
      <w:r>
        <w:instrText xml:space="preserve"> PAGEREF _Toc29897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"_Toc30768" </w:instrText>
      </w:r>
      <w:r>
        <w:fldChar w:fldCharType="separate"/>
      </w:r>
      <w:r>
        <w:rPr>
          <w:rFonts w:hint="eastAsia" w:cs="宋体"/>
        </w:rPr>
        <w:t>1.2 项目背景</w:t>
      </w:r>
      <w:r>
        <w:tab/>
      </w:r>
      <w:r>
        <w:fldChar w:fldCharType="begin"/>
      </w:r>
      <w:r>
        <w:instrText xml:space="preserve"> PAGEREF _Toc30768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"_Toc23162" </w:instrText>
      </w:r>
      <w:r>
        <w:fldChar w:fldCharType="separate"/>
      </w:r>
      <w:r>
        <w:rPr>
          <w:rFonts w:hint="eastAsia" w:cs="宋体"/>
        </w:rPr>
        <w:t>1.3 参考资料</w:t>
      </w:r>
      <w:r>
        <w:tab/>
      </w:r>
      <w:r>
        <w:fldChar w:fldCharType="begin"/>
      </w:r>
      <w:r>
        <w:instrText xml:space="preserve"> PAGEREF _Toc23162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"_Toc14797" </w:instrText>
      </w:r>
      <w:r>
        <w:fldChar w:fldCharType="separate"/>
      </w:r>
      <w:r>
        <w:rPr>
          <w:rFonts w:hint="eastAsia" w:cs="宋体"/>
        </w:rPr>
        <w:t>2. 功能简介</w:t>
      </w:r>
      <w:r>
        <w:tab/>
      </w:r>
      <w:r>
        <w:fldChar w:fldCharType="begin"/>
      </w:r>
      <w:r>
        <w:instrText xml:space="preserve"> PAGEREF _Toc14797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"_Toc26157" </w:instrText>
      </w:r>
      <w:r>
        <w:fldChar w:fldCharType="separate"/>
      </w:r>
      <w:r>
        <w:rPr>
          <w:rFonts w:hint="eastAsia" w:cs="宋体"/>
        </w:rPr>
        <w:t>2.1 账号登录</w:t>
      </w:r>
      <w:r>
        <w:tab/>
      </w:r>
      <w:r>
        <w:fldChar w:fldCharType="begin"/>
      </w:r>
      <w:r>
        <w:instrText xml:space="preserve"> PAGEREF _Toc26157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"_Toc11059" </w:instrText>
      </w:r>
      <w:r>
        <w:fldChar w:fldCharType="separate"/>
      </w:r>
      <w:r>
        <w:rPr>
          <w:rFonts w:hint="eastAsia" w:cs="宋体"/>
        </w:rPr>
        <w:t>3. 操作使用指南</w:t>
      </w:r>
      <w:r>
        <w:tab/>
      </w:r>
      <w:r>
        <w:fldChar w:fldCharType="begin"/>
      </w:r>
      <w:r>
        <w:instrText xml:space="preserve"> PAGEREF _Toc11059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"_Toc16927" </w:instrText>
      </w:r>
      <w:r>
        <w:fldChar w:fldCharType="separate"/>
      </w:r>
      <w:r>
        <w:rPr>
          <w:rFonts w:hint="eastAsia" w:cs="宋体"/>
        </w:rPr>
        <w:t>3.1 生产企业</w:t>
      </w:r>
      <w:r>
        <w:tab/>
      </w:r>
      <w:r>
        <w:fldChar w:fldCharType="begin"/>
      </w:r>
      <w:r>
        <w:instrText xml:space="preserve"> PAGEREF _Toc16927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"_Toc15892" </w:instrText>
      </w:r>
      <w:r>
        <w:fldChar w:fldCharType="separate"/>
      </w:r>
      <w:r>
        <w:rPr>
          <w:rFonts w:hint="eastAsia" w:cs="宋体"/>
        </w:rPr>
        <w:t>3.1.1 功能描述</w:t>
      </w:r>
      <w:r>
        <w:tab/>
      </w:r>
      <w:r>
        <w:fldChar w:fldCharType="begin"/>
      </w:r>
      <w:r>
        <w:instrText xml:space="preserve"> PAGEREF _Toc15892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"_Toc28665" </w:instrText>
      </w:r>
      <w:r>
        <w:fldChar w:fldCharType="separate"/>
      </w:r>
      <w:r>
        <w:rPr>
          <w:rFonts w:hint="eastAsia" w:cs="宋体"/>
        </w:rPr>
        <w:t>3.1.2操作权限</w:t>
      </w:r>
      <w:r>
        <w:tab/>
      </w:r>
      <w:r>
        <w:fldChar w:fldCharType="begin"/>
      </w:r>
      <w:r>
        <w:instrText xml:space="preserve"> PAGEREF _Toc28665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"_Toc28974" </w:instrText>
      </w:r>
      <w:r>
        <w:fldChar w:fldCharType="separate"/>
      </w:r>
      <w:r>
        <w:rPr>
          <w:rFonts w:hint="eastAsia" w:cs="宋体"/>
        </w:rPr>
        <w:t>3.1.3操作流程</w:t>
      </w:r>
      <w:r>
        <w:tab/>
      </w:r>
      <w:r>
        <w:fldChar w:fldCharType="begin"/>
      </w:r>
      <w:r>
        <w:instrText xml:space="preserve"> PAGEREF _Toc28974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"_Toc20566" </w:instrText>
      </w:r>
      <w:r>
        <w:fldChar w:fldCharType="separate"/>
      </w:r>
      <w:r>
        <w:rPr>
          <w:rFonts w:hint="eastAsia" w:cs="宋体"/>
        </w:rPr>
        <w:t>3.1.4 注意事项</w:t>
      </w:r>
      <w:r>
        <w:tab/>
      </w:r>
      <w:r>
        <w:fldChar w:fldCharType="begin"/>
      </w:r>
      <w:r>
        <w:instrText xml:space="preserve"> PAGEREF _Toc20566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"_Toc21561" </w:instrText>
      </w:r>
      <w:r>
        <w:fldChar w:fldCharType="separate"/>
      </w:r>
      <w:r>
        <w:rPr>
          <w:rFonts w:hint="eastAsia" w:cs="宋体"/>
        </w:rPr>
        <w:t>4. 常见问题解答</w:t>
      </w:r>
      <w:r>
        <w:tab/>
      </w:r>
      <w:r>
        <w:fldChar w:fldCharType="begin"/>
      </w:r>
      <w:r>
        <w:instrText xml:space="preserve"> PAGEREF _Toc21561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ind w:firstLine="420"/>
        <w:rPr>
          <w:rFonts w:cs="宋体"/>
        </w:rPr>
      </w:pPr>
      <w:r>
        <w:rPr>
          <w:rFonts w:hint="eastAsia" w:cs="宋体"/>
          <w:bCs/>
          <w:lang w:val="zh-CN"/>
        </w:rPr>
        <w:fldChar w:fldCharType="end"/>
      </w:r>
    </w:p>
    <w:p>
      <w:pPr>
        <w:ind w:firstLine="0" w:firstLineChars="0"/>
        <w:rPr>
          <w:rFonts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1" w:name="_Toc16393"/>
      <w:r>
        <w:rPr>
          <w:rFonts w:hint="eastAsia" w:ascii="宋体" w:hAnsi="宋体" w:cs="宋体"/>
        </w:rPr>
        <w:t>1. 引言</w:t>
      </w:r>
      <w:bookmarkEnd w:id="1"/>
    </w:p>
    <w:p>
      <w:pPr>
        <w:pStyle w:val="4"/>
        <w:ind w:left="0"/>
        <w:rPr>
          <w:rFonts w:cs="宋体"/>
        </w:rPr>
      </w:pPr>
      <w:bookmarkStart w:id="2" w:name="_Toc29897"/>
      <w:r>
        <w:rPr>
          <w:rFonts w:hint="eastAsia" w:cs="宋体"/>
        </w:rPr>
        <w:t>目的</w:t>
      </w:r>
      <w:bookmarkEnd w:id="2"/>
    </w:p>
    <w:p>
      <w:pPr>
        <w:ind w:firstLine="420"/>
        <w:rPr>
          <w:rFonts w:cs="宋体"/>
          <w:szCs w:val="22"/>
        </w:rPr>
      </w:pPr>
      <w:r>
        <w:rPr>
          <w:rFonts w:hint="eastAsia" w:cs="宋体"/>
          <w:szCs w:val="22"/>
        </w:rPr>
        <w:t>该手册是为了方便用户使用【年度药品招标专项】功能，阐明如何使用该功能，向用户解释该系统的作用或在必要时作为参考。预期读者为地方医保单位经办人员、医疗机构经办人员。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3" w:name="_Toc30768"/>
      <w:r>
        <w:rPr>
          <w:rFonts w:hint="eastAsia" w:cs="宋体"/>
        </w:rPr>
        <w:t>1.2 项目背景</w:t>
      </w:r>
      <w:bookmarkEnd w:id="3"/>
    </w:p>
    <w:p>
      <w:pPr>
        <w:pStyle w:val="30"/>
        <w:rPr>
          <w:rFonts w:cs="宋体"/>
          <w:sz w:val="21"/>
          <w:szCs w:val="16"/>
        </w:rPr>
      </w:pPr>
      <w:r>
        <w:rPr>
          <w:rFonts w:hint="eastAsia" w:cs="宋体"/>
          <w:sz w:val="21"/>
          <w:szCs w:val="16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</w:t>
      </w:r>
      <w:bookmarkStart w:id="18" w:name="_GoBack"/>
      <w:bookmarkEnd w:id="18"/>
      <w:r>
        <w:rPr>
          <w:rFonts w:hint="eastAsia" w:cs="宋体"/>
          <w:sz w:val="21"/>
          <w:szCs w:val="16"/>
        </w:rPr>
        <w:t>三医联动”，助力提高医改整体效能和实施健康中国战略提供信息化支撑。</w:t>
      </w:r>
    </w:p>
    <w:p>
      <w:pPr>
        <w:pStyle w:val="30"/>
        <w:ind w:left="59" w:firstLineChars="0"/>
        <w:rPr>
          <w:rFonts w:cs="宋体"/>
          <w:sz w:val="21"/>
          <w:szCs w:val="16"/>
        </w:rPr>
      </w:pPr>
      <w:r>
        <w:rPr>
          <w:rFonts w:hint="eastAsia" w:cs="宋体"/>
          <w:sz w:val="21"/>
          <w:szCs w:val="16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医疗保障信息平台建设内容包括标准规范体系建设、信息资源规划与数据库建设、14个业务系统的建设、基础设施建设以及1个应用支撑子系统的建设。</w:t>
      </w:r>
    </w:p>
    <w:p>
      <w:pPr>
        <w:pStyle w:val="30"/>
        <w:ind w:left="59" w:firstLineChars="0"/>
        <w:rPr>
          <w:rFonts w:cs="宋体"/>
          <w:sz w:val="21"/>
          <w:szCs w:val="16"/>
        </w:rPr>
      </w:pPr>
      <w:r>
        <w:rPr>
          <w:rFonts w:hint="eastAsia" w:cs="宋体"/>
          <w:sz w:val="21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4" w:name="_Toc23162"/>
      <w:r>
        <w:rPr>
          <w:rFonts w:hint="eastAsia" w:cs="宋体"/>
        </w:rPr>
        <w:t>1.3 参考资料</w:t>
      </w:r>
      <w:bookmarkEnd w:id="4"/>
    </w:p>
    <w:p>
      <w:pPr>
        <w:ind w:firstLine="420" w:firstLineChars="0"/>
        <w:rPr>
          <w:rFonts w:cs="宋体"/>
          <w:szCs w:val="18"/>
        </w:rPr>
      </w:pPr>
      <w:r>
        <w:rPr>
          <w:rFonts w:hint="eastAsia" w:cs="宋体"/>
          <w:szCs w:val="18"/>
        </w:rPr>
        <w:t>1、《文档标准编制规范》</w:t>
      </w:r>
    </w:p>
    <w:p>
      <w:pPr>
        <w:ind w:firstLine="420" w:firstLineChars="0"/>
        <w:rPr>
          <w:rFonts w:cs="宋体"/>
        </w:rPr>
      </w:pPr>
      <w:r>
        <w:rPr>
          <w:rFonts w:hint="eastAsia" w:cs="宋体"/>
          <w:sz w:val="24"/>
        </w:rPr>
        <w:t>2、</w:t>
      </w:r>
      <w:r>
        <w:rPr>
          <w:rFonts w:hint="eastAsia" w:cs="宋体"/>
        </w:rPr>
        <w:t>《药品和医用耗材招采管理子系统需求规格说明书》</w:t>
      </w:r>
    </w:p>
    <w:p>
      <w:pPr>
        <w:ind w:firstLine="420" w:firstLineChars="0"/>
        <w:rPr>
          <w:rFonts w:cs="宋体"/>
        </w:rPr>
      </w:pPr>
    </w:p>
    <w:p>
      <w:pPr>
        <w:ind w:firstLine="420" w:firstLineChars="0"/>
        <w:rPr>
          <w:rFonts w:cs="宋体"/>
        </w:rPr>
      </w:pP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5" w:name="_Toc14797"/>
      <w:r>
        <w:rPr>
          <w:rFonts w:hint="eastAsia" w:ascii="宋体" w:hAnsi="宋体" w:cs="宋体"/>
        </w:rPr>
        <w:t>2. 功能简介</w:t>
      </w:r>
      <w:bookmarkEnd w:id="5"/>
    </w:p>
    <w:p>
      <w:pPr>
        <w:pStyle w:val="4"/>
        <w:numPr>
          <w:ilvl w:val="0"/>
          <w:numId w:val="0"/>
        </w:numPr>
        <w:rPr>
          <w:rFonts w:cs="宋体"/>
        </w:rPr>
      </w:pPr>
      <w:bookmarkStart w:id="6" w:name="_Toc26157"/>
      <w:r>
        <w:rPr>
          <w:rFonts w:hint="eastAsia" w:cs="宋体"/>
        </w:rPr>
        <w:t>2.1 账号登录</w:t>
      </w:r>
      <w:bookmarkEnd w:id="6"/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b/>
          <w:bCs/>
          <w:sz w:val="24"/>
          <w:szCs w:val="32"/>
        </w:rPr>
      </w:pPr>
      <w:r>
        <w:rPr>
          <w:rFonts w:hint="eastAsia"/>
        </w:rPr>
        <w:drawing>
          <wp:inline distT="0" distB="0" distL="0" distR="0">
            <wp:extent cx="5580380" cy="2849245"/>
            <wp:effectExtent l="0" t="0" r="127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</w:pPr>
      <w:r>
        <w:rPr>
          <w:rFonts w:hint="eastAsia"/>
        </w:rPr>
        <w:drawing>
          <wp:inline distT="0" distB="0" distL="0" distR="0">
            <wp:extent cx="5580380" cy="2816225"/>
            <wp:effectExtent l="0" t="0" r="127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3、配送企业通过招采子系统，输入账号密码进入系统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7" w:name="_Toc11059"/>
      <w:r>
        <w:rPr>
          <w:rFonts w:hint="eastAsia" w:ascii="宋体" w:hAnsi="宋体" w:cs="宋体"/>
        </w:rPr>
        <w:t>3. 操作使用指南</w:t>
      </w:r>
      <w:bookmarkEnd w:id="7"/>
    </w:p>
    <w:p>
      <w:pPr>
        <w:pStyle w:val="4"/>
        <w:numPr>
          <w:ilvl w:val="0"/>
          <w:numId w:val="0"/>
        </w:numPr>
        <w:rPr>
          <w:rFonts w:cs="宋体"/>
        </w:rPr>
      </w:pPr>
      <w:bookmarkStart w:id="8" w:name="_Toc16927"/>
      <w:r>
        <w:rPr>
          <w:rFonts w:hint="eastAsia" w:cs="宋体"/>
        </w:rPr>
        <w:t>3.1 生产企业</w:t>
      </w:r>
      <w:bookmarkEnd w:id="8"/>
    </w:p>
    <w:p>
      <w:pPr>
        <w:pStyle w:val="71"/>
        <w:widowControl/>
        <w:numPr>
          <w:ilvl w:val="1"/>
          <w:numId w:val="5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9" w:name="_Toc103956565"/>
      <w:bookmarkEnd w:id="9"/>
      <w:bookmarkStart w:id="10" w:name="_Toc103958803"/>
      <w:bookmarkEnd w:id="10"/>
    </w:p>
    <w:p>
      <w:pPr>
        <w:pStyle w:val="71"/>
        <w:widowControl/>
        <w:numPr>
          <w:ilvl w:val="1"/>
          <w:numId w:val="5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11" w:name="_Toc103958804"/>
      <w:bookmarkEnd w:id="11"/>
      <w:bookmarkStart w:id="12" w:name="_Toc103956566"/>
      <w:bookmarkEnd w:id="12"/>
    </w:p>
    <w:p>
      <w:pPr>
        <w:pStyle w:val="5"/>
        <w:numPr>
          <w:ilvl w:val="2"/>
          <w:numId w:val="0"/>
        </w:numPr>
      </w:pPr>
      <w:bookmarkStart w:id="13" w:name="_Toc15892"/>
      <w:r>
        <w:rPr>
          <w:rFonts w:hint="eastAsia"/>
        </w:rPr>
        <w:t>3.1.1 功能描述</w:t>
      </w:r>
      <w:bookmarkEnd w:id="13"/>
    </w:p>
    <w:p>
      <w:pPr>
        <w:tabs>
          <w:tab w:val="left" w:pos="1008"/>
        </w:tabs>
        <w:ind w:firstLine="420"/>
        <w:rPr>
          <w:rFonts w:cs="宋体"/>
        </w:rPr>
      </w:pPr>
      <w:r>
        <w:rPr>
          <w:rFonts w:hint="eastAsia" w:cs="宋体"/>
        </w:rPr>
        <w:t>登录系统后，选择药品招标管理，进入202</w:t>
      </w:r>
      <w:r>
        <w:rPr>
          <w:rFonts w:hint="eastAsia" w:cs="宋体"/>
          <w:lang w:val="en-US" w:eastAsia="zh-CN"/>
        </w:rPr>
        <w:t>3</w:t>
      </w:r>
      <w:r>
        <w:rPr>
          <w:rFonts w:hint="eastAsia" w:cs="宋体"/>
        </w:rPr>
        <w:t>年度招标相关页面，进行企业产品评价指标维护提交操作。</w:t>
      </w:r>
    </w:p>
    <w:p>
      <w:pPr>
        <w:pStyle w:val="5"/>
        <w:numPr>
          <w:ilvl w:val="2"/>
          <w:numId w:val="0"/>
        </w:numPr>
      </w:pPr>
      <w:bookmarkStart w:id="14" w:name="_Toc28665"/>
      <w:r>
        <w:rPr>
          <w:rFonts w:hint="eastAsia"/>
        </w:rPr>
        <w:t>3.1.2操作权限</w:t>
      </w:r>
      <w:bookmarkEnd w:id="14"/>
    </w:p>
    <w:p>
      <w:pPr>
        <w:pStyle w:val="50"/>
        <w:ind w:firstLine="420"/>
      </w:pPr>
      <w:r>
        <w:rPr>
          <w:rFonts w:hint="eastAsia"/>
        </w:rPr>
        <w:t>生产企业：企业综合评价指标管理、产品综合评价指标管理</w:t>
      </w:r>
    </w:p>
    <w:p>
      <w:pPr>
        <w:pStyle w:val="5"/>
        <w:numPr>
          <w:ilvl w:val="2"/>
          <w:numId w:val="0"/>
        </w:numPr>
      </w:pPr>
      <w:bookmarkStart w:id="15" w:name="_Toc28974"/>
      <w:r>
        <w:rPr>
          <w:rFonts w:hint="eastAsia"/>
        </w:rPr>
        <w:t>3.1.3操作流程</w:t>
      </w:r>
      <w:bookmarkEnd w:id="15"/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【药品招标管理：企业综合评价指标管理】</w:t>
      </w:r>
    </w:p>
    <w:p>
      <w:pPr>
        <w:pStyle w:val="50"/>
        <w:ind w:firstLine="420"/>
      </w:pPr>
      <w:r>
        <w:rPr>
          <w:rFonts w:hint="eastAsia"/>
        </w:rPr>
        <w:t>1、列表，显示待本企业维护的企业评价信息提交及审核状态，待提交即说明需维护。</w:t>
      </w:r>
      <w:r>
        <w:rPr>
          <w:rFonts w:hint="eastAsia"/>
          <w:color w:val="FF0000"/>
        </w:rPr>
        <w:t>注：若提示“企业信息</w:t>
      </w:r>
      <w:r>
        <w:rPr>
          <w:color w:val="FF0000"/>
        </w:rPr>
        <w:t>未维护</w:t>
      </w:r>
      <w:r>
        <w:rPr>
          <w:rFonts w:hint="eastAsia"/>
          <w:color w:val="FF0000"/>
        </w:rPr>
        <w:t>”，说明【我的资质库-我的企业信息】未维护，届时需进入企业信息进行企业信息的维护提交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企业综合评价指标管理-列表</w:t>
      </w:r>
    </w:p>
    <w:p>
      <w:pPr>
        <w:pStyle w:val="50"/>
        <w:numPr>
          <w:ilvl w:val="0"/>
          <w:numId w:val="6"/>
        </w:numPr>
        <w:ind w:firstLine="420"/>
        <w:rPr>
          <w:color w:val="FF0000"/>
        </w:rPr>
      </w:pPr>
      <w:r>
        <w:rPr>
          <w:rFonts w:hint="eastAsia"/>
        </w:rPr>
        <w:t>点击【维护】，进入填报信息页。</w:t>
      </w:r>
      <w:r>
        <w:rPr>
          <w:rFonts w:hint="eastAsia"/>
          <w:color w:val="FF0000"/>
        </w:rPr>
        <w:t>注：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所有内容均为必填项，都需要进行选择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若选“没有或无”则不需要上传附件；但若选择“有”则必须上传附件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“企业创新能力”支持多选；批准文号个数填写完成后，需点击【+】号增加对应的输入框个数，按实际情况如实填写每个批准文号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第一次填写或者未提交前，所有内容均可编辑；但是如果被管理端打回，则只允许编辑被打回部分的内容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【提交】后，不允许撤回，只有等待管理端审核不通过后才允许编辑；所以请认真核对填写无误后再提交；若不确认则可先进行【保存】，而后再核对提交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企业综合评价指标管理-维护</w:t>
      </w:r>
    </w:p>
    <w:p>
      <w:pPr>
        <w:pStyle w:val="50"/>
        <w:numPr>
          <w:ilvl w:val="0"/>
          <w:numId w:val="6"/>
        </w:numPr>
        <w:ind w:firstLine="420"/>
        <w:rPr>
          <w:color w:val="FF0000"/>
        </w:rPr>
      </w:pPr>
      <w:r>
        <w:rPr>
          <w:rFonts w:hint="eastAsia"/>
        </w:rPr>
        <w:t>点击【日志】，可以查看历史操作记录，以及审核不通过时可以查询具体的不通过原因。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企业综合评价指标管理-日志</w:t>
      </w:r>
    </w:p>
    <w:p>
      <w:pPr>
        <w:pStyle w:val="25"/>
        <w:jc w:val="both"/>
      </w:pP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【药品招标管理：产品综合评价指标管理】</w:t>
      </w:r>
    </w:p>
    <w:p>
      <w:pPr>
        <w:pStyle w:val="50"/>
        <w:ind w:firstLine="420"/>
      </w:pPr>
      <w:r>
        <w:rPr>
          <w:rFonts w:hint="eastAsia"/>
        </w:rPr>
        <w:t>1、列表，显示本企业在【资质库管理-我的药品库】中复审通过的产品。通过查询条件和列表字段能看出对应产品实际提交状态，审核状态等信息。</w:t>
      </w:r>
      <w:r>
        <w:rPr>
          <w:rFonts w:hint="eastAsia"/>
          <w:color w:val="FF0000"/>
        </w:rPr>
        <w:t>注：列表展示当前登录企业“已提交”的产品数据</w:t>
      </w:r>
      <w:r>
        <w:drawing>
          <wp:inline distT="0" distB="0" distL="114300" distR="114300">
            <wp:extent cx="5577840" cy="2672715"/>
            <wp:effectExtent l="0" t="0" r="381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产品综合评价指标管理-列表</w:t>
      </w:r>
    </w:p>
    <w:p>
      <w:pPr>
        <w:pStyle w:val="50"/>
        <w:ind w:firstLine="420"/>
        <w:rPr>
          <w:color w:val="FF0000"/>
        </w:rPr>
      </w:pPr>
      <w:r>
        <w:rPr>
          <w:rFonts w:hint="eastAsia"/>
        </w:rPr>
        <w:t>2、企业选择产品，点击【维护】，进入填报页面。</w:t>
      </w:r>
      <w:r>
        <w:rPr>
          <w:rFonts w:hint="eastAsia"/>
          <w:color w:val="FF0000"/>
        </w:rPr>
        <w:t>注：</w:t>
      </w:r>
    </w:p>
    <w:p>
      <w:pPr>
        <w:pStyle w:val="5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1、所有内容均为必填项，都需要进行选择</w:t>
      </w:r>
    </w:p>
    <w:p>
      <w:pPr>
        <w:pStyle w:val="5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2、若选“没有或无”则不需要上传附件；但若选择“有”则必须上传附件</w:t>
      </w:r>
    </w:p>
    <w:p>
      <w:pPr>
        <w:pStyle w:val="5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3、“申报价格”若选有，则需填写价格，仅支持小数点后2位</w:t>
      </w:r>
    </w:p>
    <w:p>
      <w:pPr>
        <w:pStyle w:val="50"/>
        <w:ind w:left="420" w:firstLine="0" w:firstLineChars="0"/>
        <w:rPr>
          <w:rFonts w:ascii="微软雅黑" w:hAnsi="微软雅黑" w:eastAsia="微软雅黑"/>
          <w:color w:val="303133"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/>
          <w:color w:val="303133"/>
          <w:sz w:val="20"/>
          <w:szCs w:val="20"/>
          <w:shd w:val="clear" w:color="auto" w:fill="FFFFFF"/>
        </w:rPr>
        <w:t>（1）本企业同品规药品全国最低省级（含联盟）集中带量采购中选/备选价:（如有，上传承诺函及集采中选公告截图），如果有价格，需填写对应的项目名称。</w:t>
      </w:r>
    </w:p>
    <w:p>
      <w:pPr>
        <w:pStyle w:val="50"/>
        <w:ind w:left="420" w:firstLine="0" w:firstLineChars="0"/>
        <w:rPr>
          <w:rFonts w:hint="eastAsia"/>
          <w:color w:val="FF0000"/>
          <w:sz w:val="20"/>
          <w:szCs w:val="22"/>
        </w:rPr>
      </w:pPr>
      <w:r>
        <w:rPr>
          <w:rFonts w:hint="eastAsia" w:ascii="微软雅黑" w:hAnsi="微软雅黑" w:eastAsia="微软雅黑"/>
          <w:color w:val="303133"/>
          <w:sz w:val="20"/>
          <w:szCs w:val="20"/>
          <w:shd w:val="clear" w:color="auto" w:fill="FFFFFF"/>
        </w:rPr>
        <w:t>（2）全国省级最低有效挂网价（如有，上传承诺函及挂网价截图），如果有价格，需填写对应省（市）级名称。</w:t>
      </w:r>
    </w:p>
    <w:p>
      <w:pPr>
        <w:pStyle w:val="5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4、“药品适应症、产品有效期”，附件支持最多20份，其余仅支持一份文件</w:t>
      </w:r>
    </w:p>
    <w:p>
      <w:pPr>
        <w:pStyle w:val="5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5、第一次填写或者未提交前，所有内容均可编辑；但是如果被管理端打回，则只允许编辑被打回部分的内容</w:t>
      </w:r>
    </w:p>
    <w:p>
      <w:pPr>
        <w:pStyle w:val="50"/>
        <w:numPr>
          <w:ilvl w:val="0"/>
          <w:numId w:val="7"/>
        </w:numPr>
        <w:rPr>
          <w:color w:val="FF0000"/>
        </w:rPr>
      </w:pPr>
      <w:r>
        <w:rPr>
          <w:rFonts w:hint="eastAsia"/>
          <w:color w:val="FF0000"/>
        </w:rPr>
        <w:t>【提交】后，不允许撤回，只有等待管理端审核不通过后才允许编辑；所以请认真核对填写无误后再提交；若不确认则可先进行【保存】，而后再核对提交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产品综合评价指标管理-维护</w:t>
      </w:r>
    </w:p>
    <w:p>
      <w:pPr>
        <w:pStyle w:val="50"/>
        <w:ind w:firstLine="420"/>
        <w:rPr>
          <w:color w:val="FF0000"/>
        </w:rPr>
      </w:pPr>
      <w:r>
        <w:rPr>
          <w:rFonts w:hint="eastAsia"/>
        </w:rPr>
        <w:t>3、点击【日志】，可以查看历史操作记录，以及审核不通过时可以查询具体的不通过原因。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产品综合评价指标管理-日志</w:t>
      </w:r>
    </w:p>
    <w:p>
      <w:pPr>
        <w:pStyle w:val="5"/>
        <w:numPr>
          <w:ilvl w:val="2"/>
          <w:numId w:val="0"/>
        </w:numPr>
      </w:pPr>
      <w:bookmarkStart w:id="16" w:name="_Toc20566"/>
      <w:r>
        <w:rPr>
          <w:rFonts w:hint="eastAsia"/>
        </w:rPr>
        <w:t>3.1.4 注意事项</w:t>
      </w:r>
      <w:bookmarkEnd w:id="16"/>
    </w:p>
    <w:p>
      <w:pPr>
        <w:ind w:firstLine="420"/>
        <w:rPr>
          <w:rFonts w:cs="宋体"/>
        </w:rPr>
      </w:pPr>
      <w:r>
        <w:rPr>
          <w:rFonts w:hint="eastAsia" w:cs="宋体"/>
        </w:rPr>
        <w:t>*注：无</w:t>
      </w: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17" w:name="_Toc21561"/>
      <w:r>
        <w:rPr>
          <w:rFonts w:hint="eastAsia" w:ascii="宋体" w:hAnsi="宋体" w:cs="宋体"/>
        </w:rPr>
        <w:t>4. 常见问题解答</w:t>
      </w:r>
      <w:bookmarkEnd w:id="17"/>
    </w:p>
    <w:p>
      <w:pPr>
        <w:tabs>
          <w:tab w:val="left" w:pos="0"/>
        </w:tabs>
        <w:ind w:firstLine="420"/>
        <w:rPr>
          <w:rFonts w:cs="宋体"/>
        </w:rPr>
      </w:pPr>
      <w:r>
        <w:rPr>
          <w:rFonts w:hint="eastAsia" w:cs="宋体"/>
        </w:rPr>
        <w:t>1. 生产企业端，企业或产品，保存或提交信息时，提示填写有误？</w:t>
      </w:r>
    </w:p>
    <w:p>
      <w:pPr>
        <w:tabs>
          <w:tab w:val="left" w:pos="0"/>
        </w:tabs>
        <w:ind w:firstLine="0" w:firstLineChars="0"/>
        <w:rPr>
          <w:rFonts w:cs="宋体"/>
        </w:rPr>
      </w:pPr>
      <w:r>
        <w:rPr>
          <w:rFonts w:hint="eastAsia" w:cs="宋体"/>
        </w:rPr>
        <w:t xml:space="preserve">    </w:t>
      </w:r>
      <w:r>
        <w:rPr>
          <w:rFonts w:hint="eastAsia" w:cs="宋体"/>
          <w:b/>
          <w:bCs/>
        </w:rPr>
        <w:t>解答：</w:t>
      </w:r>
      <w:r>
        <w:rPr>
          <w:rFonts w:hint="eastAsia" w:cs="宋体"/>
        </w:rPr>
        <w:t>仔细核对以下情况：1、是否每一项均填写完成，2、是否存在，选择“有”选项时，未上传附件，3、输入价格或次数，是否按要求2位小数或正整数填写。</w:t>
      </w:r>
    </w:p>
    <w:p>
      <w:pPr>
        <w:tabs>
          <w:tab w:val="left" w:pos="0"/>
        </w:tabs>
        <w:ind w:firstLine="420"/>
        <w:rPr>
          <w:rFonts w:cs="宋体"/>
        </w:rPr>
      </w:pPr>
      <w:r>
        <w:rPr>
          <w:rFonts w:hint="eastAsia" w:cs="宋体"/>
        </w:rPr>
        <w:t>2. 生产企业端，进入企业综合指标维护时，提示“企业信息</w:t>
      </w:r>
      <w:r>
        <w:rPr>
          <w:rFonts w:cs="宋体"/>
        </w:rPr>
        <w:t>未维护</w:t>
      </w:r>
      <w:r>
        <w:rPr>
          <w:rFonts w:hint="eastAsia" w:cs="宋体"/>
        </w:rPr>
        <w:t>”？</w:t>
      </w:r>
    </w:p>
    <w:p>
      <w:pPr>
        <w:pStyle w:val="50"/>
        <w:ind w:firstLine="422"/>
      </w:pPr>
      <w:r>
        <w:rPr>
          <w:rFonts w:hint="eastAsia"/>
          <w:b/>
          <w:bCs/>
        </w:rPr>
        <w:t>解答：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说明【我的资质库-我的企业信息】未维护，届时需进入企业信息进行企业信息的维护提交。</w:t>
      </w:r>
    </w:p>
    <w:p>
      <w:pPr>
        <w:tabs>
          <w:tab w:val="left" w:pos="0"/>
        </w:tabs>
        <w:ind w:firstLine="0" w:firstLineChars="0"/>
        <w:rPr>
          <w:rFonts w:cs="宋体"/>
        </w:rPr>
      </w:pPr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5774C0"/>
    <w:multiLevelType w:val="multilevel"/>
    <w:tmpl w:val="925774C0"/>
    <w:lvl w:ilvl="0" w:tentative="0">
      <w:start w:val="1"/>
      <w:numFmt w:val="decimal"/>
      <w:pStyle w:val="2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4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AA975378"/>
    <w:multiLevelType w:val="singleLevel"/>
    <w:tmpl w:val="AA975378"/>
    <w:lvl w:ilvl="0" w:tentative="0">
      <w:start w:val="2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2">
    <w:nsid w:val="01F82F49"/>
    <w:multiLevelType w:val="multilevel"/>
    <w:tmpl w:val="01F82F49"/>
    <w:lvl w:ilvl="0" w:tentative="0">
      <w:start w:val="1"/>
      <w:numFmt w:val="decimal"/>
      <w:pStyle w:val="54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0FD4A1D9"/>
    <w:multiLevelType w:val="singleLevel"/>
    <w:tmpl w:val="0FD4A1D9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4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3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5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A30F5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D38FA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17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255E"/>
    <w:rsid w:val="00833133"/>
    <w:rsid w:val="008351FD"/>
    <w:rsid w:val="0083574E"/>
    <w:rsid w:val="00842130"/>
    <w:rsid w:val="00842422"/>
    <w:rsid w:val="00842A0F"/>
    <w:rsid w:val="00842F53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2394781"/>
    <w:rsid w:val="03351F2E"/>
    <w:rsid w:val="03A467F3"/>
    <w:rsid w:val="03A9596E"/>
    <w:rsid w:val="03B420C9"/>
    <w:rsid w:val="03BC6FF1"/>
    <w:rsid w:val="04477859"/>
    <w:rsid w:val="05006E12"/>
    <w:rsid w:val="06E81E0E"/>
    <w:rsid w:val="07CA39B5"/>
    <w:rsid w:val="07D53519"/>
    <w:rsid w:val="07DB67FB"/>
    <w:rsid w:val="08AF2D38"/>
    <w:rsid w:val="0963136C"/>
    <w:rsid w:val="09813BAE"/>
    <w:rsid w:val="09CD6ADE"/>
    <w:rsid w:val="0A227D10"/>
    <w:rsid w:val="0AF03CFB"/>
    <w:rsid w:val="0B2D14AE"/>
    <w:rsid w:val="0B792C38"/>
    <w:rsid w:val="0CF228F1"/>
    <w:rsid w:val="0D0417A2"/>
    <w:rsid w:val="0D0C310F"/>
    <w:rsid w:val="0E5059E2"/>
    <w:rsid w:val="0EAC758F"/>
    <w:rsid w:val="0EE53FB5"/>
    <w:rsid w:val="0FE41660"/>
    <w:rsid w:val="10694F37"/>
    <w:rsid w:val="10AA32FC"/>
    <w:rsid w:val="10E37CCB"/>
    <w:rsid w:val="112D4C11"/>
    <w:rsid w:val="11C0789C"/>
    <w:rsid w:val="12215B15"/>
    <w:rsid w:val="122D02D9"/>
    <w:rsid w:val="12443874"/>
    <w:rsid w:val="126447D9"/>
    <w:rsid w:val="13224875"/>
    <w:rsid w:val="13854B43"/>
    <w:rsid w:val="13916631"/>
    <w:rsid w:val="13D91E80"/>
    <w:rsid w:val="13EE59DD"/>
    <w:rsid w:val="143759AA"/>
    <w:rsid w:val="144D660C"/>
    <w:rsid w:val="14E861AF"/>
    <w:rsid w:val="1643557C"/>
    <w:rsid w:val="164648E3"/>
    <w:rsid w:val="167D7F1C"/>
    <w:rsid w:val="16833E99"/>
    <w:rsid w:val="16B8788D"/>
    <w:rsid w:val="16C9382B"/>
    <w:rsid w:val="1770769A"/>
    <w:rsid w:val="17EE7098"/>
    <w:rsid w:val="182E41D5"/>
    <w:rsid w:val="18596C7D"/>
    <w:rsid w:val="187F582C"/>
    <w:rsid w:val="188501DA"/>
    <w:rsid w:val="188879BB"/>
    <w:rsid w:val="18FD1883"/>
    <w:rsid w:val="191B532F"/>
    <w:rsid w:val="19526EA1"/>
    <w:rsid w:val="197B4878"/>
    <w:rsid w:val="19AD4F57"/>
    <w:rsid w:val="1A2D5452"/>
    <w:rsid w:val="1A432B1B"/>
    <w:rsid w:val="1A956556"/>
    <w:rsid w:val="1B5C033D"/>
    <w:rsid w:val="1B811852"/>
    <w:rsid w:val="1C2C47C9"/>
    <w:rsid w:val="1CE065DA"/>
    <w:rsid w:val="1DE97272"/>
    <w:rsid w:val="1E5A7302"/>
    <w:rsid w:val="1E5E3CE4"/>
    <w:rsid w:val="1EC574E9"/>
    <w:rsid w:val="1F3738CB"/>
    <w:rsid w:val="1F7D4833"/>
    <w:rsid w:val="1F8575E2"/>
    <w:rsid w:val="1F9127B3"/>
    <w:rsid w:val="20186B5E"/>
    <w:rsid w:val="202A24A9"/>
    <w:rsid w:val="203B62B7"/>
    <w:rsid w:val="218D0B89"/>
    <w:rsid w:val="21A05FD0"/>
    <w:rsid w:val="21CD65E3"/>
    <w:rsid w:val="22D53B12"/>
    <w:rsid w:val="23727183"/>
    <w:rsid w:val="24A81A41"/>
    <w:rsid w:val="24EE3648"/>
    <w:rsid w:val="253A712A"/>
    <w:rsid w:val="25D5416A"/>
    <w:rsid w:val="26C23BA0"/>
    <w:rsid w:val="26C83D85"/>
    <w:rsid w:val="2853768C"/>
    <w:rsid w:val="28C04BAD"/>
    <w:rsid w:val="28CC6A0C"/>
    <w:rsid w:val="29217F2F"/>
    <w:rsid w:val="2AD2620E"/>
    <w:rsid w:val="2B754C27"/>
    <w:rsid w:val="2B9B4B83"/>
    <w:rsid w:val="2C0559CB"/>
    <w:rsid w:val="2C1E6C80"/>
    <w:rsid w:val="2CA77DEB"/>
    <w:rsid w:val="2CE7502C"/>
    <w:rsid w:val="2D7430CC"/>
    <w:rsid w:val="2DE24215"/>
    <w:rsid w:val="2DEC6710"/>
    <w:rsid w:val="2E400F46"/>
    <w:rsid w:val="2FAE762C"/>
    <w:rsid w:val="302B4483"/>
    <w:rsid w:val="30446AC1"/>
    <w:rsid w:val="30AD2C23"/>
    <w:rsid w:val="30D04370"/>
    <w:rsid w:val="31364808"/>
    <w:rsid w:val="31737CCF"/>
    <w:rsid w:val="318D1842"/>
    <w:rsid w:val="31C12F4C"/>
    <w:rsid w:val="33254DEB"/>
    <w:rsid w:val="34190192"/>
    <w:rsid w:val="368343F7"/>
    <w:rsid w:val="37542BF3"/>
    <w:rsid w:val="37A26320"/>
    <w:rsid w:val="382D2906"/>
    <w:rsid w:val="38DE5B71"/>
    <w:rsid w:val="39303A1D"/>
    <w:rsid w:val="39B202E9"/>
    <w:rsid w:val="39BF540B"/>
    <w:rsid w:val="3A3418CC"/>
    <w:rsid w:val="3BDF50C7"/>
    <w:rsid w:val="3D764DF9"/>
    <w:rsid w:val="3EBB0349"/>
    <w:rsid w:val="3F3D3A4E"/>
    <w:rsid w:val="3FF84355"/>
    <w:rsid w:val="41801BF2"/>
    <w:rsid w:val="41DE60F3"/>
    <w:rsid w:val="41E358FE"/>
    <w:rsid w:val="42031C5E"/>
    <w:rsid w:val="4282620A"/>
    <w:rsid w:val="4287385B"/>
    <w:rsid w:val="42C120C3"/>
    <w:rsid w:val="43014502"/>
    <w:rsid w:val="4352624C"/>
    <w:rsid w:val="441427F7"/>
    <w:rsid w:val="442073EE"/>
    <w:rsid w:val="44496226"/>
    <w:rsid w:val="44657EFE"/>
    <w:rsid w:val="44751EB7"/>
    <w:rsid w:val="449C2692"/>
    <w:rsid w:val="44F45C30"/>
    <w:rsid w:val="456D73CD"/>
    <w:rsid w:val="4590654A"/>
    <w:rsid w:val="460F59FC"/>
    <w:rsid w:val="46875359"/>
    <w:rsid w:val="48055A77"/>
    <w:rsid w:val="482C73CE"/>
    <w:rsid w:val="48F6071D"/>
    <w:rsid w:val="49DA7FA3"/>
    <w:rsid w:val="4A262FDB"/>
    <w:rsid w:val="4A4D4348"/>
    <w:rsid w:val="4A745E93"/>
    <w:rsid w:val="4AAA7A11"/>
    <w:rsid w:val="4AC3564E"/>
    <w:rsid w:val="4B0E6E44"/>
    <w:rsid w:val="4B9E713C"/>
    <w:rsid w:val="4BAD0B24"/>
    <w:rsid w:val="4BB5774C"/>
    <w:rsid w:val="4BCA1072"/>
    <w:rsid w:val="4BCE75A2"/>
    <w:rsid w:val="4BD50442"/>
    <w:rsid w:val="4BF20B81"/>
    <w:rsid w:val="4C347EF7"/>
    <w:rsid w:val="4C42741D"/>
    <w:rsid w:val="4C8E0928"/>
    <w:rsid w:val="4C9B405C"/>
    <w:rsid w:val="4D426840"/>
    <w:rsid w:val="4DE4611D"/>
    <w:rsid w:val="4E191136"/>
    <w:rsid w:val="4E511731"/>
    <w:rsid w:val="4E5214A5"/>
    <w:rsid w:val="4E6E0039"/>
    <w:rsid w:val="4E7B5546"/>
    <w:rsid w:val="4F5904A2"/>
    <w:rsid w:val="4FF67B47"/>
    <w:rsid w:val="501B21DB"/>
    <w:rsid w:val="50205D79"/>
    <w:rsid w:val="50BB22A7"/>
    <w:rsid w:val="50EF4211"/>
    <w:rsid w:val="5349426B"/>
    <w:rsid w:val="539A5724"/>
    <w:rsid w:val="546E3F05"/>
    <w:rsid w:val="547340E6"/>
    <w:rsid w:val="5491183A"/>
    <w:rsid w:val="54DE7482"/>
    <w:rsid w:val="55805F3E"/>
    <w:rsid w:val="55D55C3C"/>
    <w:rsid w:val="56302455"/>
    <w:rsid w:val="565516D4"/>
    <w:rsid w:val="56B92CD7"/>
    <w:rsid w:val="56BC6DF4"/>
    <w:rsid w:val="575A4CDE"/>
    <w:rsid w:val="579E21DF"/>
    <w:rsid w:val="58C20E44"/>
    <w:rsid w:val="58D766B9"/>
    <w:rsid w:val="58EA3C13"/>
    <w:rsid w:val="59F76345"/>
    <w:rsid w:val="5A33357F"/>
    <w:rsid w:val="5AC20F4F"/>
    <w:rsid w:val="5B215EAD"/>
    <w:rsid w:val="5B701157"/>
    <w:rsid w:val="5B7F7374"/>
    <w:rsid w:val="5C336BE9"/>
    <w:rsid w:val="5C40507F"/>
    <w:rsid w:val="5C536D64"/>
    <w:rsid w:val="5C931A69"/>
    <w:rsid w:val="5CC234A5"/>
    <w:rsid w:val="5D2E6068"/>
    <w:rsid w:val="5D475233"/>
    <w:rsid w:val="5E2D6537"/>
    <w:rsid w:val="5E7B35FC"/>
    <w:rsid w:val="5F01032E"/>
    <w:rsid w:val="601939CB"/>
    <w:rsid w:val="60543AD3"/>
    <w:rsid w:val="612C4EE8"/>
    <w:rsid w:val="61831825"/>
    <w:rsid w:val="61B71D9C"/>
    <w:rsid w:val="627A18FC"/>
    <w:rsid w:val="62B66AFB"/>
    <w:rsid w:val="63937682"/>
    <w:rsid w:val="641301EA"/>
    <w:rsid w:val="64CF63F4"/>
    <w:rsid w:val="657B7B75"/>
    <w:rsid w:val="658A7362"/>
    <w:rsid w:val="65ED5044"/>
    <w:rsid w:val="66A6552C"/>
    <w:rsid w:val="673A7430"/>
    <w:rsid w:val="6756252B"/>
    <w:rsid w:val="67BF6216"/>
    <w:rsid w:val="68624E38"/>
    <w:rsid w:val="690E19C9"/>
    <w:rsid w:val="69313AB9"/>
    <w:rsid w:val="694678B7"/>
    <w:rsid w:val="696D3186"/>
    <w:rsid w:val="6A062771"/>
    <w:rsid w:val="6ACD5B9B"/>
    <w:rsid w:val="6AD00745"/>
    <w:rsid w:val="6C514CFF"/>
    <w:rsid w:val="6C684ADD"/>
    <w:rsid w:val="6E055C01"/>
    <w:rsid w:val="6FE52AD2"/>
    <w:rsid w:val="70043610"/>
    <w:rsid w:val="70086310"/>
    <w:rsid w:val="70435849"/>
    <w:rsid w:val="70DA43C9"/>
    <w:rsid w:val="70F00A96"/>
    <w:rsid w:val="719B190A"/>
    <w:rsid w:val="74455F31"/>
    <w:rsid w:val="75892108"/>
    <w:rsid w:val="76F51ECB"/>
    <w:rsid w:val="77177630"/>
    <w:rsid w:val="77817275"/>
    <w:rsid w:val="78232FB8"/>
    <w:rsid w:val="7A147459"/>
    <w:rsid w:val="7A6E4128"/>
    <w:rsid w:val="7ACF095D"/>
    <w:rsid w:val="7AFC6528"/>
    <w:rsid w:val="7B1E3C25"/>
    <w:rsid w:val="7B551150"/>
    <w:rsid w:val="7BF563BD"/>
    <w:rsid w:val="7C8053FA"/>
    <w:rsid w:val="7CB71B8B"/>
    <w:rsid w:val="7DE534E1"/>
    <w:rsid w:val="7E3C663F"/>
    <w:rsid w:val="7E991298"/>
    <w:rsid w:val="7EFD017F"/>
    <w:rsid w:val="7FA27D87"/>
    <w:rsid w:val="7FB07440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3"/>
    <w:next w:val="1"/>
    <w:link w:val="37"/>
    <w:qFormat/>
    <w:uiPriority w:val="0"/>
    <w:pPr>
      <w:keepNext/>
      <w:keepLines/>
      <w:numPr>
        <w:ilvl w:val="0"/>
        <w:numId w:val="1"/>
      </w:numPr>
      <w:spacing w:before="60"/>
      <w:ind w:firstLineChars="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4">
    <w:name w:val="heading 2"/>
    <w:basedOn w:val="1"/>
    <w:next w:val="1"/>
    <w:link w:val="36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firstLineChars="0"/>
      <w:jc w:val="left"/>
      <w:outlineLvl w:val="1"/>
    </w:pPr>
    <w:rPr>
      <w:b/>
      <w:bCs/>
      <w:sz w:val="24"/>
      <w:szCs w:val="32"/>
    </w:rPr>
  </w:style>
  <w:style w:type="paragraph" w:styleId="5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432"/>
      </w:tabs>
      <w:ind w:firstLineChars="0"/>
      <w:outlineLvl w:val="2"/>
    </w:pPr>
    <w:rPr>
      <w:rFonts w:cs="宋体"/>
      <w:b/>
      <w:bCs/>
      <w:sz w:val="24"/>
      <w:szCs w:val="32"/>
    </w:rPr>
  </w:style>
  <w:style w:type="paragraph" w:styleId="6">
    <w:name w:val="heading 4"/>
    <w:basedOn w:val="1"/>
    <w:next w:val="1"/>
    <w:link w:val="72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7">
    <w:name w:val="heading 5"/>
    <w:basedOn w:val="1"/>
    <w:next w:val="1"/>
    <w:link w:val="39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4"/>
    </w:pPr>
    <w:rPr>
      <w:b/>
      <w:szCs w:val="22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9">
    <w:name w:val="heading 7"/>
    <w:basedOn w:val="1"/>
    <w:next w:val="1"/>
    <w:link w:val="40"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33">
    <w:name w:val="Default Paragraph Font"/>
    <w:semiHidden/>
    <w:unhideWhenUsed/>
    <w:uiPriority w:val="1"/>
  </w:style>
  <w:style w:type="table" w:default="1" w:styleId="3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caption"/>
    <w:basedOn w:val="1"/>
    <w:next w:val="1"/>
    <w:link w:val="41"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4">
    <w:name w:val="annotation text"/>
    <w:basedOn w:val="1"/>
    <w:unhideWhenUsed/>
    <w:qFormat/>
    <w:uiPriority w:val="0"/>
    <w:pPr>
      <w:jc w:val="left"/>
    </w:pPr>
  </w:style>
  <w:style w:type="paragraph" w:styleId="15">
    <w:name w:val="Body Text"/>
    <w:basedOn w:val="1"/>
    <w:unhideWhenUsed/>
    <w:qFormat/>
    <w:uiPriority w:val="0"/>
    <w:pPr>
      <w:spacing w:after="120"/>
    </w:pPr>
  </w:style>
  <w:style w:type="paragraph" w:styleId="16">
    <w:name w:val="Body Text Indent"/>
    <w:basedOn w:val="1"/>
    <w:link w:val="65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6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2"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2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15"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Hyperlink"/>
    <w:basedOn w:val="33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5">
    <w:name w:val="annotation reference"/>
    <w:basedOn w:val="33"/>
    <w:unhideWhenUsed/>
    <w:qFormat/>
    <w:uiPriority w:val="0"/>
    <w:rPr>
      <w:sz w:val="21"/>
      <w:szCs w:val="21"/>
    </w:rPr>
  </w:style>
  <w:style w:type="character" w:customStyle="1" w:styleId="36">
    <w:name w:val="标题 2 字符"/>
    <w:link w:val="4"/>
    <w:qFormat/>
    <w:uiPriority w:val="0"/>
    <w:rPr>
      <w:rFonts w:ascii="宋体" w:hAnsi="宋体"/>
      <w:b/>
      <w:bCs/>
      <w:sz w:val="24"/>
      <w:szCs w:val="32"/>
    </w:rPr>
  </w:style>
  <w:style w:type="character" w:customStyle="1" w:styleId="37">
    <w:name w:val="标题 1 字符"/>
    <w:link w:val="2"/>
    <w:qFormat/>
    <w:uiPriority w:val="0"/>
    <w:rPr>
      <w:b/>
      <w:bCs/>
      <w:kern w:val="44"/>
      <w:sz w:val="28"/>
      <w:szCs w:val="44"/>
    </w:rPr>
  </w:style>
  <w:style w:type="character" w:customStyle="1" w:styleId="38">
    <w:name w:val="标题 3 字符"/>
    <w:link w:val="5"/>
    <w:qFormat/>
    <w:uiPriority w:val="0"/>
    <w:rPr>
      <w:rFonts w:ascii="宋体" w:hAnsi="宋体" w:cs="宋体"/>
      <w:b/>
      <w:bCs/>
      <w:sz w:val="24"/>
      <w:szCs w:val="32"/>
    </w:rPr>
  </w:style>
  <w:style w:type="character" w:customStyle="1" w:styleId="39">
    <w:name w:val="标题 5 字符"/>
    <w:link w:val="7"/>
    <w:qFormat/>
    <w:uiPriority w:val="9"/>
    <w:rPr>
      <w:rFonts w:ascii="宋体" w:hAnsi="宋体"/>
      <w:b/>
      <w:sz w:val="21"/>
      <w:szCs w:val="22"/>
    </w:rPr>
  </w:style>
  <w:style w:type="character" w:customStyle="1" w:styleId="40">
    <w:name w:val="标题 7 字符"/>
    <w:link w:val="9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1">
    <w:name w:val="题注 字符"/>
    <w:link w:val="13"/>
    <w:qFormat/>
    <w:uiPriority w:val="35"/>
    <w:rPr>
      <w:rFonts w:ascii="宋体" w:hAnsi="宋体"/>
      <w:sz w:val="18"/>
      <w:szCs w:val="22"/>
    </w:rPr>
  </w:style>
  <w:style w:type="character" w:customStyle="1" w:styleId="42">
    <w:name w:val="TOC 1 字符"/>
    <w:link w:val="23"/>
    <w:qFormat/>
    <w:uiPriority w:val="0"/>
  </w:style>
  <w:style w:type="paragraph" w:customStyle="1" w:styleId="43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4">
    <w:name w:val="表格体"/>
    <w:basedOn w:val="1"/>
    <w:link w:val="45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5">
    <w:name w:val="表格体 字符"/>
    <w:link w:val="44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6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7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48">
    <w:name w:val="列表段落1"/>
    <w:basedOn w:val="1"/>
    <w:link w:val="49"/>
    <w:qFormat/>
    <w:uiPriority w:val="34"/>
    <w:pPr>
      <w:ind w:firstLine="420"/>
    </w:pPr>
  </w:style>
  <w:style w:type="character" w:customStyle="1" w:styleId="49">
    <w:name w:val="列表段落 字符"/>
    <w:link w:val="48"/>
    <w:qFormat/>
    <w:uiPriority w:val="34"/>
    <w:rPr>
      <w:rFonts w:ascii="宋体" w:hAnsi="宋体"/>
      <w:sz w:val="21"/>
      <w:szCs w:val="21"/>
    </w:rPr>
  </w:style>
  <w:style w:type="paragraph" w:customStyle="1" w:styleId="50">
    <w:name w:val="文内正文"/>
    <w:basedOn w:val="48"/>
    <w:link w:val="51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1">
    <w:name w:val="文内正文 字符"/>
    <w:basedOn w:val="33"/>
    <w:link w:val="50"/>
    <w:qFormat/>
    <w:uiPriority w:val="0"/>
    <w:rPr>
      <w:rFonts w:ascii="宋体" w:hAnsi="宋体" w:cs="宋体"/>
      <w:sz w:val="21"/>
      <w:szCs w:val="24"/>
    </w:rPr>
  </w:style>
  <w:style w:type="character" w:customStyle="1" w:styleId="52">
    <w:name w:val="脚注文本 字符"/>
    <w:basedOn w:val="33"/>
    <w:link w:val="25"/>
    <w:qFormat/>
    <w:uiPriority w:val="0"/>
    <w:rPr>
      <w:rFonts w:ascii="宋体" w:hAnsi="宋体" w:cs="宋体"/>
      <w:sz w:val="18"/>
      <w:szCs w:val="18"/>
    </w:rPr>
  </w:style>
  <w:style w:type="paragraph" w:customStyle="1" w:styleId="53">
    <w:name w:val="术语2.1"/>
    <w:basedOn w:val="1"/>
    <w:qFormat/>
    <w:uiPriority w:val="0"/>
    <w:pPr>
      <w:keepNext/>
      <w:widowControl/>
      <w:numPr>
        <w:ilvl w:val="1"/>
        <w:numId w:val="3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4">
    <w:name w:val="图片下标"/>
    <w:basedOn w:val="13"/>
    <w:link w:val="55"/>
    <w:qFormat/>
    <w:uiPriority w:val="0"/>
    <w:pPr>
      <w:widowControl/>
      <w:numPr>
        <w:ilvl w:val="0"/>
        <w:numId w:val="4"/>
      </w:numPr>
    </w:pPr>
    <w:rPr>
      <w:rFonts w:cs="Arial"/>
      <w:szCs w:val="18"/>
    </w:rPr>
  </w:style>
  <w:style w:type="character" w:customStyle="1" w:styleId="55">
    <w:name w:val="图片下标 字符"/>
    <w:basedOn w:val="41"/>
    <w:link w:val="54"/>
    <w:qFormat/>
    <w:uiPriority w:val="0"/>
    <w:rPr>
      <w:rFonts w:ascii="宋体" w:hAnsi="宋体" w:cs="Arial"/>
      <w:sz w:val="18"/>
      <w:szCs w:val="18"/>
    </w:rPr>
  </w:style>
  <w:style w:type="paragraph" w:customStyle="1" w:styleId="56">
    <w:name w:val="Section7"/>
    <w:basedOn w:val="9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7">
    <w:name w:val="Section8"/>
    <w:basedOn w:val="10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58">
    <w:name w:val="文内标题一"/>
    <w:basedOn w:val="2"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59">
    <w:name w:val="文内标题二"/>
    <w:basedOn w:val="4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0">
    <w:name w:val="文内标题三"/>
    <w:basedOn w:val="5"/>
    <w:link w:val="61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1">
    <w:name w:val="文内标题三 字符"/>
    <w:basedOn w:val="38"/>
    <w:link w:val="60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2">
    <w:name w:val="文内标题四"/>
    <w:basedOn w:val="63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3">
    <w:name w:val="Section4"/>
    <w:basedOn w:val="6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4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5">
    <w:name w:val="正文文本缩进 字符"/>
    <w:basedOn w:val="33"/>
    <w:link w:val="16"/>
    <w:qFormat/>
    <w:uiPriority w:val="0"/>
    <w:rPr>
      <w:rFonts w:ascii="宋体" w:hAnsi="宋体"/>
      <w:sz w:val="21"/>
      <w:szCs w:val="21"/>
    </w:rPr>
  </w:style>
  <w:style w:type="character" w:customStyle="1" w:styleId="66">
    <w:name w:val="纯文本 字符"/>
    <w:basedOn w:val="33"/>
    <w:link w:val="19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7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68">
    <w:name w:val="未处理的提及1"/>
    <w:basedOn w:val="33"/>
    <w:unhideWhenUsed/>
    <w:qFormat/>
    <w:uiPriority w:val="99"/>
    <w:rPr>
      <w:color w:val="605E5C"/>
      <w:shd w:val="clear" w:color="auto" w:fill="E1DFDD"/>
    </w:rPr>
  </w:style>
  <w:style w:type="character" w:customStyle="1" w:styleId="69">
    <w:name w:val="未处理的提及2"/>
    <w:basedOn w:val="33"/>
    <w:unhideWhenUsed/>
    <w:qFormat/>
    <w:uiPriority w:val="99"/>
    <w:rPr>
      <w:color w:val="605E5C"/>
      <w:shd w:val="clear" w:color="auto" w:fill="E1DFDD"/>
    </w:rPr>
  </w:style>
  <w:style w:type="paragraph" w:customStyle="1" w:styleId="70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1">
    <w:name w:val="List Paragraph"/>
    <w:basedOn w:val="1"/>
    <w:qFormat/>
    <w:uiPriority w:val="34"/>
    <w:pPr>
      <w:ind w:firstLine="420"/>
    </w:pPr>
  </w:style>
  <w:style w:type="character" w:customStyle="1" w:styleId="72">
    <w:name w:val="标题 4 字符"/>
    <w:basedOn w:val="33"/>
    <w:link w:val="6"/>
    <w:qFormat/>
    <w:uiPriority w:val="0"/>
    <w:rPr>
      <w:rFonts w:ascii="Arial" w:hAnsi="Arial"/>
      <w:b/>
      <w:sz w:val="21"/>
      <w:szCs w:val="22"/>
    </w:rPr>
  </w:style>
  <w:style w:type="character" w:customStyle="1" w:styleId="73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4">
    <w:name w:val="未处理的提及4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6"/>
    <w:basedOn w:val="3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509</Words>
  <Characters>2904</Characters>
  <Lines>24</Lines>
  <Paragraphs>6</Paragraphs>
  <TotalTime>3</TotalTime>
  <ScaleCrop>false</ScaleCrop>
  <LinksUpToDate>false</LinksUpToDate>
  <CharactersWithSpaces>3407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2022-05-18T16:55:00Z</dcterms:created>
  <dc:creator>powersi</dc:creator>
  <cp:lastModifiedBy>chase</cp:lastModifiedBy>
  <dcterms:modified xsi:type="dcterms:W3CDTF">2023-11-24T03:00:11Z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A3BB6C1646274585914DC9A312B0FFF7</vt:lpwstr>
  </property>
</Properties>
</file>