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C6" w:rsidRDefault="00FD34C6">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近视控制、弱视治疗类医疗器械产品</w:t>
      </w:r>
    </w:p>
    <w:p w:rsidR="00FD34C6" w:rsidRDefault="00FD34C6">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分类界定指导原则</w:t>
      </w:r>
    </w:p>
    <w:p w:rsidR="00FD34C6" w:rsidRPr="007627AB" w:rsidRDefault="00FD34C6">
      <w:pPr>
        <w:spacing w:line="600" w:lineRule="exact"/>
        <w:jc w:val="center"/>
        <w:rPr>
          <w:rFonts w:ascii="楷体" w:eastAsia="楷体" w:hAnsi="楷体"/>
          <w:sz w:val="32"/>
          <w:szCs w:val="32"/>
        </w:rPr>
      </w:pPr>
      <w:r w:rsidRPr="007627AB">
        <w:rPr>
          <w:rFonts w:ascii="楷体" w:eastAsia="楷体" w:hAnsi="楷体" w:hint="eastAsia"/>
          <w:sz w:val="32"/>
          <w:szCs w:val="32"/>
        </w:rPr>
        <w:t>（征求意见稿）</w:t>
      </w:r>
    </w:p>
    <w:p w:rsidR="00FD34C6" w:rsidRDefault="00FD34C6" w:rsidP="00734467">
      <w:pPr>
        <w:spacing w:line="600" w:lineRule="exact"/>
        <w:ind w:firstLineChars="200" w:firstLine="640"/>
        <w:rPr>
          <w:rFonts w:ascii="黑体" w:eastAsia="黑体" w:hAnsi="黑体" w:cs="宋体"/>
          <w:sz w:val="32"/>
          <w:szCs w:val="32"/>
        </w:rPr>
      </w:pPr>
      <w:r>
        <w:rPr>
          <w:rFonts w:ascii="黑体" w:eastAsia="黑体" w:hAnsi="黑体" w:hint="eastAsia"/>
          <w:sz w:val="32"/>
          <w:szCs w:val="32"/>
        </w:rPr>
        <w:t>一、目的</w:t>
      </w:r>
    </w:p>
    <w:p w:rsidR="00FD34C6" w:rsidRDefault="00FD34C6" w:rsidP="00734467">
      <w:pPr>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为规范近视控制、弱视治疗类医疗器械产品的管理属性和管理类别判定，根据《医疗器械监督管理条例》《医疗器械分类规则》《医疗器械分类目录》等制定本指导原则。</w:t>
      </w:r>
    </w:p>
    <w:p w:rsidR="00FD34C6" w:rsidRDefault="00FD34C6" w:rsidP="00734467">
      <w:pPr>
        <w:spacing w:line="600" w:lineRule="exact"/>
        <w:ind w:firstLineChars="200" w:firstLine="640"/>
        <w:rPr>
          <w:rFonts w:ascii="黑体" w:eastAsia="黑体" w:hAnsi="黑体"/>
          <w:sz w:val="32"/>
          <w:szCs w:val="32"/>
        </w:rPr>
      </w:pPr>
      <w:r>
        <w:rPr>
          <w:rFonts w:ascii="黑体" w:eastAsia="黑体" w:hAnsi="黑体" w:hint="eastAsia"/>
          <w:sz w:val="32"/>
          <w:szCs w:val="32"/>
        </w:rPr>
        <w:t>二、范围</w:t>
      </w:r>
    </w:p>
    <w:p w:rsidR="00FD34C6" w:rsidRDefault="00FD34C6" w:rsidP="0073446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本指导原则中的近视控制、弱视治疗类医疗器械产品是指符合《医疗器械监督管理条例》中医疗器械的定义，通过眼睛观看或照射眼睛引发视觉反应，用于近视控制或训练、弱视治疗的产品。</w:t>
      </w:r>
      <w:bookmarkStart w:id="0" w:name="_GoBack"/>
      <w:bookmarkEnd w:id="0"/>
    </w:p>
    <w:p w:rsidR="00FD34C6" w:rsidRDefault="00FD34C6" w:rsidP="0073446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本指导原则不适用于眼科测量诊断设备和器具、眼科激光手术治疗设备、眼内照明器具和接触镜产品。</w:t>
      </w:r>
    </w:p>
    <w:p w:rsidR="00FD34C6" w:rsidRDefault="00FD34C6" w:rsidP="00734467">
      <w:pPr>
        <w:spacing w:line="600" w:lineRule="exact"/>
        <w:ind w:firstLineChars="200" w:firstLine="640"/>
        <w:rPr>
          <w:rFonts w:ascii="黑体" w:eastAsia="黑体" w:hAnsi="黑体"/>
          <w:sz w:val="32"/>
          <w:szCs w:val="32"/>
        </w:rPr>
      </w:pPr>
      <w:r>
        <w:rPr>
          <w:rFonts w:ascii="黑体" w:eastAsia="黑体" w:hAnsi="黑体" w:hint="eastAsia"/>
          <w:sz w:val="32"/>
          <w:szCs w:val="32"/>
        </w:rPr>
        <w:t>三、管理属性界定</w:t>
      </w:r>
    </w:p>
    <w:p w:rsidR="00FD34C6" w:rsidRDefault="00FD34C6" w:rsidP="00734467">
      <w:pPr>
        <w:spacing w:line="600" w:lineRule="exact"/>
        <w:ind w:firstLineChars="200" w:firstLine="640"/>
        <w:rPr>
          <w:rFonts w:ascii="黑体" w:eastAsia="黑体" w:hAnsi="黑体"/>
          <w:sz w:val="32"/>
          <w:szCs w:val="32"/>
        </w:rPr>
      </w:pPr>
      <w:r>
        <w:rPr>
          <w:rFonts w:ascii="仿宋_GB2312" w:eastAsia="仿宋_GB2312" w:hAnsi="Times New Roman" w:hint="eastAsia"/>
          <w:sz w:val="32"/>
          <w:szCs w:val="32"/>
        </w:rPr>
        <w:t>近视控制、弱视治疗类医疗器械产品的管理属性应当依据产品预期用途、作用机理等进行综合判定。</w:t>
      </w:r>
    </w:p>
    <w:p w:rsidR="00FD34C6" w:rsidRDefault="00FD34C6" w:rsidP="00734467">
      <w:pPr>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如产品不符合《医疗器械监督管理条例》中医疗器械的定义，则不作为医疗器械管理。例如：用于普通人群日常眼部保健、缓解视疲劳的产品。</w:t>
      </w:r>
    </w:p>
    <w:p w:rsidR="00FD34C6" w:rsidRDefault="00FD34C6" w:rsidP="00734467">
      <w:pPr>
        <w:spacing w:line="600" w:lineRule="exact"/>
        <w:ind w:firstLineChars="200" w:firstLine="640"/>
        <w:rPr>
          <w:rFonts w:ascii="黑体" w:eastAsia="黑体" w:hAnsi="黑体" w:cs="宋体"/>
          <w:bCs/>
          <w:sz w:val="32"/>
          <w:szCs w:val="32"/>
        </w:rPr>
      </w:pPr>
      <w:r>
        <w:rPr>
          <w:rFonts w:ascii="黑体" w:eastAsia="黑体" w:hAnsi="黑体" w:hint="eastAsia"/>
          <w:bCs/>
          <w:sz w:val="32"/>
          <w:szCs w:val="32"/>
        </w:rPr>
        <w:t>四、医疗器械管理类别界定</w:t>
      </w:r>
    </w:p>
    <w:p w:rsidR="00FD34C6" w:rsidRDefault="00FD34C6" w:rsidP="0073446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近视控制、弱视治疗类医疗器械产品应当依据其光源特性、结构特征、预期用途、使用形式等综合判定产品的管理</w:t>
      </w:r>
      <w:r>
        <w:rPr>
          <w:rFonts w:ascii="仿宋_GB2312" w:eastAsia="仿宋_GB2312" w:hAnsi="Times New Roman" w:hint="eastAsia"/>
          <w:sz w:val="32"/>
          <w:szCs w:val="32"/>
        </w:rPr>
        <w:lastRenderedPageBreak/>
        <w:t>类别。</w:t>
      </w:r>
    </w:p>
    <w:p w:rsidR="00FD34C6" w:rsidRDefault="00FD34C6" w:rsidP="0073446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（一）近视控制、弱视治疗类医疗器械产品的管理类别应不低于第二类；如产品以激光为光源，按照第三类医疗器械管理。</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（二）产品用于近视控制或训练时，根据以下原则判定：</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sidR="00734467">
        <w:rPr>
          <w:rFonts w:ascii="Times New Roman" w:eastAsia="仿宋_GB2312" w:hAnsi="Times New Roman" w:hint="eastAsia"/>
          <w:sz w:val="32"/>
          <w:szCs w:val="32"/>
        </w:rPr>
        <w:t>如产品以激光为光源直接照射眼底（如视网膜的黄斑区）</w:t>
      </w:r>
      <w:r>
        <w:rPr>
          <w:rFonts w:ascii="Times New Roman" w:eastAsia="仿宋_GB2312" w:hAnsi="Times New Roman" w:hint="eastAsia"/>
          <w:sz w:val="32"/>
          <w:szCs w:val="32"/>
        </w:rPr>
        <w:t>，用于近视控制，按照第三类医疗器械管理，分类编码为：</w:t>
      </w:r>
      <w:r>
        <w:rPr>
          <w:rFonts w:ascii="Times New Roman" w:eastAsia="仿宋_GB2312" w:hAnsi="Times New Roman"/>
          <w:sz w:val="32"/>
          <w:szCs w:val="32"/>
        </w:rPr>
        <w:t>16-05</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仿宋_GB2312" w:eastAsia="仿宋_GB2312" w:hAnsi="Times New Roman" w:hint="eastAsia"/>
          <w:sz w:val="32"/>
          <w:szCs w:val="32"/>
        </w:rPr>
        <w:t>如产品以非激光的其他类型光（</w:t>
      </w:r>
      <w:r>
        <w:rPr>
          <w:rFonts w:ascii="Times New Roman" w:eastAsia="仿宋_GB2312" w:hAnsi="Times New Roman" w:hint="eastAsia"/>
          <w:sz w:val="32"/>
          <w:szCs w:val="32"/>
        </w:rPr>
        <w:t>如</w:t>
      </w:r>
      <w:r>
        <w:rPr>
          <w:rFonts w:ascii="Times New Roman" w:eastAsia="仿宋_GB2312" w:hAnsi="Times New Roman"/>
          <w:sz w:val="32"/>
          <w:szCs w:val="32"/>
        </w:rPr>
        <w:t>LED</w:t>
      </w:r>
      <w:r>
        <w:rPr>
          <w:rFonts w:ascii="Times New Roman" w:eastAsia="仿宋_GB2312" w:hAnsi="Times New Roman" w:hint="eastAsia"/>
          <w:sz w:val="32"/>
          <w:szCs w:val="32"/>
        </w:rPr>
        <w:t>产生的红光</w:t>
      </w:r>
      <w:r>
        <w:rPr>
          <w:rFonts w:ascii="仿宋_GB2312" w:eastAsia="仿宋_GB2312" w:hAnsi="Times New Roman" w:hint="eastAsia"/>
          <w:sz w:val="32"/>
          <w:szCs w:val="32"/>
        </w:rPr>
        <w:t>）作为光源直接</w:t>
      </w:r>
      <w:r>
        <w:rPr>
          <w:rFonts w:ascii="Times New Roman" w:eastAsia="仿宋_GB2312" w:hAnsi="Times New Roman" w:hint="eastAsia"/>
          <w:sz w:val="32"/>
          <w:szCs w:val="32"/>
        </w:rPr>
        <w:t>照射眼底（如视网膜的黄斑区），用于近视控制，按照第三类医疗器械管理，分类编码为：</w:t>
      </w:r>
      <w:r>
        <w:rPr>
          <w:rFonts w:ascii="Times New Roman" w:eastAsia="仿宋_GB2312" w:hAnsi="Times New Roman"/>
          <w:sz w:val="32"/>
          <w:szCs w:val="32"/>
        </w:rPr>
        <w:t>16-05</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如产品以</w:t>
      </w:r>
      <w:r>
        <w:rPr>
          <w:rFonts w:ascii="仿宋_GB2312" w:eastAsia="仿宋_GB2312" w:hAnsi="Times New Roman" w:hint="eastAsia"/>
          <w:sz w:val="32"/>
          <w:szCs w:val="32"/>
        </w:rPr>
        <w:t>非激光的其他类型光（</w:t>
      </w:r>
      <w:r>
        <w:rPr>
          <w:rFonts w:ascii="Times New Roman" w:eastAsia="仿宋_GB2312" w:hAnsi="Times New Roman" w:hint="eastAsia"/>
          <w:sz w:val="32"/>
          <w:szCs w:val="32"/>
        </w:rPr>
        <w:t>如</w:t>
      </w:r>
      <w:r>
        <w:rPr>
          <w:rFonts w:ascii="Times New Roman" w:eastAsia="仿宋_GB2312" w:hAnsi="Times New Roman"/>
          <w:sz w:val="32"/>
          <w:szCs w:val="32"/>
        </w:rPr>
        <w:t>LED</w:t>
      </w:r>
      <w:r>
        <w:rPr>
          <w:rFonts w:ascii="Times New Roman" w:eastAsia="仿宋_GB2312" w:hAnsi="Times New Roman" w:hint="eastAsia"/>
          <w:sz w:val="32"/>
          <w:szCs w:val="32"/>
        </w:rPr>
        <w:t>光</w:t>
      </w:r>
      <w:r>
        <w:rPr>
          <w:rFonts w:ascii="仿宋_GB2312" w:eastAsia="仿宋_GB2312" w:hAnsi="Times New Roman" w:hint="eastAsia"/>
          <w:sz w:val="32"/>
          <w:szCs w:val="32"/>
        </w:rPr>
        <w:t>）</w:t>
      </w:r>
      <w:r>
        <w:rPr>
          <w:rFonts w:ascii="Times New Roman" w:eastAsia="仿宋_GB2312" w:hAnsi="Times New Roman" w:hint="eastAsia"/>
          <w:sz w:val="32"/>
          <w:szCs w:val="32"/>
        </w:rPr>
        <w:t>作为光源，使眼部睫状肌放松或紧张（如通过视标的移动引导眼睛看远或看近），用于近视训练，按照第二类医疗器械管理，分类编码为：</w:t>
      </w:r>
      <w:r>
        <w:rPr>
          <w:rFonts w:ascii="Times New Roman" w:eastAsia="仿宋_GB2312" w:hAnsi="Times New Roman"/>
          <w:sz w:val="32"/>
          <w:szCs w:val="32"/>
        </w:rPr>
        <w:t>19-01</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（三）产品用于弱视治疗时，根据以下原则判定：</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sidR="00734467">
        <w:rPr>
          <w:rFonts w:ascii="Times New Roman" w:eastAsia="仿宋_GB2312" w:hAnsi="Times New Roman" w:hint="eastAsia"/>
          <w:sz w:val="32"/>
          <w:szCs w:val="32"/>
        </w:rPr>
        <w:t>如产品以激光为光源直接照射眼底（如视网膜的黄斑区）</w:t>
      </w:r>
      <w:r>
        <w:rPr>
          <w:rFonts w:ascii="Times New Roman" w:eastAsia="仿宋_GB2312" w:hAnsi="Times New Roman" w:hint="eastAsia"/>
          <w:sz w:val="32"/>
          <w:szCs w:val="32"/>
        </w:rPr>
        <w:t>，用于弱视治疗，按照第三类医疗器械管理，分类编码为：</w:t>
      </w:r>
      <w:r>
        <w:rPr>
          <w:rFonts w:ascii="Times New Roman" w:eastAsia="仿宋_GB2312" w:hAnsi="Times New Roman"/>
          <w:sz w:val="32"/>
          <w:szCs w:val="32"/>
        </w:rPr>
        <w:t>16-05</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仿宋_GB2312" w:eastAsia="仿宋_GB2312" w:hAnsi="Times New Roman" w:hint="eastAsia"/>
          <w:sz w:val="32"/>
          <w:szCs w:val="32"/>
        </w:rPr>
        <w:t>如产品以非激光的其他类型光（</w:t>
      </w:r>
      <w:r>
        <w:rPr>
          <w:rFonts w:ascii="Times New Roman" w:eastAsia="仿宋_GB2312" w:hAnsi="Times New Roman" w:hint="eastAsia"/>
          <w:sz w:val="32"/>
          <w:szCs w:val="32"/>
        </w:rPr>
        <w:t>如</w:t>
      </w:r>
      <w:r>
        <w:rPr>
          <w:rFonts w:ascii="Times New Roman" w:eastAsia="仿宋_GB2312" w:hAnsi="Times New Roman"/>
          <w:sz w:val="32"/>
          <w:szCs w:val="32"/>
        </w:rPr>
        <w:t>LED</w:t>
      </w:r>
      <w:r>
        <w:rPr>
          <w:rFonts w:ascii="Times New Roman" w:eastAsia="仿宋_GB2312" w:hAnsi="Times New Roman" w:hint="eastAsia"/>
          <w:sz w:val="32"/>
          <w:szCs w:val="32"/>
        </w:rPr>
        <w:t>产生的红光</w:t>
      </w:r>
      <w:r>
        <w:rPr>
          <w:rFonts w:ascii="仿宋_GB2312" w:eastAsia="仿宋_GB2312" w:hAnsi="Times New Roman" w:hint="eastAsia"/>
          <w:sz w:val="32"/>
          <w:szCs w:val="32"/>
        </w:rPr>
        <w:t>）作为光源直接</w:t>
      </w:r>
      <w:r>
        <w:rPr>
          <w:rFonts w:ascii="Times New Roman" w:eastAsia="仿宋_GB2312" w:hAnsi="Times New Roman" w:hint="eastAsia"/>
          <w:sz w:val="32"/>
          <w:szCs w:val="32"/>
        </w:rPr>
        <w:t>照射眼底（如视网膜的黄斑区），用于弱视治疗，按照第三类医疗器械管理，分类编码为：</w:t>
      </w:r>
      <w:r>
        <w:rPr>
          <w:rFonts w:ascii="Times New Roman" w:eastAsia="仿宋_GB2312" w:hAnsi="Times New Roman"/>
          <w:sz w:val="32"/>
          <w:szCs w:val="32"/>
        </w:rPr>
        <w:t>16-05</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如产品</w:t>
      </w:r>
      <w:r>
        <w:rPr>
          <w:rFonts w:ascii="仿宋_GB2312" w:eastAsia="仿宋_GB2312" w:hAnsi="Times New Roman" w:hint="eastAsia"/>
          <w:sz w:val="32"/>
          <w:szCs w:val="32"/>
        </w:rPr>
        <w:t>以非激光的其他类型光（</w:t>
      </w:r>
      <w:r>
        <w:rPr>
          <w:rFonts w:ascii="Times New Roman" w:eastAsia="仿宋_GB2312" w:hAnsi="Times New Roman" w:hint="eastAsia"/>
          <w:sz w:val="32"/>
          <w:szCs w:val="32"/>
        </w:rPr>
        <w:t>如</w:t>
      </w:r>
      <w:r>
        <w:rPr>
          <w:rFonts w:ascii="Times New Roman" w:eastAsia="仿宋_GB2312" w:hAnsi="Times New Roman"/>
          <w:sz w:val="32"/>
          <w:szCs w:val="32"/>
        </w:rPr>
        <w:t>LED</w:t>
      </w:r>
      <w:r>
        <w:rPr>
          <w:rFonts w:ascii="Times New Roman" w:eastAsia="仿宋_GB2312" w:hAnsi="Times New Roman" w:hint="eastAsia"/>
          <w:sz w:val="32"/>
          <w:szCs w:val="32"/>
        </w:rPr>
        <w:t>光等</w:t>
      </w:r>
      <w:r>
        <w:rPr>
          <w:rFonts w:ascii="仿宋_GB2312" w:eastAsia="仿宋_GB2312" w:hAnsi="Times New Roman" w:hint="eastAsia"/>
          <w:sz w:val="32"/>
          <w:szCs w:val="32"/>
        </w:rPr>
        <w:t>）作为</w:t>
      </w:r>
      <w:r>
        <w:rPr>
          <w:rFonts w:ascii="仿宋_GB2312" w:eastAsia="仿宋_GB2312" w:hAnsi="Times New Roman" w:hint="eastAsia"/>
          <w:sz w:val="32"/>
          <w:szCs w:val="32"/>
        </w:rPr>
        <w:lastRenderedPageBreak/>
        <w:t>光源，</w:t>
      </w:r>
      <w:r>
        <w:rPr>
          <w:rFonts w:ascii="Times New Roman" w:eastAsia="仿宋_GB2312" w:hAnsi="Times New Roman" w:hint="eastAsia"/>
          <w:sz w:val="32"/>
          <w:szCs w:val="32"/>
        </w:rPr>
        <w:t>通过闪光、光栅、光刷、后像、脱抑制、立体视、融合视，以及视觉追踪、对比度训练、敏感度训练、精细目力训练的方式引发视觉刺激，用于弱视治疗，按照第二类医疗器械管理，分类编码为：</w:t>
      </w:r>
      <w:r>
        <w:rPr>
          <w:rFonts w:ascii="Times New Roman" w:eastAsia="仿宋_GB2312" w:hAnsi="Times New Roman"/>
          <w:sz w:val="32"/>
          <w:szCs w:val="32"/>
        </w:rPr>
        <w:t>16-03</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（四）如产品用于近视训练或弱视治疗训练，且为未采用人工智能算法的独立软件，按照第二类医疗器械管理，分类编码：</w:t>
      </w:r>
      <w:r>
        <w:rPr>
          <w:rFonts w:ascii="Times New Roman" w:eastAsia="仿宋_GB2312" w:hAnsi="Times New Roman"/>
          <w:sz w:val="32"/>
          <w:szCs w:val="32"/>
        </w:rPr>
        <w:t>21-06</w:t>
      </w:r>
      <w:r>
        <w:rPr>
          <w:rFonts w:ascii="Times New Roman" w:eastAsia="仿宋_GB2312" w:hAnsi="Times New Roman" w:hint="eastAsia"/>
          <w:sz w:val="32"/>
          <w:szCs w:val="32"/>
        </w:rPr>
        <w:t>。</w:t>
      </w:r>
    </w:p>
    <w:p w:rsidR="00FD34C6" w:rsidRDefault="00FD34C6" w:rsidP="0073446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（五）近视控制、弱视治疗类医疗器械产品不可给出《医疗器械分类目录》</w:t>
      </w:r>
      <w:r>
        <w:rPr>
          <w:rFonts w:ascii="Times New Roman" w:eastAsia="仿宋_GB2312" w:hAnsi="Times New Roman"/>
          <w:sz w:val="32"/>
          <w:szCs w:val="32"/>
        </w:rPr>
        <w:t>09</w:t>
      </w:r>
      <w:r>
        <w:rPr>
          <w:rFonts w:ascii="Times New Roman" w:eastAsia="仿宋_GB2312" w:hAnsi="Times New Roman" w:hint="eastAsia"/>
          <w:sz w:val="32"/>
          <w:szCs w:val="32"/>
        </w:rPr>
        <w:t>物理治疗器械的分类编码。</w:t>
      </w:r>
    </w:p>
    <w:p w:rsidR="00FD34C6" w:rsidRPr="003A559A" w:rsidRDefault="00FD34C6" w:rsidP="00734467">
      <w:pPr>
        <w:spacing w:line="600" w:lineRule="exact"/>
        <w:ind w:firstLineChars="200" w:firstLine="640"/>
        <w:rPr>
          <w:rFonts w:ascii="Times New Roman" w:eastAsia="楷体" w:hAnsi="Times New Roman"/>
          <w:sz w:val="32"/>
          <w:szCs w:val="32"/>
        </w:rPr>
      </w:pPr>
      <w:r w:rsidRPr="003A559A">
        <w:rPr>
          <w:rFonts w:ascii="Times New Roman" w:eastAsia="楷体" w:hAnsi="Times New Roman" w:hint="eastAsia"/>
          <w:sz w:val="32"/>
          <w:szCs w:val="32"/>
        </w:rPr>
        <w:t>注：采用激光或采用非激光的其他类型光（如</w:t>
      </w:r>
      <w:r w:rsidRPr="003A559A">
        <w:rPr>
          <w:rFonts w:ascii="Times New Roman" w:eastAsia="楷体" w:hAnsi="Times New Roman"/>
          <w:sz w:val="32"/>
          <w:szCs w:val="32"/>
        </w:rPr>
        <w:t>LED</w:t>
      </w:r>
      <w:r w:rsidRPr="003A559A">
        <w:rPr>
          <w:rFonts w:ascii="Times New Roman" w:eastAsia="楷体" w:hAnsi="Times New Roman" w:hint="eastAsia"/>
          <w:sz w:val="32"/>
          <w:szCs w:val="32"/>
        </w:rPr>
        <w:t>产生的红光）</w:t>
      </w:r>
      <w:r>
        <w:rPr>
          <w:rFonts w:ascii="Times New Roman" w:eastAsia="楷体" w:hAnsi="Times New Roman" w:hint="eastAsia"/>
          <w:sz w:val="32"/>
          <w:szCs w:val="32"/>
        </w:rPr>
        <w:t>直接照射眼底的产品，应充分考虑临床使用中对患者视网膜可能产生的累积性损伤等因素，谨慎使用。</w:t>
      </w:r>
    </w:p>
    <w:p w:rsidR="00FD34C6" w:rsidRPr="0013465C" w:rsidRDefault="00FD34C6" w:rsidP="00734467">
      <w:pPr>
        <w:spacing w:line="600" w:lineRule="exact"/>
        <w:ind w:firstLineChars="200" w:firstLine="640"/>
        <w:rPr>
          <w:rFonts w:ascii="黑体" w:eastAsia="黑体" w:hAnsi="黑体"/>
          <w:bCs/>
          <w:sz w:val="32"/>
          <w:szCs w:val="32"/>
        </w:rPr>
      </w:pPr>
      <w:r w:rsidRPr="0013465C">
        <w:rPr>
          <w:rFonts w:ascii="黑体" w:eastAsia="黑体" w:hAnsi="黑体" w:hint="eastAsia"/>
          <w:bCs/>
          <w:sz w:val="32"/>
          <w:szCs w:val="32"/>
        </w:rPr>
        <w:t>五、有关要求</w:t>
      </w:r>
    </w:p>
    <w:p w:rsidR="00FD34C6" w:rsidRDefault="00FD34C6">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（一）自本指导原则发布之日起，应当按照上述原则受理近视控制、弱视治疗类医疗器械产品的注册申请。</w:t>
      </w:r>
    </w:p>
    <w:p w:rsidR="00FD34C6" w:rsidRDefault="00FD34C6">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（二）已经按照医疗器械受理的注册和延续注册申请，应当立即停止审评审批。</w:t>
      </w:r>
    </w:p>
    <w:p w:rsidR="00FD34C6" w:rsidRDefault="00FD34C6">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（三）已获准按照医疗器械注册的，需要改变管理属性、管理类别的，其注册证在有效期内继续有效；所涉及注册人应当按照相应管理属性和类别的有关要求积极开展转换工作，在</w:t>
      </w:r>
      <w:r>
        <w:rPr>
          <w:rFonts w:ascii="Times New Roman" w:eastAsia="仿宋_GB2312" w:hAnsi="Times New Roman"/>
          <w:bCs/>
          <w:sz w:val="32"/>
          <w:szCs w:val="32"/>
        </w:rPr>
        <w:t>2024</w:t>
      </w:r>
      <w:r>
        <w:rPr>
          <w:rFonts w:ascii="Times New Roman" w:eastAsia="仿宋_GB2312" w:hAnsi="Times New Roman" w:hint="eastAsia"/>
          <w:bCs/>
          <w:sz w:val="32"/>
          <w:szCs w:val="32"/>
        </w:rPr>
        <w:t>年</w:t>
      </w:r>
      <w:r>
        <w:rPr>
          <w:rFonts w:ascii="Times New Roman" w:eastAsia="仿宋_GB2312" w:hAnsi="Times New Roman"/>
          <w:bCs/>
          <w:sz w:val="32"/>
          <w:szCs w:val="32"/>
        </w:rPr>
        <w:t>7</w:t>
      </w:r>
      <w:r>
        <w:rPr>
          <w:rFonts w:ascii="Times New Roman" w:eastAsia="仿宋_GB2312" w:hAnsi="Times New Roman" w:hint="eastAsia"/>
          <w:bCs/>
          <w:sz w:val="32"/>
          <w:szCs w:val="32"/>
        </w:rPr>
        <w:t>月</w:t>
      </w:r>
      <w:r>
        <w:rPr>
          <w:rFonts w:ascii="Times New Roman" w:eastAsia="仿宋_GB2312" w:hAnsi="Times New Roman"/>
          <w:bCs/>
          <w:sz w:val="32"/>
          <w:szCs w:val="32"/>
        </w:rPr>
        <w:t>1</w:t>
      </w:r>
      <w:r w:rsidR="00734467">
        <w:rPr>
          <w:rFonts w:ascii="Times New Roman" w:eastAsia="仿宋_GB2312" w:hAnsi="Times New Roman" w:hint="eastAsia"/>
          <w:bCs/>
          <w:sz w:val="32"/>
          <w:szCs w:val="32"/>
        </w:rPr>
        <w:t>日</w:t>
      </w:r>
      <w:r>
        <w:rPr>
          <w:rFonts w:ascii="Times New Roman" w:eastAsia="仿宋_GB2312" w:hAnsi="Times New Roman" w:hint="eastAsia"/>
          <w:bCs/>
          <w:sz w:val="32"/>
          <w:szCs w:val="32"/>
        </w:rPr>
        <w:t>前完成转换。自</w:t>
      </w:r>
      <w:r>
        <w:rPr>
          <w:rFonts w:ascii="Times New Roman" w:eastAsia="仿宋_GB2312" w:hAnsi="Times New Roman"/>
          <w:bCs/>
          <w:sz w:val="32"/>
          <w:szCs w:val="32"/>
        </w:rPr>
        <w:t>2024</w:t>
      </w:r>
      <w:r>
        <w:rPr>
          <w:rFonts w:ascii="Times New Roman" w:eastAsia="仿宋_GB2312" w:hAnsi="Times New Roman" w:hint="eastAsia"/>
          <w:bCs/>
          <w:sz w:val="32"/>
          <w:szCs w:val="32"/>
        </w:rPr>
        <w:t>年</w:t>
      </w:r>
      <w:r>
        <w:rPr>
          <w:rFonts w:ascii="Times New Roman" w:eastAsia="仿宋_GB2312" w:hAnsi="Times New Roman"/>
          <w:bCs/>
          <w:sz w:val="32"/>
          <w:szCs w:val="32"/>
        </w:rPr>
        <w:t>7</w:t>
      </w:r>
      <w:r>
        <w:rPr>
          <w:rFonts w:ascii="Times New Roman" w:eastAsia="仿宋_GB2312" w:hAnsi="Times New Roman" w:hint="eastAsia"/>
          <w:bCs/>
          <w:sz w:val="32"/>
          <w:szCs w:val="32"/>
        </w:rPr>
        <w:t>月</w:t>
      </w:r>
      <w:r>
        <w:rPr>
          <w:rFonts w:ascii="Times New Roman" w:eastAsia="仿宋_GB2312" w:hAnsi="Times New Roman"/>
          <w:bCs/>
          <w:sz w:val="32"/>
          <w:szCs w:val="32"/>
        </w:rPr>
        <w:t>1</w:t>
      </w:r>
      <w:r>
        <w:rPr>
          <w:rFonts w:ascii="Times New Roman" w:eastAsia="仿宋_GB2312" w:hAnsi="Times New Roman" w:hint="eastAsia"/>
          <w:bCs/>
          <w:sz w:val="32"/>
          <w:szCs w:val="32"/>
        </w:rPr>
        <w:t>日起，未获得相应医疗器械注册证的此类产品不得生产和销售。</w:t>
      </w:r>
    </w:p>
    <w:p w:rsidR="00FD34C6" w:rsidRPr="00AC5CAB" w:rsidRDefault="00FD34C6">
      <w:pPr>
        <w:spacing w:line="600" w:lineRule="exact"/>
        <w:ind w:firstLineChars="200" w:firstLine="640"/>
        <w:rPr>
          <w:rFonts w:ascii="黑体" w:eastAsia="黑体" w:hAnsi="黑体"/>
          <w:bCs/>
          <w:sz w:val="32"/>
          <w:szCs w:val="32"/>
        </w:rPr>
      </w:pPr>
      <w:r w:rsidRPr="0013465C">
        <w:rPr>
          <w:rFonts w:ascii="黑体" w:eastAsia="黑体" w:hAnsi="黑体" w:hint="eastAsia"/>
          <w:bCs/>
          <w:sz w:val="32"/>
          <w:szCs w:val="32"/>
        </w:rPr>
        <w:t>六、本指导原则自发布之日起实施。</w:t>
      </w:r>
    </w:p>
    <w:sectPr w:rsidR="00FD34C6" w:rsidRPr="00AC5CAB" w:rsidSect="00FE7E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81" w:rsidRDefault="00CC1581">
      <w:r>
        <w:separator/>
      </w:r>
    </w:p>
  </w:endnote>
  <w:endnote w:type="continuationSeparator" w:id="0">
    <w:p w:rsidR="00CC1581" w:rsidRDefault="00C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C6" w:rsidRDefault="00FD34C6">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811E88" w:rsidRPr="00811E88">
      <w:rPr>
        <w:rFonts w:ascii="Times New Roman" w:hAnsi="Times New Roman"/>
        <w:noProof/>
        <w:sz w:val="24"/>
        <w:szCs w:val="24"/>
        <w:lang w:val="zh-CN"/>
      </w:rPr>
      <w:t>1</w:t>
    </w:r>
    <w:r>
      <w:rPr>
        <w:rFonts w:ascii="Times New Roman" w:hAnsi="Times New Roman"/>
        <w:sz w:val="24"/>
        <w:szCs w:val="24"/>
      </w:rPr>
      <w:fldChar w:fldCharType="end"/>
    </w:r>
  </w:p>
  <w:p w:rsidR="00FD34C6" w:rsidRDefault="00FD34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81" w:rsidRDefault="00CC1581">
      <w:r>
        <w:separator/>
      </w:r>
    </w:p>
  </w:footnote>
  <w:footnote w:type="continuationSeparator" w:id="0">
    <w:p w:rsidR="00CC1581" w:rsidRDefault="00CC1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9688BF"/>
    <w:multiLevelType w:val="singleLevel"/>
    <w:tmpl w:val="C99688BF"/>
    <w:lvl w:ilvl="0">
      <w:start w:val="2"/>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5YTBlY2FkM2IyMWMxYWExNzQ3NTc2MzNkZjY2MWYifQ=="/>
  </w:docVars>
  <w:rsids>
    <w:rsidRoot w:val="0066335D"/>
    <w:rsid w:val="00005BB7"/>
    <w:rsid w:val="00015AE7"/>
    <w:rsid w:val="0002668B"/>
    <w:rsid w:val="00031E51"/>
    <w:rsid w:val="0003605B"/>
    <w:rsid w:val="00037106"/>
    <w:rsid w:val="000377F2"/>
    <w:rsid w:val="00054A22"/>
    <w:rsid w:val="00062895"/>
    <w:rsid w:val="000759ED"/>
    <w:rsid w:val="00076C81"/>
    <w:rsid w:val="00076E36"/>
    <w:rsid w:val="00096BAC"/>
    <w:rsid w:val="00096E4C"/>
    <w:rsid w:val="000A6777"/>
    <w:rsid w:val="000A75C6"/>
    <w:rsid w:val="000B29B3"/>
    <w:rsid w:val="000B2F3F"/>
    <w:rsid w:val="000B3C34"/>
    <w:rsid w:val="000B3E8E"/>
    <w:rsid w:val="000B6D14"/>
    <w:rsid w:val="000B7537"/>
    <w:rsid w:val="000C30CD"/>
    <w:rsid w:val="000C735B"/>
    <w:rsid w:val="000D0B38"/>
    <w:rsid w:val="000D360D"/>
    <w:rsid w:val="000D48D1"/>
    <w:rsid w:val="000D6101"/>
    <w:rsid w:val="000E69E4"/>
    <w:rsid w:val="000E6FD9"/>
    <w:rsid w:val="000E75B8"/>
    <w:rsid w:val="000E7D3B"/>
    <w:rsid w:val="000F7E0A"/>
    <w:rsid w:val="001008E7"/>
    <w:rsid w:val="00102124"/>
    <w:rsid w:val="00102B28"/>
    <w:rsid w:val="001043D4"/>
    <w:rsid w:val="00110BB8"/>
    <w:rsid w:val="001128AB"/>
    <w:rsid w:val="0012459C"/>
    <w:rsid w:val="00126A9D"/>
    <w:rsid w:val="00131FD1"/>
    <w:rsid w:val="0013465C"/>
    <w:rsid w:val="0013566A"/>
    <w:rsid w:val="00136A77"/>
    <w:rsid w:val="00142CA8"/>
    <w:rsid w:val="001554DE"/>
    <w:rsid w:val="00165EC5"/>
    <w:rsid w:val="0016670D"/>
    <w:rsid w:val="00167AE8"/>
    <w:rsid w:val="0017770C"/>
    <w:rsid w:val="00184FA7"/>
    <w:rsid w:val="0018516B"/>
    <w:rsid w:val="00185D2B"/>
    <w:rsid w:val="00185DA6"/>
    <w:rsid w:val="00190F43"/>
    <w:rsid w:val="001912C7"/>
    <w:rsid w:val="00191AF2"/>
    <w:rsid w:val="00192F5B"/>
    <w:rsid w:val="00195D1F"/>
    <w:rsid w:val="00197206"/>
    <w:rsid w:val="001A1848"/>
    <w:rsid w:val="001A257E"/>
    <w:rsid w:val="001A3423"/>
    <w:rsid w:val="001A780B"/>
    <w:rsid w:val="001B0314"/>
    <w:rsid w:val="001B0C5F"/>
    <w:rsid w:val="001B595A"/>
    <w:rsid w:val="001B6747"/>
    <w:rsid w:val="001C03B3"/>
    <w:rsid w:val="001C6DA9"/>
    <w:rsid w:val="001D06AA"/>
    <w:rsid w:val="001D234D"/>
    <w:rsid w:val="001D3458"/>
    <w:rsid w:val="001D78B0"/>
    <w:rsid w:val="001E1C9F"/>
    <w:rsid w:val="001E2AB3"/>
    <w:rsid w:val="001F0216"/>
    <w:rsid w:val="001F372E"/>
    <w:rsid w:val="001F4262"/>
    <w:rsid w:val="00215F53"/>
    <w:rsid w:val="00217810"/>
    <w:rsid w:val="00224605"/>
    <w:rsid w:val="0022640E"/>
    <w:rsid w:val="00230496"/>
    <w:rsid w:val="002333F7"/>
    <w:rsid w:val="00233F6E"/>
    <w:rsid w:val="00234D91"/>
    <w:rsid w:val="00242013"/>
    <w:rsid w:val="00250559"/>
    <w:rsid w:val="00250E52"/>
    <w:rsid w:val="0025174F"/>
    <w:rsid w:val="00263AC9"/>
    <w:rsid w:val="00264627"/>
    <w:rsid w:val="002703F8"/>
    <w:rsid w:val="00270401"/>
    <w:rsid w:val="002705EF"/>
    <w:rsid w:val="00273A0C"/>
    <w:rsid w:val="002759F8"/>
    <w:rsid w:val="002900D6"/>
    <w:rsid w:val="002925BF"/>
    <w:rsid w:val="002A37D5"/>
    <w:rsid w:val="002A743F"/>
    <w:rsid w:val="002B02FE"/>
    <w:rsid w:val="002B6726"/>
    <w:rsid w:val="002B772A"/>
    <w:rsid w:val="002C3C01"/>
    <w:rsid w:val="002C5796"/>
    <w:rsid w:val="002D1BE2"/>
    <w:rsid w:val="002D5A58"/>
    <w:rsid w:val="002D7509"/>
    <w:rsid w:val="002E2435"/>
    <w:rsid w:val="002E4038"/>
    <w:rsid w:val="002F4A53"/>
    <w:rsid w:val="003024E5"/>
    <w:rsid w:val="00310182"/>
    <w:rsid w:val="00313087"/>
    <w:rsid w:val="00332A12"/>
    <w:rsid w:val="003377BD"/>
    <w:rsid w:val="0033780C"/>
    <w:rsid w:val="00337F2C"/>
    <w:rsid w:val="0034008B"/>
    <w:rsid w:val="00363BDB"/>
    <w:rsid w:val="0036439D"/>
    <w:rsid w:val="00364EC4"/>
    <w:rsid w:val="00365084"/>
    <w:rsid w:val="0036750E"/>
    <w:rsid w:val="00375507"/>
    <w:rsid w:val="003778D7"/>
    <w:rsid w:val="00377E93"/>
    <w:rsid w:val="00385F56"/>
    <w:rsid w:val="00391B07"/>
    <w:rsid w:val="003937F7"/>
    <w:rsid w:val="00393F31"/>
    <w:rsid w:val="003A1A49"/>
    <w:rsid w:val="003A1A6E"/>
    <w:rsid w:val="003A559A"/>
    <w:rsid w:val="003A7C38"/>
    <w:rsid w:val="003B3FD2"/>
    <w:rsid w:val="003B44C0"/>
    <w:rsid w:val="003B7962"/>
    <w:rsid w:val="003C40C2"/>
    <w:rsid w:val="003D0008"/>
    <w:rsid w:val="003D0E60"/>
    <w:rsid w:val="003E29C6"/>
    <w:rsid w:val="003E2A1D"/>
    <w:rsid w:val="003E32C3"/>
    <w:rsid w:val="003E4784"/>
    <w:rsid w:val="003E4AC2"/>
    <w:rsid w:val="003E6285"/>
    <w:rsid w:val="00402D05"/>
    <w:rsid w:val="00411C6B"/>
    <w:rsid w:val="00417874"/>
    <w:rsid w:val="00430E30"/>
    <w:rsid w:val="00431F0C"/>
    <w:rsid w:val="00432FEC"/>
    <w:rsid w:val="00442892"/>
    <w:rsid w:val="004449F0"/>
    <w:rsid w:val="004462A9"/>
    <w:rsid w:val="0045109E"/>
    <w:rsid w:val="00472137"/>
    <w:rsid w:val="004760C5"/>
    <w:rsid w:val="00480270"/>
    <w:rsid w:val="0048584A"/>
    <w:rsid w:val="004879C5"/>
    <w:rsid w:val="00491CF6"/>
    <w:rsid w:val="00494C87"/>
    <w:rsid w:val="00495FD9"/>
    <w:rsid w:val="00496EEC"/>
    <w:rsid w:val="004A03E3"/>
    <w:rsid w:val="004A36DE"/>
    <w:rsid w:val="004A50EB"/>
    <w:rsid w:val="004A6F30"/>
    <w:rsid w:val="004B0EB3"/>
    <w:rsid w:val="004B632C"/>
    <w:rsid w:val="004B6DBF"/>
    <w:rsid w:val="004C02AB"/>
    <w:rsid w:val="004C2FE2"/>
    <w:rsid w:val="004C31A0"/>
    <w:rsid w:val="004C623D"/>
    <w:rsid w:val="004C76B7"/>
    <w:rsid w:val="004D2D9E"/>
    <w:rsid w:val="004D3444"/>
    <w:rsid w:val="004D5633"/>
    <w:rsid w:val="004E2E44"/>
    <w:rsid w:val="004F4524"/>
    <w:rsid w:val="004F62DC"/>
    <w:rsid w:val="005134FD"/>
    <w:rsid w:val="005163A0"/>
    <w:rsid w:val="005172B1"/>
    <w:rsid w:val="005256A8"/>
    <w:rsid w:val="00533D72"/>
    <w:rsid w:val="005400A2"/>
    <w:rsid w:val="005420E7"/>
    <w:rsid w:val="00544347"/>
    <w:rsid w:val="00545A75"/>
    <w:rsid w:val="00551477"/>
    <w:rsid w:val="00554594"/>
    <w:rsid w:val="00561383"/>
    <w:rsid w:val="00567A0C"/>
    <w:rsid w:val="005708FF"/>
    <w:rsid w:val="00576CB8"/>
    <w:rsid w:val="00577748"/>
    <w:rsid w:val="00577FEC"/>
    <w:rsid w:val="00582B9F"/>
    <w:rsid w:val="00584233"/>
    <w:rsid w:val="005A0D13"/>
    <w:rsid w:val="005A5369"/>
    <w:rsid w:val="005B6284"/>
    <w:rsid w:val="005C2FE7"/>
    <w:rsid w:val="005D0A2E"/>
    <w:rsid w:val="005D151D"/>
    <w:rsid w:val="005D331E"/>
    <w:rsid w:val="005E2E4F"/>
    <w:rsid w:val="00604DD9"/>
    <w:rsid w:val="006152A0"/>
    <w:rsid w:val="00617EDD"/>
    <w:rsid w:val="0062298D"/>
    <w:rsid w:val="006242F6"/>
    <w:rsid w:val="00624C31"/>
    <w:rsid w:val="006328A8"/>
    <w:rsid w:val="00640DFC"/>
    <w:rsid w:val="00643A2D"/>
    <w:rsid w:val="00646A77"/>
    <w:rsid w:val="00646F21"/>
    <w:rsid w:val="00656A1D"/>
    <w:rsid w:val="00657E4B"/>
    <w:rsid w:val="006611EA"/>
    <w:rsid w:val="0066335D"/>
    <w:rsid w:val="006804F8"/>
    <w:rsid w:val="00682A48"/>
    <w:rsid w:val="00685777"/>
    <w:rsid w:val="0069086D"/>
    <w:rsid w:val="0069465F"/>
    <w:rsid w:val="00696A7B"/>
    <w:rsid w:val="006A1D28"/>
    <w:rsid w:val="006A3F90"/>
    <w:rsid w:val="006A7182"/>
    <w:rsid w:val="006B01B0"/>
    <w:rsid w:val="006B15A5"/>
    <w:rsid w:val="006B2E90"/>
    <w:rsid w:val="006E0EEA"/>
    <w:rsid w:val="006E24CA"/>
    <w:rsid w:val="006E3345"/>
    <w:rsid w:val="006E374A"/>
    <w:rsid w:val="006E4383"/>
    <w:rsid w:val="006F2921"/>
    <w:rsid w:val="006F2E3C"/>
    <w:rsid w:val="006F503D"/>
    <w:rsid w:val="00701958"/>
    <w:rsid w:val="007047C4"/>
    <w:rsid w:val="00705234"/>
    <w:rsid w:val="00712599"/>
    <w:rsid w:val="007148C6"/>
    <w:rsid w:val="00716529"/>
    <w:rsid w:val="00716596"/>
    <w:rsid w:val="007246E9"/>
    <w:rsid w:val="00734467"/>
    <w:rsid w:val="007627AB"/>
    <w:rsid w:val="00767E5D"/>
    <w:rsid w:val="00770523"/>
    <w:rsid w:val="00773623"/>
    <w:rsid w:val="00773BF0"/>
    <w:rsid w:val="007742B6"/>
    <w:rsid w:val="00776AC5"/>
    <w:rsid w:val="0079100B"/>
    <w:rsid w:val="00794BCF"/>
    <w:rsid w:val="00797239"/>
    <w:rsid w:val="007A13EB"/>
    <w:rsid w:val="007B2761"/>
    <w:rsid w:val="007B2967"/>
    <w:rsid w:val="007B4CE1"/>
    <w:rsid w:val="007B597E"/>
    <w:rsid w:val="007B5BA4"/>
    <w:rsid w:val="007B5FAB"/>
    <w:rsid w:val="007B6427"/>
    <w:rsid w:val="007C6819"/>
    <w:rsid w:val="007D1C56"/>
    <w:rsid w:val="007D5A60"/>
    <w:rsid w:val="007D6510"/>
    <w:rsid w:val="007E75BA"/>
    <w:rsid w:val="007F3D1E"/>
    <w:rsid w:val="007F6665"/>
    <w:rsid w:val="008005C1"/>
    <w:rsid w:val="00800E03"/>
    <w:rsid w:val="008026ED"/>
    <w:rsid w:val="00804ED4"/>
    <w:rsid w:val="008106FC"/>
    <w:rsid w:val="00811109"/>
    <w:rsid w:val="00811E88"/>
    <w:rsid w:val="00815339"/>
    <w:rsid w:val="00821109"/>
    <w:rsid w:val="00833601"/>
    <w:rsid w:val="0083625D"/>
    <w:rsid w:val="00836A93"/>
    <w:rsid w:val="00853FCB"/>
    <w:rsid w:val="008607BD"/>
    <w:rsid w:val="0086199A"/>
    <w:rsid w:val="00862463"/>
    <w:rsid w:val="0086635F"/>
    <w:rsid w:val="00872621"/>
    <w:rsid w:val="00881CFD"/>
    <w:rsid w:val="00882F51"/>
    <w:rsid w:val="00887301"/>
    <w:rsid w:val="0089321A"/>
    <w:rsid w:val="008A1712"/>
    <w:rsid w:val="008A6919"/>
    <w:rsid w:val="008B2498"/>
    <w:rsid w:val="008B31FB"/>
    <w:rsid w:val="008B501A"/>
    <w:rsid w:val="008B559F"/>
    <w:rsid w:val="008C3B29"/>
    <w:rsid w:val="008D42CD"/>
    <w:rsid w:val="008D67BC"/>
    <w:rsid w:val="008E2890"/>
    <w:rsid w:val="008E36B4"/>
    <w:rsid w:val="008E7FBF"/>
    <w:rsid w:val="008F3BCC"/>
    <w:rsid w:val="00913428"/>
    <w:rsid w:val="009175CD"/>
    <w:rsid w:val="0092114E"/>
    <w:rsid w:val="00921663"/>
    <w:rsid w:val="00923FA3"/>
    <w:rsid w:val="009246BA"/>
    <w:rsid w:val="00937490"/>
    <w:rsid w:val="009409E6"/>
    <w:rsid w:val="00941019"/>
    <w:rsid w:val="00942EFA"/>
    <w:rsid w:val="00944E8D"/>
    <w:rsid w:val="009534EA"/>
    <w:rsid w:val="00954042"/>
    <w:rsid w:val="009547ED"/>
    <w:rsid w:val="00956546"/>
    <w:rsid w:val="009617F2"/>
    <w:rsid w:val="00967DC4"/>
    <w:rsid w:val="009701D5"/>
    <w:rsid w:val="0097500F"/>
    <w:rsid w:val="00976723"/>
    <w:rsid w:val="00992713"/>
    <w:rsid w:val="00996028"/>
    <w:rsid w:val="00996590"/>
    <w:rsid w:val="009A6808"/>
    <w:rsid w:val="009A6D9E"/>
    <w:rsid w:val="009C5EE8"/>
    <w:rsid w:val="009D657A"/>
    <w:rsid w:val="009D6DB9"/>
    <w:rsid w:val="009D77D6"/>
    <w:rsid w:val="009E4110"/>
    <w:rsid w:val="009E4133"/>
    <w:rsid w:val="009F6515"/>
    <w:rsid w:val="009F67E1"/>
    <w:rsid w:val="009F7D47"/>
    <w:rsid w:val="00A01FCC"/>
    <w:rsid w:val="00A03AAA"/>
    <w:rsid w:val="00A10D08"/>
    <w:rsid w:val="00A118B0"/>
    <w:rsid w:val="00A148B4"/>
    <w:rsid w:val="00A15EAF"/>
    <w:rsid w:val="00A20351"/>
    <w:rsid w:val="00A214F3"/>
    <w:rsid w:val="00A24650"/>
    <w:rsid w:val="00A248DC"/>
    <w:rsid w:val="00A2518C"/>
    <w:rsid w:val="00A3241E"/>
    <w:rsid w:val="00A329DB"/>
    <w:rsid w:val="00A3389E"/>
    <w:rsid w:val="00A40543"/>
    <w:rsid w:val="00A47CF1"/>
    <w:rsid w:val="00A5451D"/>
    <w:rsid w:val="00A612D8"/>
    <w:rsid w:val="00A776B4"/>
    <w:rsid w:val="00A82EFA"/>
    <w:rsid w:val="00A867E2"/>
    <w:rsid w:val="00A9228B"/>
    <w:rsid w:val="00A93463"/>
    <w:rsid w:val="00A97AE1"/>
    <w:rsid w:val="00AA4723"/>
    <w:rsid w:val="00AA47E9"/>
    <w:rsid w:val="00AB58EB"/>
    <w:rsid w:val="00AC15E9"/>
    <w:rsid w:val="00AC184D"/>
    <w:rsid w:val="00AC5CAB"/>
    <w:rsid w:val="00AD087A"/>
    <w:rsid w:val="00AD1F89"/>
    <w:rsid w:val="00AE2685"/>
    <w:rsid w:val="00AF07E3"/>
    <w:rsid w:val="00AF4F03"/>
    <w:rsid w:val="00AF572E"/>
    <w:rsid w:val="00B028A3"/>
    <w:rsid w:val="00B13787"/>
    <w:rsid w:val="00B22B5E"/>
    <w:rsid w:val="00B25A6E"/>
    <w:rsid w:val="00B31B24"/>
    <w:rsid w:val="00B332C6"/>
    <w:rsid w:val="00B37B81"/>
    <w:rsid w:val="00B40A9B"/>
    <w:rsid w:val="00B51E71"/>
    <w:rsid w:val="00B527FE"/>
    <w:rsid w:val="00B540D2"/>
    <w:rsid w:val="00B63FA0"/>
    <w:rsid w:val="00B6753D"/>
    <w:rsid w:val="00B7096C"/>
    <w:rsid w:val="00B7245C"/>
    <w:rsid w:val="00B82D7C"/>
    <w:rsid w:val="00B83EAE"/>
    <w:rsid w:val="00B8448E"/>
    <w:rsid w:val="00B9170E"/>
    <w:rsid w:val="00BA222F"/>
    <w:rsid w:val="00BA78DE"/>
    <w:rsid w:val="00BB2A58"/>
    <w:rsid w:val="00BB31AE"/>
    <w:rsid w:val="00BB5727"/>
    <w:rsid w:val="00BC2E08"/>
    <w:rsid w:val="00BC6839"/>
    <w:rsid w:val="00BD011D"/>
    <w:rsid w:val="00BD5B6A"/>
    <w:rsid w:val="00BD79E3"/>
    <w:rsid w:val="00BE0A75"/>
    <w:rsid w:val="00BE2F7D"/>
    <w:rsid w:val="00BE6E11"/>
    <w:rsid w:val="00BE74ED"/>
    <w:rsid w:val="00BF2887"/>
    <w:rsid w:val="00BF6E1A"/>
    <w:rsid w:val="00C023F5"/>
    <w:rsid w:val="00C073B9"/>
    <w:rsid w:val="00C16AA1"/>
    <w:rsid w:val="00C179C1"/>
    <w:rsid w:val="00C22866"/>
    <w:rsid w:val="00C27BAB"/>
    <w:rsid w:val="00C32C43"/>
    <w:rsid w:val="00C44A01"/>
    <w:rsid w:val="00C47546"/>
    <w:rsid w:val="00C51157"/>
    <w:rsid w:val="00C53DBF"/>
    <w:rsid w:val="00C60BE4"/>
    <w:rsid w:val="00C72C5E"/>
    <w:rsid w:val="00C7471D"/>
    <w:rsid w:val="00C75049"/>
    <w:rsid w:val="00C8531E"/>
    <w:rsid w:val="00C92B7A"/>
    <w:rsid w:val="00C9325D"/>
    <w:rsid w:val="00C93B17"/>
    <w:rsid w:val="00CC1581"/>
    <w:rsid w:val="00CC2788"/>
    <w:rsid w:val="00CC3DC2"/>
    <w:rsid w:val="00CC5191"/>
    <w:rsid w:val="00CC5A86"/>
    <w:rsid w:val="00CD4EB9"/>
    <w:rsid w:val="00CE36A7"/>
    <w:rsid w:val="00CE5541"/>
    <w:rsid w:val="00CE7545"/>
    <w:rsid w:val="00CF2442"/>
    <w:rsid w:val="00CF2C16"/>
    <w:rsid w:val="00D00C52"/>
    <w:rsid w:val="00D00E27"/>
    <w:rsid w:val="00D03FC7"/>
    <w:rsid w:val="00D12933"/>
    <w:rsid w:val="00D133C8"/>
    <w:rsid w:val="00D17C18"/>
    <w:rsid w:val="00D21979"/>
    <w:rsid w:val="00D27F20"/>
    <w:rsid w:val="00D31854"/>
    <w:rsid w:val="00D333EC"/>
    <w:rsid w:val="00D42386"/>
    <w:rsid w:val="00D47EED"/>
    <w:rsid w:val="00D51B7C"/>
    <w:rsid w:val="00D56DE0"/>
    <w:rsid w:val="00D611A4"/>
    <w:rsid w:val="00D652CA"/>
    <w:rsid w:val="00D669A6"/>
    <w:rsid w:val="00D809E6"/>
    <w:rsid w:val="00D82849"/>
    <w:rsid w:val="00D95E77"/>
    <w:rsid w:val="00DA45F3"/>
    <w:rsid w:val="00DC15CE"/>
    <w:rsid w:val="00DC7791"/>
    <w:rsid w:val="00DD1322"/>
    <w:rsid w:val="00DD170F"/>
    <w:rsid w:val="00DD2315"/>
    <w:rsid w:val="00DD6284"/>
    <w:rsid w:val="00DE1C24"/>
    <w:rsid w:val="00DE3595"/>
    <w:rsid w:val="00E00B8D"/>
    <w:rsid w:val="00E057E8"/>
    <w:rsid w:val="00E06DEC"/>
    <w:rsid w:val="00E07807"/>
    <w:rsid w:val="00E1205E"/>
    <w:rsid w:val="00E12593"/>
    <w:rsid w:val="00E16402"/>
    <w:rsid w:val="00E2167D"/>
    <w:rsid w:val="00E22C8C"/>
    <w:rsid w:val="00E3729B"/>
    <w:rsid w:val="00E43D4B"/>
    <w:rsid w:val="00E526C4"/>
    <w:rsid w:val="00E5547A"/>
    <w:rsid w:val="00E57CAA"/>
    <w:rsid w:val="00E6043D"/>
    <w:rsid w:val="00E7408C"/>
    <w:rsid w:val="00E775E8"/>
    <w:rsid w:val="00E87436"/>
    <w:rsid w:val="00E87752"/>
    <w:rsid w:val="00E95540"/>
    <w:rsid w:val="00E95D0B"/>
    <w:rsid w:val="00EB21B8"/>
    <w:rsid w:val="00EC129D"/>
    <w:rsid w:val="00EC5FF8"/>
    <w:rsid w:val="00EC7CB6"/>
    <w:rsid w:val="00ED0E19"/>
    <w:rsid w:val="00EE114A"/>
    <w:rsid w:val="00EF28D2"/>
    <w:rsid w:val="00F0019E"/>
    <w:rsid w:val="00F0503F"/>
    <w:rsid w:val="00F07388"/>
    <w:rsid w:val="00F123F6"/>
    <w:rsid w:val="00F147C4"/>
    <w:rsid w:val="00F16C07"/>
    <w:rsid w:val="00F21F26"/>
    <w:rsid w:val="00F255A0"/>
    <w:rsid w:val="00F31A6C"/>
    <w:rsid w:val="00F325FF"/>
    <w:rsid w:val="00F40B0E"/>
    <w:rsid w:val="00F446DA"/>
    <w:rsid w:val="00F46E32"/>
    <w:rsid w:val="00F57F72"/>
    <w:rsid w:val="00F62A4A"/>
    <w:rsid w:val="00F65BCF"/>
    <w:rsid w:val="00F713AF"/>
    <w:rsid w:val="00F72652"/>
    <w:rsid w:val="00F76229"/>
    <w:rsid w:val="00F76ECA"/>
    <w:rsid w:val="00F7791F"/>
    <w:rsid w:val="00F803CD"/>
    <w:rsid w:val="00F844A0"/>
    <w:rsid w:val="00F85163"/>
    <w:rsid w:val="00F87122"/>
    <w:rsid w:val="00F8756F"/>
    <w:rsid w:val="00F957B5"/>
    <w:rsid w:val="00F97C43"/>
    <w:rsid w:val="00FA2EC0"/>
    <w:rsid w:val="00FA3A1A"/>
    <w:rsid w:val="00FA4BCC"/>
    <w:rsid w:val="00FB24C9"/>
    <w:rsid w:val="00FB4E4C"/>
    <w:rsid w:val="00FB6BCC"/>
    <w:rsid w:val="00FC18CE"/>
    <w:rsid w:val="00FC34FD"/>
    <w:rsid w:val="00FC3FC6"/>
    <w:rsid w:val="00FD34C6"/>
    <w:rsid w:val="00FD6A6E"/>
    <w:rsid w:val="00FE7EBE"/>
    <w:rsid w:val="00FF1479"/>
    <w:rsid w:val="00FF40F1"/>
    <w:rsid w:val="05524952"/>
    <w:rsid w:val="388F4FD2"/>
    <w:rsid w:val="39A878A6"/>
    <w:rsid w:val="39C4180C"/>
    <w:rsid w:val="3E507EB1"/>
    <w:rsid w:val="51E26770"/>
    <w:rsid w:val="6EA7313A"/>
    <w:rsid w:val="72AC4D18"/>
    <w:rsid w:val="7CF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E7EBE"/>
    <w:pPr>
      <w:jc w:val="left"/>
    </w:pPr>
    <w:rPr>
      <w:kern w:val="0"/>
      <w:sz w:val="20"/>
      <w:szCs w:val="20"/>
    </w:rPr>
  </w:style>
  <w:style w:type="character" w:customStyle="1" w:styleId="Char">
    <w:name w:val="批注文字 Char"/>
    <w:link w:val="a3"/>
    <w:uiPriority w:val="99"/>
    <w:semiHidden/>
    <w:locked/>
    <w:rsid w:val="00FE7EBE"/>
    <w:rPr>
      <w:rFonts w:cs="Times New Roman"/>
    </w:rPr>
  </w:style>
  <w:style w:type="paragraph" w:styleId="a4">
    <w:name w:val="Balloon Text"/>
    <w:basedOn w:val="a"/>
    <w:link w:val="Char0"/>
    <w:uiPriority w:val="99"/>
    <w:semiHidden/>
    <w:rsid w:val="00FE7EBE"/>
    <w:rPr>
      <w:kern w:val="0"/>
      <w:sz w:val="2"/>
      <w:szCs w:val="20"/>
    </w:rPr>
  </w:style>
  <w:style w:type="character" w:customStyle="1" w:styleId="Char0">
    <w:name w:val="批注框文本 Char"/>
    <w:link w:val="a4"/>
    <w:uiPriority w:val="99"/>
    <w:semiHidden/>
    <w:locked/>
    <w:rsid w:val="00FE7EBE"/>
    <w:rPr>
      <w:rFonts w:cs="Times New Roman"/>
      <w:sz w:val="2"/>
    </w:rPr>
  </w:style>
  <w:style w:type="paragraph" w:styleId="a5">
    <w:name w:val="footer"/>
    <w:basedOn w:val="a"/>
    <w:link w:val="Char1"/>
    <w:uiPriority w:val="99"/>
    <w:rsid w:val="00FE7EBE"/>
    <w:pPr>
      <w:tabs>
        <w:tab w:val="center" w:pos="4153"/>
        <w:tab w:val="right" w:pos="8306"/>
      </w:tabs>
      <w:snapToGrid w:val="0"/>
      <w:jc w:val="left"/>
    </w:pPr>
    <w:rPr>
      <w:kern w:val="0"/>
      <w:sz w:val="18"/>
      <w:szCs w:val="20"/>
    </w:rPr>
  </w:style>
  <w:style w:type="character" w:customStyle="1" w:styleId="Char1">
    <w:name w:val="页脚 Char"/>
    <w:link w:val="a5"/>
    <w:uiPriority w:val="99"/>
    <w:locked/>
    <w:rsid w:val="00FE7EBE"/>
    <w:rPr>
      <w:rFonts w:cs="Times New Roman"/>
      <w:sz w:val="18"/>
    </w:rPr>
  </w:style>
  <w:style w:type="paragraph" w:styleId="a6">
    <w:name w:val="header"/>
    <w:basedOn w:val="a"/>
    <w:link w:val="Char2"/>
    <w:uiPriority w:val="99"/>
    <w:rsid w:val="00FE7EBE"/>
    <w:pPr>
      <w:pBdr>
        <w:bottom w:val="single" w:sz="6" w:space="1" w:color="auto"/>
      </w:pBdr>
      <w:tabs>
        <w:tab w:val="center" w:pos="4153"/>
        <w:tab w:val="right" w:pos="8306"/>
      </w:tabs>
      <w:snapToGrid w:val="0"/>
      <w:jc w:val="center"/>
    </w:pPr>
    <w:rPr>
      <w:kern w:val="0"/>
      <w:sz w:val="18"/>
      <w:szCs w:val="20"/>
    </w:rPr>
  </w:style>
  <w:style w:type="character" w:customStyle="1" w:styleId="Char2">
    <w:name w:val="页眉 Char"/>
    <w:link w:val="a6"/>
    <w:uiPriority w:val="99"/>
    <w:locked/>
    <w:rsid w:val="00FE7EBE"/>
    <w:rPr>
      <w:rFonts w:cs="Times New Roman"/>
      <w:sz w:val="18"/>
    </w:rPr>
  </w:style>
  <w:style w:type="paragraph" w:styleId="a7">
    <w:name w:val="annotation subject"/>
    <w:basedOn w:val="a3"/>
    <w:next w:val="a3"/>
    <w:link w:val="Char3"/>
    <w:uiPriority w:val="99"/>
    <w:semiHidden/>
    <w:rsid w:val="00FE7EBE"/>
    <w:rPr>
      <w:b/>
    </w:rPr>
  </w:style>
  <w:style w:type="character" w:customStyle="1" w:styleId="Char3">
    <w:name w:val="批注主题 Char"/>
    <w:link w:val="a7"/>
    <w:uiPriority w:val="99"/>
    <w:semiHidden/>
    <w:locked/>
    <w:rsid w:val="00FE7EBE"/>
    <w:rPr>
      <w:rFonts w:cs="Times New Roman"/>
      <w:b/>
    </w:rPr>
  </w:style>
  <w:style w:type="character" w:styleId="a8">
    <w:name w:val="annotation reference"/>
    <w:uiPriority w:val="99"/>
    <w:semiHidden/>
    <w:rsid w:val="00FE7EBE"/>
    <w:rPr>
      <w:rFonts w:cs="Times New Roman"/>
      <w:sz w:val="21"/>
    </w:rPr>
  </w:style>
  <w:style w:type="paragraph" w:customStyle="1" w:styleId="1">
    <w:name w:val="修订1"/>
    <w:hidden/>
    <w:uiPriority w:val="99"/>
    <w:rsid w:val="00FE7EBE"/>
    <w:rPr>
      <w:kern w:val="2"/>
      <w:sz w:val="21"/>
      <w:szCs w:val="22"/>
    </w:rPr>
  </w:style>
  <w:style w:type="paragraph" w:styleId="a9">
    <w:name w:val="Revision"/>
    <w:hidden/>
    <w:uiPriority w:val="99"/>
    <w:rsid w:val="00FA2EC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00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弱视近视治疗类医疗器械产品</dc:title>
  <dc:subject/>
  <dc:creator>董谦</dc:creator>
  <cp:keywords/>
  <dc:description/>
  <cp:lastModifiedBy>董谦</cp:lastModifiedBy>
  <cp:revision>7</cp:revision>
  <dcterms:created xsi:type="dcterms:W3CDTF">2023-11-10T01:46:00Z</dcterms:created>
  <dcterms:modified xsi:type="dcterms:W3CDTF">2023-11-10T02:38:00Z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8576907001984AA6A530B27A47F434DC_12</vt:lpwstr>
  </property>
</Properties>
</file>